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4C57C3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4C57C3" w:rsidRDefault="005D0F7A">
            <w:pPr>
              <w:pStyle w:val="EPName"/>
            </w:pPr>
            <w:r>
              <w:t>Európsky parlament</w:t>
            </w:r>
          </w:p>
          <w:p w:rsidR="004C57C3" w:rsidRDefault="005D0F7A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D0F7A">
              <w:t>2019</w:t>
            </w:r>
            <w:r>
              <w:t>-</w:t>
            </w:r>
            <w:r w:rsidRPr="005D0F7A">
              <w:t>2024</w:t>
            </w:r>
          </w:p>
        </w:tc>
        <w:tc>
          <w:tcPr>
            <w:tcW w:w="2268" w:type="dxa"/>
            <w:shd w:val="clear" w:color="auto" w:fill="auto"/>
          </w:tcPr>
          <w:p w:rsidR="004C57C3" w:rsidRDefault="005D0F7A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C57C3" w:rsidRDefault="004C57C3">
      <w:pPr>
        <w:pStyle w:val="LineTop"/>
      </w:pPr>
    </w:p>
    <w:p w:rsidR="004C57C3" w:rsidRDefault="005D0F7A">
      <w:pPr>
        <w:pStyle w:val="EPBodyTA1"/>
      </w:pPr>
      <w:r>
        <w:t>PRIJATÉ TEXTY</w:t>
      </w:r>
    </w:p>
    <w:p w:rsidR="004C57C3" w:rsidRDefault="004C57C3">
      <w:pPr>
        <w:pStyle w:val="LineBottom"/>
      </w:pPr>
    </w:p>
    <w:p w:rsidR="004C57C3" w:rsidRDefault="005D0F7A">
      <w:pPr>
        <w:pStyle w:val="ATHeading1"/>
      </w:pPr>
      <w:bookmarkStart w:id="0" w:name="TANumber"/>
      <w:r>
        <w:t>P</w:t>
      </w:r>
      <w:r w:rsidRPr="005D0F7A">
        <w:t>9</w:t>
      </w:r>
      <w:r>
        <w:t>_TA(</w:t>
      </w:r>
      <w:r w:rsidRPr="005D0F7A">
        <w:t>2023</w:t>
      </w:r>
      <w:r>
        <w:t>)</w:t>
      </w:r>
      <w:r w:rsidRPr="005D0F7A">
        <w:t>0448</w:t>
      </w:r>
      <w:bookmarkEnd w:id="0"/>
    </w:p>
    <w:p w:rsidR="004C57C3" w:rsidRDefault="005D0F7A">
      <w:pPr>
        <w:pStyle w:val="ATHeading2"/>
        <w:rPr>
          <w:bCs/>
        </w:rPr>
      </w:pPr>
      <w:r>
        <w:rPr>
          <w:bCs/>
        </w:rPr>
        <w:t>Splnomocnenie Franc</w:t>
      </w:r>
      <w:r>
        <w:rPr>
          <w:rFonts w:hint="eastAsia"/>
          <w:bCs/>
        </w:rPr>
        <w:t>ú</w:t>
      </w:r>
      <w:r>
        <w:rPr>
          <w:bCs/>
        </w:rPr>
        <w:t>zska rokovať o dvojstrannej dohode s Al</w:t>
      </w:r>
      <w:r>
        <w:rPr>
          <w:rFonts w:hint="eastAsia"/>
          <w:bCs/>
        </w:rPr>
        <w:t>ží</w:t>
      </w:r>
      <w:r>
        <w:rPr>
          <w:bCs/>
        </w:rPr>
        <w:t>rskom o justi</w:t>
      </w:r>
      <w:r>
        <w:rPr>
          <w:rFonts w:hint="eastAsia"/>
          <w:bCs/>
        </w:rPr>
        <w:t>č</w:t>
      </w:r>
      <w:r>
        <w:rPr>
          <w:bCs/>
        </w:rPr>
        <w:t>nej spolupr</w:t>
      </w:r>
      <w:r>
        <w:rPr>
          <w:rFonts w:hint="eastAsia"/>
          <w:bCs/>
        </w:rPr>
        <w:t>á</w:t>
      </w:r>
      <w:r>
        <w:rPr>
          <w:bCs/>
        </w:rPr>
        <w:t>ci v ob</w:t>
      </w:r>
      <w:r>
        <w:rPr>
          <w:rFonts w:hint="eastAsia"/>
          <w:bCs/>
        </w:rPr>
        <w:t>č</w:t>
      </w:r>
      <w:r>
        <w:rPr>
          <w:bCs/>
        </w:rPr>
        <w:t>ianskych a obchodn</w:t>
      </w:r>
      <w:r>
        <w:rPr>
          <w:rFonts w:hint="eastAsia"/>
          <w:bCs/>
        </w:rPr>
        <w:t>ý</w:t>
      </w:r>
      <w:r>
        <w:rPr>
          <w:bCs/>
        </w:rPr>
        <w:t>ch veciach</w:t>
      </w:r>
    </w:p>
    <w:p w:rsidR="004C57C3" w:rsidRDefault="005D0F7A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1" w:name="DocNumber"/>
      <w:r>
        <w:rPr>
          <w:i/>
        </w:rPr>
        <w:instrText>A</w:instrText>
      </w:r>
      <w:r w:rsidRPr="005D0F7A">
        <w:rPr>
          <w:i/>
        </w:rPr>
        <w:instrText>9</w:instrText>
      </w:r>
      <w:r>
        <w:rPr>
          <w:i/>
        </w:rPr>
        <w:instrText>-</w:instrText>
      </w:r>
      <w:r w:rsidRPr="005D0F7A">
        <w:rPr>
          <w:i/>
        </w:rPr>
        <w:instrText>0356</w:instrText>
      </w:r>
      <w:r>
        <w:rPr>
          <w:i/>
        </w:rPr>
        <w:instrText>/</w:instrText>
      </w:r>
      <w:r w:rsidRPr="005D0F7A">
        <w:rPr>
          <w:i/>
        </w:rPr>
        <w:instrText>2023</w:instrText>
      </w:r>
      <w:bookmarkEnd w:id="1"/>
      <w:r>
        <w:rPr>
          <w:i/>
        </w:rPr>
        <w:instrText xml:space="preserve"> - Spravodajkyňa: Ilana Cicurel)"\l</w:instrText>
      </w:r>
      <w:r w:rsidRPr="005D0F7A">
        <w:rPr>
          <w:i/>
        </w:rPr>
        <w:instrText>3</w:instrText>
      </w:r>
      <w:r>
        <w:rPr>
          <w:i/>
        </w:rPr>
        <w:instrText xml:space="preserve"> \n&gt; \* MERGEFORMAT </w:instrText>
      </w:r>
      <w:r>
        <w:rPr>
          <w:i/>
        </w:rPr>
        <w:fldChar w:fldCharType="end"/>
      </w:r>
    </w:p>
    <w:p w:rsidR="004C57C3" w:rsidRDefault="005D0F7A">
      <w:pPr>
        <w:rPr>
          <w:vanish/>
        </w:rPr>
      </w:pPr>
      <w:bookmarkStart w:id="2" w:name="Commission"/>
      <w:r>
        <w:rPr>
          <w:vanish/>
        </w:rPr>
        <w:t>Výbor pre právne veci</w:t>
      </w:r>
      <w:bookmarkEnd w:id="2"/>
    </w:p>
    <w:p w:rsidR="004C57C3" w:rsidRDefault="005D0F7A">
      <w:pPr>
        <w:rPr>
          <w:vanish/>
        </w:rPr>
      </w:pPr>
      <w:bookmarkStart w:id="3" w:name="PE"/>
      <w:r>
        <w:rPr>
          <w:vanish/>
        </w:rPr>
        <w:t>PE</w:t>
      </w:r>
      <w:r w:rsidRPr="005D0F7A">
        <w:rPr>
          <w:vanish/>
        </w:rPr>
        <w:t>751</w:t>
      </w:r>
      <w:r>
        <w:rPr>
          <w:vanish/>
        </w:rPr>
        <w:t>.</w:t>
      </w:r>
      <w:r w:rsidRPr="005D0F7A">
        <w:rPr>
          <w:vanish/>
        </w:rPr>
        <w:t>710</w:t>
      </w:r>
      <w:bookmarkEnd w:id="3"/>
    </w:p>
    <w:p w:rsidR="004C57C3" w:rsidRDefault="005D0F7A">
      <w:pPr>
        <w:pStyle w:val="ATHeading3"/>
      </w:pPr>
      <w:bookmarkStart w:id="4" w:name="Sujet"/>
      <w:r>
        <w:t xml:space="preserve">Legislatívne uznesenie Európskeho parlamentu z </w:t>
      </w:r>
      <w:r w:rsidRPr="005D0F7A">
        <w:t>12</w:t>
      </w:r>
      <w:r>
        <w:t xml:space="preserve">. decembra </w:t>
      </w:r>
      <w:r w:rsidRPr="005D0F7A">
        <w:t>2023</w:t>
      </w:r>
      <w:r>
        <w:t xml:space="preserve"> o návrhu rozhodnutia Európskeho parlamentu a Rady o splnomocnení Francúzska na rokovanie o dvojstrannej dohode s Alžírskom o otázkach týkajúcich sa justičnej spolupráce v občianskych a obchodných veciach</w:t>
      </w:r>
      <w:bookmarkEnd w:id="4"/>
      <w:r>
        <w:t xml:space="preserve"> </w:t>
      </w:r>
      <w:bookmarkStart w:id="5" w:name="References"/>
      <w:r>
        <w:t>(COM(</w:t>
      </w:r>
      <w:r w:rsidRPr="005D0F7A">
        <w:t>2023</w:t>
      </w:r>
      <w:r>
        <w:t>)</w:t>
      </w:r>
      <w:r w:rsidRPr="005D0F7A">
        <w:t>0065</w:t>
      </w:r>
      <w:r>
        <w:t xml:space="preserve"> – C</w:t>
      </w:r>
      <w:r w:rsidRPr="005D0F7A">
        <w:t>9</w:t>
      </w:r>
      <w:r>
        <w:t>-</w:t>
      </w:r>
      <w:r w:rsidRPr="005D0F7A">
        <w:t>0019</w:t>
      </w:r>
      <w:r>
        <w:t>/</w:t>
      </w:r>
      <w:r w:rsidRPr="005D0F7A">
        <w:t>2023</w:t>
      </w:r>
      <w:r>
        <w:t xml:space="preserve"> – </w:t>
      </w:r>
      <w:r w:rsidRPr="005D0F7A">
        <w:t>2023</w:t>
      </w:r>
      <w:r>
        <w:t>/</w:t>
      </w:r>
      <w:r w:rsidRPr="005D0F7A">
        <w:t>0028</w:t>
      </w:r>
      <w:r>
        <w:t>(COD))</w:t>
      </w:r>
      <w:bookmarkEnd w:id="5"/>
    </w:p>
    <w:p w:rsidR="004C57C3" w:rsidRDefault="004C57C3"/>
    <w:p w:rsidR="004C57C3" w:rsidRDefault="005D0F7A">
      <w:pPr>
        <w:pStyle w:val="NormalBold"/>
      </w:pPr>
      <w:bookmarkStart w:id="6" w:name="TextBodyBegin"/>
      <w:bookmarkEnd w:id="6"/>
      <w:r>
        <w:t>(Riadny legislatívny postup: prvé čítanie)</w:t>
      </w:r>
    </w:p>
    <w:p w:rsidR="004C57C3" w:rsidRDefault="005D0F7A">
      <w:pPr>
        <w:pStyle w:val="EPComma"/>
      </w:pPr>
      <w:r>
        <w:rPr>
          <w:i/>
          <w:iCs/>
        </w:rPr>
        <w:t>Európsky parlament</w:t>
      </w:r>
      <w:r>
        <w:t>,</w:t>
      </w:r>
    </w:p>
    <w:p w:rsidR="004C57C3" w:rsidRDefault="005D0F7A">
      <w:pPr>
        <w:pStyle w:val="NormalHanging12a"/>
      </w:pPr>
      <w:r>
        <w:t>–</w:t>
      </w:r>
      <w:r>
        <w:tab/>
        <w:t>so zreteľom na návrh Komisie pre Európsky parlament a Radu (COM(</w:t>
      </w:r>
      <w:r w:rsidRPr="005D0F7A">
        <w:t>2023</w:t>
      </w:r>
      <w:r>
        <w:t>)</w:t>
      </w:r>
      <w:r w:rsidRPr="005D0F7A">
        <w:t>0065</w:t>
      </w:r>
      <w:r>
        <w:t>),</w:t>
      </w:r>
    </w:p>
    <w:p w:rsidR="004C57C3" w:rsidRDefault="005D0F7A">
      <w:pPr>
        <w:pStyle w:val="NormalHanging12a"/>
      </w:pPr>
      <w:r>
        <w:t>–</w:t>
      </w:r>
      <w:r>
        <w:tab/>
        <w:t xml:space="preserve">so zreteľom na článok </w:t>
      </w:r>
      <w:r w:rsidRPr="005D0F7A">
        <w:t>294</w:t>
      </w:r>
      <w:r>
        <w:t xml:space="preserve"> ods. </w:t>
      </w:r>
      <w:r w:rsidRPr="005D0F7A">
        <w:t>2</w:t>
      </w:r>
      <w:r>
        <w:t xml:space="preserve"> a článok </w:t>
      </w:r>
      <w:r w:rsidRPr="005D0F7A">
        <w:t>81</w:t>
      </w:r>
      <w:r>
        <w:t xml:space="preserve"> ods. </w:t>
      </w:r>
      <w:r w:rsidRPr="005D0F7A">
        <w:t>2</w:t>
      </w:r>
      <w:r>
        <w:t xml:space="preserve"> Zmluvy o fungovaní Európskej únie, v súlade s ktorými Komisia predložila návrh Európskemu parlamentu (C</w:t>
      </w:r>
      <w:r w:rsidRPr="005D0F7A">
        <w:t>9</w:t>
      </w:r>
      <w:r>
        <w:t>-</w:t>
      </w:r>
      <w:r w:rsidRPr="005D0F7A">
        <w:t>0019</w:t>
      </w:r>
      <w:r>
        <w:t>/</w:t>
      </w:r>
      <w:r w:rsidRPr="005D0F7A">
        <w:t>2023</w:t>
      </w:r>
      <w:r>
        <w:t>),</w:t>
      </w:r>
    </w:p>
    <w:p w:rsidR="004C57C3" w:rsidRDefault="005D0F7A">
      <w:pPr>
        <w:pStyle w:val="NormalHanging12a"/>
      </w:pPr>
      <w:r>
        <w:t>–</w:t>
      </w:r>
      <w:r>
        <w:tab/>
        <w:t xml:space="preserve">so zreteľom na článok </w:t>
      </w:r>
      <w:r w:rsidRPr="005D0F7A">
        <w:t>294</w:t>
      </w:r>
      <w:r>
        <w:t xml:space="preserve"> ods. </w:t>
      </w:r>
      <w:r w:rsidRPr="005D0F7A">
        <w:t>3</w:t>
      </w:r>
      <w:r>
        <w:t xml:space="preserve"> Zmluvy o fungovaní Európskej únie,</w:t>
      </w:r>
    </w:p>
    <w:p w:rsidR="004C57C3" w:rsidRDefault="005D0F7A">
      <w:pPr>
        <w:pStyle w:val="NormalHanging12a"/>
      </w:pPr>
      <w:r>
        <w:t>–</w:t>
      </w:r>
      <w:r>
        <w:tab/>
        <w:t>so zreteľom na  záväzok zástupcu Rady, vyjadrený v liste z </w:t>
      </w:r>
      <w:r w:rsidRPr="005D0F7A">
        <w:t>31</w:t>
      </w:r>
      <w:r>
        <w:t>. októbra </w:t>
      </w:r>
      <w:r w:rsidRPr="005D0F7A">
        <w:t>2023</w:t>
      </w:r>
      <w:r>
        <w:t xml:space="preserve">, schváliť pozíciu Európskeho parlamentu v súlade s článkom </w:t>
      </w:r>
      <w:r w:rsidRPr="005D0F7A">
        <w:t>294</w:t>
      </w:r>
      <w:r>
        <w:t xml:space="preserve"> ods. </w:t>
      </w:r>
      <w:r w:rsidRPr="005D0F7A">
        <w:t>4</w:t>
      </w:r>
      <w:r>
        <w:t xml:space="preserve"> Zmluvy o fungovaní Európskej únie,</w:t>
      </w:r>
    </w:p>
    <w:p w:rsidR="004C57C3" w:rsidRDefault="005D0F7A">
      <w:pPr>
        <w:pStyle w:val="NormalHanging12a"/>
      </w:pPr>
      <w:r>
        <w:t>–</w:t>
      </w:r>
      <w:r>
        <w:tab/>
        <w:t xml:space="preserve">so zreteľom na článok </w:t>
      </w:r>
      <w:r w:rsidRPr="005D0F7A">
        <w:t>59</w:t>
      </w:r>
      <w:r>
        <w:t xml:space="preserve"> rokovacieho poriadku,</w:t>
      </w:r>
    </w:p>
    <w:p w:rsidR="004C57C3" w:rsidRDefault="005D0F7A">
      <w:pPr>
        <w:pStyle w:val="NormalHanging12a"/>
      </w:pPr>
      <w:r>
        <w:t>–</w:t>
      </w:r>
      <w:r>
        <w:tab/>
        <w:t>so zreteľom na správu Výboru pre právne veci (A</w:t>
      </w:r>
      <w:r w:rsidRPr="005D0F7A">
        <w:t>9</w:t>
      </w:r>
      <w:r>
        <w:t>-</w:t>
      </w:r>
      <w:r w:rsidRPr="005D0F7A">
        <w:t>0356</w:t>
      </w:r>
      <w:r>
        <w:t>/</w:t>
      </w:r>
      <w:r w:rsidRPr="005D0F7A">
        <w:t>2023</w:t>
      </w:r>
      <w:r>
        <w:t>),</w:t>
      </w:r>
    </w:p>
    <w:p w:rsidR="004C57C3" w:rsidRDefault="005D0F7A">
      <w:pPr>
        <w:pStyle w:val="NormalHanging12a"/>
      </w:pPr>
      <w:r w:rsidRPr="005D0F7A">
        <w:t>1</w:t>
      </w:r>
      <w:r>
        <w:t>.</w:t>
      </w:r>
      <w:r>
        <w:tab/>
        <w:t>prijíma nasledujúcu pozíciu v prvom čítaní;</w:t>
      </w:r>
    </w:p>
    <w:p w:rsidR="004C57C3" w:rsidRDefault="005D0F7A">
      <w:pPr>
        <w:pStyle w:val="NormalHanging12a"/>
      </w:pPr>
      <w:r w:rsidRPr="005D0F7A">
        <w:t>2</w:t>
      </w:r>
      <w:r>
        <w:t>.</w:t>
      </w:r>
      <w:r>
        <w:tab/>
        <w:t>navrhuje, aby sa tento akt uvádzal ako „rozhodnutie Cicurelovej o splnomocnení Francúzska rokovať o dvojstrannej dohode s Alžírskom o justičnej spolupráci v občianskych a obchodných veciach“;</w:t>
      </w:r>
    </w:p>
    <w:p w:rsidR="004C57C3" w:rsidRDefault="005D0F7A">
      <w:pPr>
        <w:pStyle w:val="NormalHanging12a"/>
      </w:pPr>
      <w:r w:rsidRPr="005D0F7A">
        <w:t>3</w:t>
      </w:r>
      <w:r>
        <w:t>.</w:t>
      </w:r>
      <w:r>
        <w:tab/>
        <w:t>žiada Komisiu, aby mu vec znovu predložila, ak nahrádza, podstatne mení alebo má v úmysle podstatne zmeniť svoj návrh;</w:t>
      </w:r>
    </w:p>
    <w:p w:rsidR="004C57C3" w:rsidRDefault="005D0F7A">
      <w:pPr>
        <w:pStyle w:val="NormalHanging12a"/>
      </w:pPr>
      <w:r w:rsidRPr="005D0F7A">
        <w:lastRenderedPageBreak/>
        <w:t>4</w:t>
      </w:r>
      <w:r>
        <w:t>.</w:t>
      </w:r>
      <w:r>
        <w:tab/>
        <w:t>poveruje svoju predsedníčku, aby postúpila túto pozíciu Rade, Komisii a národným parlamentom.</w:t>
      </w:r>
    </w:p>
    <w:p w:rsidR="004C57C3" w:rsidRDefault="004C57C3">
      <w:pPr>
        <w:widowControl/>
        <w:sectPr w:rsidR="004C57C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4C57C3" w:rsidRDefault="005D0F7A">
      <w:pPr>
        <w:pStyle w:val="Institutionquiagit"/>
        <w:keepNext w:val="0"/>
        <w:spacing w:before="0" w:after="240"/>
        <w:jc w:val="left"/>
        <w:outlineLvl w:val="0"/>
        <w:rPr>
          <w:b/>
          <w:lang w:val="sk-SK"/>
        </w:rPr>
      </w:pPr>
      <w:r>
        <w:rPr>
          <w:b/>
          <w:lang w:val="sk-SK"/>
        </w:rPr>
        <w:lastRenderedPageBreak/>
        <w:t>P</w:t>
      </w:r>
      <w:r w:rsidRPr="005D0F7A">
        <w:rPr>
          <w:b/>
          <w:lang w:val="sk-SK"/>
        </w:rPr>
        <w:t>9</w:t>
      </w:r>
      <w:r>
        <w:rPr>
          <w:b/>
          <w:lang w:val="sk-SK"/>
        </w:rPr>
        <w:t>_TC</w:t>
      </w:r>
      <w:r w:rsidRPr="005D0F7A">
        <w:rPr>
          <w:b/>
          <w:lang w:val="sk-SK"/>
        </w:rPr>
        <w:t>1</w:t>
      </w:r>
      <w:r>
        <w:rPr>
          <w:b/>
          <w:lang w:val="sk-SK"/>
        </w:rPr>
        <w:t>-COD(</w:t>
      </w:r>
      <w:r w:rsidRPr="005D0F7A">
        <w:rPr>
          <w:b/>
          <w:lang w:val="sk-SK"/>
        </w:rPr>
        <w:t>2023</w:t>
      </w:r>
      <w:r>
        <w:rPr>
          <w:b/>
          <w:lang w:val="sk-SK"/>
        </w:rPr>
        <w:t>)</w:t>
      </w:r>
      <w:r w:rsidRPr="005D0F7A">
        <w:rPr>
          <w:b/>
          <w:lang w:val="sk-SK"/>
        </w:rPr>
        <w:t>0028</w:t>
      </w:r>
    </w:p>
    <w:p w:rsidR="004C57C3" w:rsidRDefault="005D0F7A">
      <w:pPr>
        <w:widowControl/>
        <w:rPr>
          <w:rFonts w:eastAsia="Calibri"/>
          <w:b/>
          <w:szCs w:val="22"/>
          <w:lang w:eastAsia="en-US"/>
        </w:rPr>
      </w:pPr>
      <w:r>
        <w:rPr>
          <w:b/>
        </w:rPr>
        <w:t xml:space="preserve">Pozícia Európskeho parlamentu prijatá v prvom čítaní </w:t>
      </w:r>
      <w:r w:rsidRPr="005D0F7A">
        <w:rPr>
          <w:b/>
        </w:rPr>
        <w:t>12</w:t>
      </w:r>
      <w:r>
        <w:rPr>
          <w:b/>
        </w:rPr>
        <w:t xml:space="preserve">. decembra </w:t>
      </w:r>
      <w:r w:rsidRPr="005D0F7A">
        <w:rPr>
          <w:b/>
        </w:rPr>
        <w:t>2023</w:t>
      </w:r>
      <w:r>
        <w:rPr>
          <w:b/>
        </w:rPr>
        <w:t xml:space="preserve"> na účely prijatia rozhodnutia Európskeho parlamentu a Rady (EÚ) </w:t>
      </w:r>
      <w:r w:rsidRPr="005D0F7A">
        <w:rPr>
          <w:b/>
        </w:rPr>
        <w:t>202</w:t>
      </w:r>
      <w:r w:rsidR="00731347">
        <w:rPr>
          <w:b/>
        </w:rPr>
        <w:t>4</w:t>
      </w:r>
      <w:bookmarkStart w:id="7" w:name="_GoBack"/>
      <w:bookmarkEnd w:id="7"/>
      <w:r>
        <w:rPr>
          <w:b/>
        </w:rPr>
        <w:t xml:space="preserve">/..., </w:t>
      </w:r>
      <w:r>
        <w:rPr>
          <w:rFonts w:eastAsia="Calibri"/>
          <w:b/>
          <w:szCs w:val="22"/>
          <w:lang w:eastAsia="en-US"/>
        </w:rPr>
        <w:t xml:space="preserve">ktorým sa Francúzsko splnomocňuje rokovať o dvojstrannej dohode s Alžírskom o justičnej spolupráci v občianskych a obchodných veciach </w:t>
      </w:r>
    </w:p>
    <w:p w:rsidR="00731347" w:rsidRDefault="00731347">
      <w:pPr>
        <w:widowControl/>
        <w:rPr>
          <w:rFonts w:eastAsia="Calibri"/>
          <w:b/>
          <w:szCs w:val="22"/>
          <w:lang w:eastAsia="en-US"/>
        </w:rPr>
      </w:pPr>
    </w:p>
    <w:p w:rsidR="00731347" w:rsidRDefault="00731347">
      <w:pPr>
        <w:widowControl/>
        <w:rPr>
          <w:rFonts w:eastAsia="Calibri"/>
          <w:b/>
          <w:szCs w:val="22"/>
          <w:lang w:eastAsia="en-US"/>
        </w:rPr>
      </w:pPr>
    </w:p>
    <w:p w:rsidR="00731347" w:rsidRPr="00731EF8" w:rsidRDefault="00731347" w:rsidP="00731347">
      <w:r w:rsidRPr="00731EF8">
        <w:rPr>
          <w:i/>
          <w:iCs/>
        </w:rPr>
        <w:t xml:space="preserve">(Keďže bola dosiahnutá </w:t>
      </w:r>
      <w:r w:rsidRPr="008A5820">
        <w:rPr>
          <w:i/>
          <w:iCs/>
        </w:rPr>
        <w:t xml:space="preserve">dohoda medzi Európskym parlamentom a Radou, pozícia Európskeho parlamentu zodpovedá záverečnému legislatívnemu aktu, </w:t>
      </w:r>
      <w:r>
        <w:rPr>
          <w:i/>
          <w:iCs/>
        </w:rPr>
        <w:t>smernici</w:t>
      </w:r>
      <w:r w:rsidRPr="008A5820">
        <w:rPr>
          <w:i/>
          <w:iCs/>
        </w:rPr>
        <w:t xml:space="preserve"> (EÚ) 202</w:t>
      </w:r>
      <w:r>
        <w:rPr>
          <w:i/>
          <w:iCs/>
        </w:rPr>
        <w:t>4</w:t>
      </w:r>
      <w:r w:rsidRPr="008A5820">
        <w:rPr>
          <w:i/>
          <w:iCs/>
        </w:rPr>
        <w:t>/</w:t>
      </w:r>
      <w:r>
        <w:rPr>
          <w:i/>
          <w:iCs/>
        </w:rPr>
        <w:t>5</w:t>
      </w:r>
      <w:r>
        <w:rPr>
          <w:i/>
          <w:iCs/>
        </w:rPr>
        <w:t>93</w:t>
      </w:r>
      <w:r w:rsidRPr="008A5820">
        <w:rPr>
          <w:i/>
          <w:iCs/>
        </w:rPr>
        <w:t>.)</w:t>
      </w:r>
    </w:p>
    <w:p w:rsidR="00731347" w:rsidRDefault="00731347">
      <w:pPr>
        <w:widowControl/>
        <w:rPr>
          <w:rFonts w:eastAsia="Calibri"/>
          <w:b/>
          <w:szCs w:val="22"/>
          <w:lang w:eastAsia="en-US"/>
        </w:rPr>
      </w:pPr>
    </w:p>
    <w:sectPr w:rsidR="0073134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57C3" w:rsidRDefault="005D0F7A">
      <w:r>
        <w:separator/>
      </w:r>
    </w:p>
  </w:endnote>
  <w:endnote w:type="continuationSeparator" w:id="0">
    <w:p w:rsidR="004C57C3" w:rsidRDefault="005D0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57C3" w:rsidRDefault="005D0F7A">
      <w:r>
        <w:separator/>
      </w:r>
    </w:p>
  </w:footnote>
  <w:footnote w:type="continuationSeparator" w:id="0">
    <w:p w:rsidR="004C57C3" w:rsidRDefault="005D0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56/2023"/>
    <w:docVar w:name="dvlangue" w:val="SK"/>
    <w:docVar w:name="dvnumam" w:val="12"/>
    <w:docVar w:name="dvpe" w:val="751.710"/>
    <w:docVar w:name="dvrapporteur" w:val="Spravodajkyňa: "/>
    <w:docVar w:name="dvstar" w:val="***I"/>
    <w:docVar w:name="dvtitre" w:val="Legislatívne uznesenie Európskeho parlamentu z xx. decembra 2023 o návrhu rozhodnutia Európskeho parlamentu a Rady o splnomocnení Francúzska na rokovanie o dvojstrannej dohode s Alžírskom o otázkach týkajúcich sa justičnej spolupráce v občianskych a obchodných veciach(COM(2023)0065 – C9-0019/2023 – 2023/0028(COD))"/>
  </w:docVars>
  <w:rsids>
    <w:rsidRoot w:val="004C57C3"/>
    <w:rsid w:val="004C57C3"/>
    <w:rsid w:val="005D0F7A"/>
    <w:rsid w:val="00731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EE38E4"/>
  <w15:chartTrackingRefBased/>
  <w15:docId w15:val="{437EE383-5992-4AA0-B005-7824D5F8C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pPr>
      <w:spacing w:before="240"/>
    </w:pPr>
    <w:rPr>
      <w:b/>
    </w:r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6">
    <w:name w:val="Normal6"/>
    <w:basedOn w:val="Normal"/>
    <w:link w:val="Normal6Char"/>
    <w:pPr>
      <w:spacing w:after="120"/>
    </w:pPr>
  </w:style>
  <w:style w:type="character" w:customStyle="1" w:styleId="NormalBoldChar">
    <w:name w:val="NormalBold Char"/>
    <w:basedOn w:val="DefaultParagraphFont"/>
    <w:link w:val="NormalBold"/>
    <w:rPr>
      <w:b/>
      <w:sz w:val="24"/>
      <w:lang w:val="sk-SK"/>
    </w:rPr>
  </w:style>
  <w:style w:type="character" w:customStyle="1" w:styleId="Normal6Char">
    <w:name w:val="Normal6 Char"/>
    <w:basedOn w:val="DefaultParagraphFont"/>
    <w:link w:val="Normal6"/>
    <w:rPr>
      <w:sz w:val="24"/>
      <w:lang w:val="sk-SK"/>
    </w:rPr>
  </w:style>
  <w:style w:type="paragraph" w:customStyle="1" w:styleId="ColumnHeading">
    <w:name w:val="ColumnHeading"/>
    <w:basedOn w:val="Normal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character" w:customStyle="1" w:styleId="AmNumberTabsChar">
    <w:name w:val="AmNumberTabs Char"/>
    <w:basedOn w:val="DefaultParagraphFont"/>
    <w:link w:val="AmNumberTabs"/>
    <w:rPr>
      <w:b/>
      <w:sz w:val="24"/>
      <w:lang w:val="sk-SK"/>
    </w:rPr>
  </w:style>
  <w:style w:type="paragraph" w:customStyle="1" w:styleId="AmHeadingConsam">
    <w:name w:val="AmHeadingConsam"/>
    <w:basedOn w:val="Normal"/>
    <w:next w:val="NormalCenter12a"/>
    <w:pPr>
      <w:spacing w:before="720" w:after="240"/>
      <w:jc w:val="center"/>
    </w:pPr>
  </w:style>
  <w:style w:type="paragraph" w:customStyle="1" w:styleId="Institutionquiagit">
    <w:name w:val="Institution qui agit"/>
    <w:basedOn w:val="Normal"/>
    <w:next w:val="Normal"/>
    <w:pPr>
      <w:keepNext/>
      <w:widowControl/>
      <w:spacing w:before="600" w:after="120"/>
      <w:jc w:val="both"/>
    </w:pPr>
    <w:rPr>
      <w:rFonts w:eastAsiaTheme="minorHAnsi"/>
      <w:szCs w:val="22"/>
      <w:lang w:val="en-GB" w:eastAsia="en-US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</w:rPr>
  </w:style>
  <w:style w:type="character" w:customStyle="1" w:styleId="CommentTextChar">
    <w:name w:val="Comment Text Char"/>
    <w:basedOn w:val="DefaultParagraphFont"/>
    <w:link w:val="CommentText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customStyle="1" w:styleId="CommentSubjectChar">
    <w:name w:val="Comment Subject Char"/>
    <w:basedOn w:val="CommentTextChar"/>
    <w:link w:val="CommentSubject"/>
    <w:rPr>
      <w:b/>
      <w:bCs/>
      <w:lang w:val="sk-SK"/>
    </w:rPr>
  </w:style>
  <w:style w:type="paragraph" w:styleId="Footer">
    <w:name w:val="footer"/>
    <w:basedOn w:val="Normal"/>
    <w:link w:val="FooterChar"/>
    <w:rsid w:val="005D0F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D0F7A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EBA568-20E6-417C-84E9-8C768EE49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303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SOLTYSOVA Zuzana</cp:lastModifiedBy>
  <cp:revision>2</cp:revision>
  <cp:lastPrinted>2004-11-19T15:42:00Z</cp:lastPrinted>
  <dcterms:created xsi:type="dcterms:W3CDTF">2024-04-15T14:00:00Z</dcterms:created>
  <dcterms:modified xsi:type="dcterms:W3CDTF">2024-04-15T14:00:00Z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P9_TA(2023)0448_</vt:lpwstr>
  </property>
  <property fmtid="{D5CDD505-2E9C-101B-9397-08002B2CF9AE}" pid="4" name="&lt;Type&gt;">
    <vt:lpwstr>RR</vt:lpwstr>
  </property>
</Properties>
</file>