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2C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2CB6" w:rsidRDefault="009652E8" w:rsidP="0010095E">
            <w:pPr>
              <w:pStyle w:val="EPName"/>
            </w:pPr>
            <w:r w:rsidRPr="00E92CB6">
              <w:t>Parlamento Europeo</w:t>
            </w:r>
          </w:p>
          <w:p w:rsidR="00751A4A" w:rsidRPr="00E92CB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2CB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92CB6" w:rsidRDefault="00187494" w:rsidP="0010095E">
            <w:pPr>
              <w:pStyle w:val="EPLogo"/>
            </w:pPr>
            <w:r w:rsidRPr="00E92C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2CB6" w:rsidRDefault="00D058B8" w:rsidP="004C5D52">
      <w:pPr>
        <w:pStyle w:val="LineTop"/>
      </w:pPr>
    </w:p>
    <w:p w:rsidR="00680577" w:rsidRPr="00E92CB6" w:rsidRDefault="009652E8" w:rsidP="00680577">
      <w:pPr>
        <w:pStyle w:val="EPBodyTA1"/>
      </w:pPr>
      <w:r w:rsidRPr="00E92CB6">
        <w:t>TEXTOS APROBADOS</w:t>
      </w:r>
    </w:p>
    <w:p w:rsidR="00D058B8" w:rsidRPr="00E92CB6" w:rsidRDefault="00D058B8" w:rsidP="00D058B8">
      <w:pPr>
        <w:pStyle w:val="LineBottom"/>
      </w:pPr>
    </w:p>
    <w:p w:rsidR="009652E8" w:rsidRPr="00E92CB6" w:rsidRDefault="009652E8" w:rsidP="009652E8">
      <w:pPr>
        <w:pStyle w:val="ATHeading1"/>
      </w:pPr>
      <w:bookmarkStart w:id="0" w:name="TANumber"/>
      <w:r w:rsidRPr="00E92CB6">
        <w:t>P9_</w:t>
      </w:r>
      <w:proofErr w:type="gramStart"/>
      <w:r w:rsidRPr="00E92CB6">
        <w:t>TA(</w:t>
      </w:r>
      <w:proofErr w:type="gramEnd"/>
      <w:r w:rsidRPr="00E92CB6">
        <w:t>2023)</w:t>
      </w:r>
      <w:bookmarkEnd w:id="0"/>
      <w:r w:rsidR="0077106D" w:rsidRPr="00E92CB6">
        <w:t>0449</w:t>
      </w:r>
    </w:p>
    <w:p w:rsidR="009652E8" w:rsidRPr="00E92CB6" w:rsidRDefault="009652E8" w:rsidP="009652E8">
      <w:pPr>
        <w:pStyle w:val="ATHeading2"/>
      </w:pPr>
      <w:bookmarkStart w:id="1" w:name="title"/>
      <w:r w:rsidRPr="00E92CB6">
        <w:t>Autorización por la que se faculta a Francia para negociar un acuerdo bilateral con Argelia sobre cooperación judicial en materia civil relativa al Derecho de familia</w:t>
      </w:r>
      <w:bookmarkEnd w:id="1"/>
    </w:p>
    <w:p w:rsidR="009652E8" w:rsidRPr="00E92CB6" w:rsidRDefault="009652E8" w:rsidP="009652E8">
      <w:pPr>
        <w:rPr>
          <w:i/>
          <w:vanish/>
        </w:rPr>
      </w:pPr>
      <w:r w:rsidRPr="00E92CB6">
        <w:rPr>
          <w:i/>
        </w:rPr>
        <w:fldChar w:fldCharType="begin"/>
      </w:r>
      <w:r w:rsidRPr="00E92CB6">
        <w:rPr>
          <w:i/>
        </w:rPr>
        <w:instrText xml:space="preserve"> TC"(</w:instrText>
      </w:r>
      <w:bookmarkStart w:id="2" w:name="DocNumber"/>
      <w:r w:rsidRPr="00E92CB6">
        <w:rPr>
          <w:i/>
        </w:rPr>
        <w:instrText>A9-0355/2023</w:instrText>
      </w:r>
      <w:bookmarkEnd w:id="2"/>
      <w:r w:rsidRPr="00E92CB6">
        <w:rPr>
          <w:i/>
        </w:rPr>
        <w:instrText xml:space="preserve"> - Ponente: </w:instrText>
      </w:r>
      <w:proofErr w:type="spellStart"/>
      <w:r w:rsidRPr="00E92CB6">
        <w:rPr>
          <w:i/>
        </w:rPr>
        <w:instrText>Ilana</w:instrText>
      </w:r>
      <w:proofErr w:type="spellEnd"/>
      <w:r w:rsidRPr="00E92CB6">
        <w:rPr>
          <w:i/>
        </w:rPr>
        <w:instrText xml:space="preserve"> </w:instrText>
      </w:r>
      <w:proofErr w:type="spellStart"/>
      <w:r w:rsidRPr="00E92CB6">
        <w:rPr>
          <w:i/>
        </w:rPr>
        <w:instrText>Cicurel</w:instrText>
      </w:r>
      <w:proofErr w:type="spellEnd"/>
      <w:r w:rsidRPr="00E92CB6">
        <w:rPr>
          <w:i/>
        </w:rPr>
        <w:instrText xml:space="preserve">)"\l3 \n&gt; \* MERGEFORMAT </w:instrText>
      </w:r>
      <w:r w:rsidRPr="00E92CB6">
        <w:rPr>
          <w:i/>
        </w:rPr>
        <w:fldChar w:fldCharType="end"/>
      </w:r>
    </w:p>
    <w:p w:rsidR="009652E8" w:rsidRPr="00E92CB6" w:rsidRDefault="009652E8" w:rsidP="009652E8">
      <w:pPr>
        <w:rPr>
          <w:vanish/>
        </w:rPr>
      </w:pPr>
      <w:bookmarkStart w:id="3" w:name="Commission"/>
      <w:r w:rsidRPr="00E92CB6">
        <w:rPr>
          <w:vanish/>
        </w:rPr>
        <w:t>Comisión de Asuntos Jurídicos</w:t>
      </w:r>
      <w:bookmarkEnd w:id="3"/>
    </w:p>
    <w:p w:rsidR="009652E8" w:rsidRPr="00E92CB6" w:rsidRDefault="009652E8" w:rsidP="009652E8">
      <w:pPr>
        <w:rPr>
          <w:vanish/>
        </w:rPr>
      </w:pPr>
      <w:bookmarkStart w:id="4" w:name="PE"/>
      <w:r w:rsidRPr="00E92CB6">
        <w:rPr>
          <w:vanish/>
        </w:rPr>
        <w:t>PE751.709</w:t>
      </w:r>
      <w:bookmarkEnd w:id="4"/>
    </w:p>
    <w:p w:rsidR="009652E8" w:rsidRPr="00E92CB6" w:rsidRDefault="009652E8" w:rsidP="009652E8">
      <w:pPr>
        <w:pStyle w:val="ATHeading3"/>
      </w:pPr>
      <w:bookmarkStart w:id="5" w:name="Sujet"/>
      <w:r w:rsidRPr="00E92CB6">
        <w:t xml:space="preserve">Resolución legislativa del Parlamento Europeo, de </w:t>
      </w:r>
      <w:r w:rsidR="002E537F" w:rsidRPr="00E92CB6">
        <w:t>12</w:t>
      </w:r>
      <w:r w:rsidRPr="00E92CB6">
        <w:t xml:space="preserve"> de diciembre de 2023, sobre la propuesta de Decisión del Consejo relativa a una autori</w:t>
      </w:r>
      <w:bookmarkStart w:id="6" w:name="_GoBack"/>
      <w:bookmarkEnd w:id="6"/>
      <w:r w:rsidRPr="00E92CB6">
        <w:t>zación dirigida a Francia para negociar un acuerdo bilateral con Argelia sobre asuntos relacionados con la cooperación judicial en materia de Derecho de familia</w:t>
      </w:r>
      <w:bookmarkEnd w:id="5"/>
      <w:r w:rsidRPr="00E92CB6">
        <w:t xml:space="preserve"> </w:t>
      </w:r>
      <w:bookmarkStart w:id="7" w:name="References"/>
      <w:r w:rsidRPr="00E92CB6">
        <w:t>(</w:t>
      </w:r>
      <w:proofErr w:type="gramStart"/>
      <w:r w:rsidRPr="00E92CB6">
        <w:t>COM(</w:t>
      </w:r>
      <w:proofErr w:type="gramEnd"/>
      <w:r w:rsidRPr="00E92CB6">
        <w:t>2023)0064 – C9-0026/2023 – 2023/0027(CNS))</w:t>
      </w:r>
      <w:bookmarkEnd w:id="7"/>
    </w:p>
    <w:p w:rsidR="009652E8" w:rsidRPr="00E92CB6" w:rsidRDefault="009652E8" w:rsidP="009652E8"/>
    <w:p w:rsidR="00D372ED" w:rsidRPr="00E92CB6" w:rsidRDefault="00D372ED" w:rsidP="00D372ED">
      <w:pPr>
        <w:pStyle w:val="NormalBold"/>
      </w:pPr>
      <w:bookmarkStart w:id="8" w:name="TextBodyBegin"/>
      <w:bookmarkEnd w:id="8"/>
      <w:r w:rsidRPr="00E92CB6">
        <w:t>(Procedimiento legislativo especial – consulta)</w:t>
      </w:r>
    </w:p>
    <w:p w:rsidR="00D372ED" w:rsidRPr="00E92CB6" w:rsidRDefault="00D372ED" w:rsidP="00D372ED">
      <w:pPr>
        <w:pStyle w:val="EPComma"/>
      </w:pPr>
      <w:r w:rsidRPr="00E92CB6">
        <w:rPr>
          <w:i/>
        </w:rPr>
        <w:t>El Parlamento Europeo</w:t>
      </w:r>
      <w:r w:rsidRPr="00E92CB6">
        <w:t>,</w:t>
      </w:r>
    </w:p>
    <w:p w:rsidR="00D372ED" w:rsidRPr="00E92CB6" w:rsidRDefault="00D372ED" w:rsidP="00D372ED">
      <w:pPr>
        <w:pStyle w:val="NormalHanging12a"/>
      </w:pPr>
      <w:r w:rsidRPr="00E92CB6">
        <w:t>–</w:t>
      </w:r>
      <w:r w:rsidRPr="00E92CB6">
        <w:tab/>
        <w:t>Vista la propuesta de la Comisión al Consejo (</w:t>
      </w:r>
      <w:proofErr w:type="gramStart"/>
      <w:r w:rsidRPr="00E92CB6">
        <w:t>COM(</w:t>
      </w:r>
      <w:proofErr w:type="gramEnd"/>
      <w:r w:rsidRPr="00E92CB6">
        <w:t>2023)0064),</w:t>
      </w:r>
    </w:p>
    <w:p w:rsidR="00D372ED" w:rsidRPr="00E92CB6" w:rsidRDefault="00D372ED" w:rsidP="00D372ED">
      <w:pPr>
        <w:pStyle w:val="NormalHanging12a"/>
      </w:pPr>
      <w:r w:rsidRPr="00E92CB6">
        <w:t>–</w:t>
      </w:r>
      <w:r w:rsidRPr="00E92CB6">
        <w:tab/>
        <w:t>Vistos los artículos 2, apartado 1, y 81, apartado 3, del Tratado de Funcionamiento de la Unión Europea, conforme a los cuales ha sido consultado por el Consejo (C9</w:t>
      </w:r>
      <w:r w:rsidRPr="00E92CB6">
        <w:noBreakHyphen/>
        <w:t>0026/2023),</w:t>
      </w:r>
    </w:p>
    <w:p w:rsidR="00D372ED" w:rsidRPr="00E92CB6" w:rsidRDefault="00D372ED" w:rsidP="00D372ED">
      <w:pPr>
        <w:pStyle w:val="NormalHanging12a"/>
      </w:pPr>
      <w:r w:rsidRPr="00E92CB6">
        <w:t>–</w:t>
      </w:r>
      <w:r w:rsidRPr="00E92CB6">
        <w:tab/>
        <w:t>Visto el artículo 82 de su Reglamento interno,</w:t>
      </w:r>
    </w:p>
    <w:p w:rsidR="00D372ED" w:rsidRPr="00E92CB6" w:rsidRDefault="00D372ED" w:rsidP="00D372ED">
      <w:pPr>
        <w:pStyle w:val="NormalHanging12a"/>
      </w:pPr>
      <w:r w:rsidRPr="00E92CB6">
        <w:t>–</w:t>
      </w:r>
      <w:r w:rsidRPr="00E92CB6">
        <w:tab/>
        <w:t>Visto el informe de la Comisión de Asuntos Jurídicos (A9-0355/2023),</w:t>
      </w:r>
    </w:p>
    <w:p w:rsidR="00D372ED" w:rsidRPr="00E92CB6" w:rsidRDefault="00D372ED" w:rsidP="00D372ED">
      <w:pPr>
        <w:pStyle w:val="NormalHanging12a"/>
      </w:pPr>
      <w:r w:rsidRPr="00E92CB6">
        <w:t>1.</w:t>
      </w:r>
      <w:r w:rsidRPr="00E92CB6">
        <w:tab/>
        <w:t>Aprueba la propuesta de la Comisión en su versión modificada;</w:t>
      </w:r>
    </w:p>
    <w:p w:rsidR="00D372ED" w:rsidRPr="00E92CB6" w:rsidRDefault="00D372ED" w:rsidP="00D372ED">
      <w:pPr>
        <w:pStyle w:val="NormalHanging12a"/>
      </w:pPr>
      <w:r w:rsidRPr="00E92CB6">
        <w:t>2.</w:t>
      </w:r>
      <w:r w:rsidRPr="00E92CB6">
        <w:tab/>
        <w:t>Pide a la Comisión que modifique en consecuencia su propuesta, de conformidad con el artículo 293, apartado 2, del Tratado de Funcionamiento de la Unión Europea;</w:t>
      </w:r>
    </w:p>
    <w:p w:rsidR="00D372ED" w:rsidRPr="00E92CB6" w:rsidRDefault="00D372ED" w:rsidP="00D372ED">
      <w:pPr>
        <w:pStyle w:val="NormalHanging12a"/>
      </w:pPr>
      <w:r w:rsidRPr="00E92CB6">
        <w:t>3.</w:t>
      </w:r>
      <w:r w:rsidRPr="00E92CB6">
        <w:tab/>
        <w:t>Pide al Consejo que le informe si se propone apartarse del texto aprobado por el Parlamento;</w:t>
      </w:r>
    </w:p>
    <w:p w:rsidR="00D372ED" w:rsidRPr="00E92CB6" w:rsidRDefault="00D372ED" w:rsidP="00D372ED">
      <w:pPr>
        <w:pStyle w:val="NormalHanging12a"/>
      </w:pPr>
      <w:r w:rsidRPr="00E92CB6">
        <w:t>4.</w:t>
      </w:r>
      <w:r w:rsidRPr="00E92CB6">
        <w:tab/>
        <w:t>Pide al Consejo que le consulte de nuevo si se propone modificar sustancialmente la propuesta de la Comisión;</w:t>
      </w:r>
    </w:p>
    <w:p w:rsidR="00D372ED" w:rsidRPr="00E92CB6" w:rsidRDefault="00D372ED" w:rsidP="00D372ED">
      <w:pPr>
        <w:pStyle w:val="NormalHanging12a"/>
      </w:pPr>
      <w:r w:rsidRPr="00E92CB6">
        <w:t>5.</w:t>
      </w:r>
      <w:r w:rsidRPr="00E92CB6">
        <w:tab/>
        <w:t xml:space="preserve">Encarga a su presidenta que transmita la Posición del Parlamento al Consejo y a la </w:t>
      </w:r>
      <w:r w:rsidRPr="00E92CB6">
        <w:lastRenderedPageBreak/>
        <w:t>Comisión, así como a los Parlamentos nacionales.</w:t>
      </w:r>
    </w:p>
    <w:p w:rsidR="00D372ED" w:rsidRPr="00E92CB6" w:rsidRDefault="00D372ED" w:rsidP="00D372ED"/>
    <w:p w:rsidR="00D372ED" w:rsidRPr="00E92CB6" w:rsidRDefault="00D372ED" w:rsidP="00D372ED">
      <w:pPr>
        <w:pStyle w:val="AmNumberTabs"/>
        <w:keepNext/>
      </w:pPr>
      <w:r w:rsidRPr="00E92CB6">
        <w:t>Enmienda</w:t>
      </w:r>
      <w:r w:rsidRPr="00E92CB6">
        <w:tab/>
      </w:r>
      <w:r w:rsidRPr="00E92CB6">
        <w:tab/>
        <w:t>1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  <w:keepNext/>
      </w:pPr>
      <w:r w:rsidRPr="00E92CB6">
        <w:t>Considerando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</w:tcPr>
          <w:p w:rsidR="00D372ED" w:rsidRPr="00E92CB6" w:rsidRDefault="00D372ED" w:rsidP="00461178">
            <w:pPr>
              <w:pStyle w:val="Am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</w:tcPr>
          <w:p w:rsidR="00D372ED" w:rsidRPr="00E92CB6" w:rsidRDefault="00D372ED" w:rsidP="00461178">
            <w:pPr>
              <w:pStyle w:val="Am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</w:tcPr>
          <w:p w:rsidR="00D372ED" w:rsidRPr="00E92CB6" w:rsidRDefault="00D372ED" w:rsidP="00461178">
            <w:pPr>
              <w:pStyle w:val="Normal6a"/>
            </w:pPr>
            <w:r w:rsidRPr="00E92CB6">
              <w:t>(2)</w:t>
            </w:r>
            <w:r w:rsidRPr="00E92CB6">
              <w:tab/>
              <w:t>Francia facilitó información que demuestra que</w:t>
            </w:r>
            <w:r w:rsidRPr="00E92CB6">
              <w:rPr>
                <w:b/>
                <w:i/>
              </w:rPr>
              <w:t xml:space="preserve"> tiene un interés específico en la negociación del proyecto de acuerdo transmitido a la Comisión</w:t>
            </w:r>
            <w:r w:rsidRPr="00E92CB6">
              <w:t xml:space="preserve">, debido a los excepcionales vínculos económicos, culturales, históricos, sociales y políticos </w:t>
            </w:r>
            <w:r w:rsidRPr="00E92CB6">
              <w:rPr>
                <w:b/>
                <w:i/>
              </w:rPr>
              <w:t xml:space="preserve">existentes </w:t>
            </w:r>
            <w:r w:rsidRPr="00E92CB6">
              <w:t>entre Francia y Argelia.</w:t>
            </w:r>
          </w:p>
        </w:tc>
        <w:tc>
          <w:tcPr>
            <w:tcW w:w="4876" w:type="dxa"/>
          </w:tcPr>
          <w:p w:rsidR="00D372ED" w:rsidRPr="00E92CB6" w:rsidRDefault="00D372ED" w:rsidP="00461178">
            <w:pPr>
              <w:pStyle w:val="Normal6a"/>
              <w:rPr>
                <w:szCs w:val="24"/>
              </w:rPr>
            </w:pPr>
            <w:r w:rsidRPr="00E92CB6">
              <w:t>(2)</w:t>
            </w:r>
            <w:r w:rsidRPr="00E92CB6">
              <w:tab/>
              <w:t>Francia facilitó información que demuestra que, debido a los excepcionales vínculos económicos, culturales, históricos, sociales y políticos entre Francia y Argelia</w:t>
            </w:r>
            <w:r w:rsidRPr="00E92CB6">
              <w:rPr>
                <w:b/>
                <w:i/>
              </w:rPr>
              <w:t>, Francia tiene un interés específico en la negociación de un acuerdo bilateral con Argelia, cuyo proyecto se transmitió a la Comisión</w:t>
            </w:r>
            <w:r w:rsidRPr="00E92CB6">
              <w:t>.</w:t>
            </w:r>
          </w:p>
        </w:tc>
      </w:tr>
    </w:tbl>
    <w:p w:rsidR="00D372ED" w:rsidRPr="00E92CB6" w:rsidRDefault="00D372ED" w:rsidP="00D372ED"/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2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Considerando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(8)</w:t>
            </w:r>
            <w:r w:rsidRPr="00E92CB6">
              <w:rPr>
                <w:lang w:val="es-ES_tradnl"/>
              </w:rPr>
              <w:tab/>
            </w:r>
            <w:r w:rsidRPr="00E92CB6">
              <w:rPr>
                <w:b/>
                <w:i/>
                <w:lang w:val="es-ES_tradnl"/>
              </w:rPr>
              <w:t>La mayoría de los</w:t>
            </w:r>
            <w:r w:rsidRPr="00E92CB6">
              <w:rPr>
                <w:lang w:val="es-ES_tradnl"/>
              </w:rPr>
              <w:t xml:space="preserve"> asuntos que deben abordarse en el proyecto de acuerdo entre Francia y Argelia afectan al acervo </w:t>
            </w:r>
            <w:r w:rsidRPr="00E92CB6">
              <w:rPr>
                <w:b/>
                <w:i/>
                <w:lang w:val="es-ES_tradnl"/>
              </w:rPr>
              <w:t>de la UE, en particular a la legislación</w:t>
            </w:r>
            <w:r w:rsidRPr="00E92CB6">
              <w:rPr>
                <w:lang w:val="es-ES_tradnl"/>
              </w:rPr>
              <w:t xml:space="preserve"> de la UE en materia de Derecho de familia. Por consiguiente, los asuntos cubiertos por tales compromisos internacionales entran dentro de la competencia externa exclusiva de la Unión. Los Estados miembros solamente pueden negociar o celebrar este tipo de compromisos si</w:t>
            </w:r>
            <w:r w:rsidRPr="00E92CB6">
              <w:rPr>
                <w:b/>
                <w:i/>
                <w:lang w:val="es-ES_tradnl"/>
              </w:rPr>
              <w:t xml:space="preserve"> están facultados para ello por la Unión de conformidad con el</w:t>
            </w:r>
            <w:r w:rsidRPr="00E92CB6">
              <w:rPr>
                <w:lang w:val="es-ES_tradnl"/>
              </w:rPr>
              <w:t xml:space="preserve"> artículo 2, apartado 1, del Tratado de Funcionamiento de la Unión Europea (TFUE), </w:t>
            </w:r>
            <w:r w:rsidRPr="00E92CB6">
              <w:rPr>
                <w:b/>
                <w:i/>
                <w:lang w:val="es-ES_tradnl"/>
              </w:rPr>
              <w:t>leído en relación</w:t>
            </w:r>
            <w:r w:rsidRPr="00E92CB6">
              <w:rPr>
                <w:lang w:val="es-ES_tradnl"/>
              </w:rPr>
              <w:t xml:space="preserve"> con </w:t>
            </w:r>
            <w:r w:rsidRPr="00E92CB6">
              <w:rPr>
                <w:b/>
                <w:i/>
                <w:lang w:val="es-ES_tradnl"/>
              </w:rPr>
              <w:t>la base jurídica sustantiva de</w:t>
            </w:r>
            <w:r w:rsidRPr="00E92CB6">
              <w:rPr>
                <w:lang w:val="es-ES_tradnl"/>
              </w:rPr>
              <w:t xml:space="preserve"> su artículo 81, apartado 3.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t>(8)</w:t>
            </w:r>
            <w:r w:rsidRPr="00E92CB6">
              <w:rPr>
                <w:lang w:val="es-ES_tradnl"/>
              </w:rPr>
              <w:tab/>
            </w:r>
            <w:r w:rsidRPr="00E92CB6">
              <w:rPr>
                <w:b/>
                <w:i/>
                <w:lang w:val="es-ES_tradnl"/>
              </w:rPr>
              <w:t>Ciertos</w:t>
            </w:r>
            <w:r w:rsidRPr="00E92CB6">
              <w:rPr>
                <w:lang w:val="es-ES_tradnl"/>
              </w:rPr>
              <w:t xml:space="preserve"> asuntos que deben abordarse en el proyecto de acuerdo entre Francia y Argelia afectan al acervo </w:t>
            </w:r>
            <w:r w:rsidRPr="00E92CB6">
              <w:rPr>
                <w:b/>
                <w:i/>
                <w:lang w:val="es-ES_tradnl"/>
              </w:rPr>
              <w:t>pertinente</w:t>
            </w:r>
            <w:r w:rsidRPr="00E92CB6">
              <w:rPr>
                <w:lang w:val="es-ES_tradnl"/>
              </w:rPr>
              <w:t xml:space="preserve"> de la UE en materia de Derecho de familia. Por consiguiente, los asuntos cubiertos por tales compromisos internacionales entran dentro de la competencia externa exclusiva de la Unión. Los Estados miembros solamente pueden negociar o celebrar este tipo de compromisos si</w:t>
            </w:r>
            <w:r w:rsidRPr="00E92CB6">
              <w:rPr>
                <w:b/>
                <w:i/>
                <w:lang w:val="es-ES_tradnl"/>
              </w:rPr>
              <w:t>, en virtud del</w:t>
            </w:r>
            <w:r w:rsidRPr="00E92CB6">
              <w:rPr>
                <w:lang w:val="es-ES_tradnl"/>
              </w:rPr>
              <w:t xml:space="preserve"> artículo 2, apartado 1, del Tratado de Funcionamiento de la Unión Europea (TFUE), </w:t>
            </w:r>
            <w:r w:rsidRPr="00E92CB6">
              <w:rPr>
                <w:b/>
                <w:i/>
                <w:lang w:val="es-ES_tradnl"/>
              </w:rPr>
              <w:t>el legislador de la Unión les otorga facultades para hacerlo, de conformidad</w:t>
            </w:r>
            <w:r w:rsidRPr="00E92CB6">
              <w:rPr>
                <w:lang w:val="es-ES_tradnl"/>
              </w:rPr>
              <w:t xml:space="preserve"> con </w:t>
            </w:r>
            <w:r w:rsidRPr="00E92CB6">
              <w:rPr>
                <w:b/>
                <w:i/>
                <w:lang w:val="es-ES_tradnl"/>
              </w:rPr>
              <w:t>el procedimiento legislativo contemplado en</w:t>
            </w:r>
            <w:r w:rsidRPr="00E92CB6">
              <w:rPr>
                <w:lang w:val="es-ES_tradnl"/>
              </w:rPr>
              <w:t xml:space="preserve"> su artículo 81, apartado 3.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3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informará a Argelia de que la Comisión Europea </w:t>
            </w:r>
            <w:r w:rsidRPr="00E92CB6">
              <w:rPr>
                <w:b/>
                <w:i/>
                <w:lang w:val="es-ES_tradnl"/>
              </w:rPr>
              <w:t>participará</w:t>
            </w:r>
            <w:r w:rsidRPr="00E92CB6">
              <w:rPr>
                <w:lang w:val="es-ES_tradnl"/>
              </w:rPr>
              <w:t xml:space="preserve"> en las negociaciones en calidad de observadora y será informada de los progresos y resultados alcanzados en las distintas fases de las negociaciones;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informará a Argelia de que la Comisión Europea </w:t>
            </w:r>
            <w:r w:rsidRPr="00E92CB6">
              <w:rPr>
                <w:b/>
                <w:i/>
                <w:lang w:val="es-ES_tradnl"/>
              </w:rPr>
              <w:t>podrá participar</w:t>
            </w:r>
            <w:r w:rsidRPr="00E92CB6">
              <w:rPr>
                <w:lang w:val="es-ES_tradnl"/>
              </w:rPr>
              <w:t xml:space="preserve"> en las negociaciones en calidad de observadora y será informada de los progresos y resultados alcanzados en las distintas fases de las negociaciones;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4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instará a Argelia a considerar la adhesión a los convenios fundamentales en materia de Derecho de familia elaborados por la Conferencia de La Haya de Derecho Internacional Privado y se iniciará un análisis </w:t>
            </w:r>
            <w:r w:rsidRPr="00E92CB6">
              <w:rPr>
                <w:b/>
                <w:i/>
                <w:lang w:val="es-ES_tradnl"/>
              </w:rPr>
              <w:t>serio de las razones</w:t>
            </w:r>
            <w:r w:rsidRPr="00E92CB6">
              <w:rPr>
                <w:lang w:val="es-ES_tradnl"/>
              </w:rPr>
              <w:t xml:space="preserve"> que han impedido a Argelia hacerlo hasta el momento;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instará a Argelia a considerar la adhesión a los convenios fundamentales en materia de Derecho de familia elaborados por la Conferencia de La Haya de Derecho Internacional Privado y se iniciará un análisis </w:t>
            </w:r>
            <w:r w:rsidRPr="00E92CB6">
              <w:rPr>
                <w:b/>
                <w:i/>
                <w:lang w:val="es-ES_tradnl"/>
              </w:rPr>
              <w:t>de los medios más adecuados para suprimir los obstáculos</w:t>
            </w:r>
            <w:r w:rsidRPr="00E92CB6">
              <w:rPr>
                <w:lang w:val="es-ES_tradnl"/>
              </w:rPr>
              <w:t xml:space="preserve"> que han impedido a Argelia hacerlo hasta el momento;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5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informará a Argelia de que, concluidas las negociaciones, se requerirá una autorización del Consejo de la Unión Europea para que se permita a </w:t>
            </w:r>
            <w:r w:rsidRPr="00E92CB6">
              <w:rPr>
                <w:b/>
                <w:i/>
                <w:lang w:val="es-ES_tradnl"/>
              </w:rPr>
              <w:t>las Partes</w:t>
            </w:r>
            <w:r w:rsidRPr="00E92CB6">
              <w:rPr>
                <w:lang w:val="es-ES_tradnl"/>
              </w:rPr>
              <w:t xml:space="preserve"> celebrar el acuerdo;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informará a Argelia de que, concluidas las negociaciones, se requerirá una autorización del Consejo de la Unión Europea para que se permita a </w:t>
            </w:r>
            <w:r w:rsidRPr="00E92CB6">
              <w:rPr>
                <w:b/>
                <w:i/>
                <w:lang w:val="es-ES_tradnl"/>
              </w:rPr>
              <w:t>Francia</w:t>
            </w:r>
            <w:r w:rsidRPr="00E92CB6">
              <w:rPr>
                <w:lang w:val="es-ES_tradnl"/>
              </w:rPr>
              <w:t xml:space="preserve"> celebrar el acuerdo;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6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informará a Argelia de que la </w:t>
            </w:r>
            <w:r w:rsidRPr="00E92CB6">
              <w:rPr>
                <w:lang w:val="es-ES_tradnl"/>
              </w:rPr>
              <w:lastRenderedPageBreak/>
              <w:t>autorización del Consejo de la Unión Europea para celebrar el acuerdo, previa propuesta de la Comisión, podrá prever que el acuerdo tenga una validez limitada en el tiempo</w:t>
            </w:r>
            <w:r w:rsidRPr="00E92CB6">
              <w:rPr>
                <w:b/>
                <w:i/>
                <w:lang w:val="es-ES_tradnl"/>
              </w:rPr>
              <w:t xml:space="preserve"> (por ejemplo, cinco años)</w:t>
            </w:r>
            <w:r w:rsidRPr="00E92CB6">
              <w:rPr>
                <w:lang w:val="es-ES_tradnl"/>
              </w:rPr>
              <w:t xml:space="preserve"> y</w:t>
            </w:r>
            <w:r w:rsidRPr="00E92CB6">
              <w:rPr>
                <w:b/>
                <w:i/>
                <w:lang w:val="es-ES_tradnl"/>
              </w:rPr>
              <w:t>, transcurrido ese plazo, podrá ser reconsiderada</w:t>
            </w:r>
            <w:r w:rsidRPr="00E92CB6">
              <w:rPr>
                <w:lang w:val="es-ES_tradnl"/>
              </w:rPr>
              <w:t>;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lastRenderedPageBreak/>
              <w:t>—</w:t>
            </w:r>
            <w:r w:rsidRPr="00E92CB6">
              <w:rPr>
                <w:lang w:val="es-ES_tradnl"/>
              </w:rPr>
              <w:tab/>
              <w:t xml:space="preserve">se informará a Argelia de que la </w:t>
            </w:r>
            <w:r w:rsidRPr="00E92CB6">
              <w:rPr>
                <w:lang w:val="es-ES_tradnl"/>
              </w:rPr>
              <w:lastRenderedPageBreak/>
              <w:t>autorización del Consejo de la Unión Europea para celebrar el acuerdo, previa propuesta de la Comisión, podrá prever que el acuerdo tenga una validez limitada en el tiempo</w:t>
            </w:r>
            <w:r w:rsidRPr="00E92CB6">
              <w:rPr>
                <w:b/>
                <w:i/>
                <w:lang w:val="es-ES_tradnl"/>
              </w:rPr>
              <w:t>, posiblemente con un sistema de renovación tácita que se indicará en la Decisión del Parlamento Europeo</w:t>
            </w:r>
            <w:r w:rsidRPr="00E92CB6">
              <w:rPr>
                <w:lang w:val="es-ES_tradnl"/>
              </w:rPr>
              <w:t xml:space="preserve"> y</w:t>
            </w:r>
            <w:r w:rsidRPr="00E92CB6">
              <w:rPr>
                <w:b/>
                <w:i/>
                <w:lang w:val="es-ES_tradnl"/>
              </w:rPr>
              <w:t xml:space="preserve"> del Consejo relativa a la celebración del acuerdo</w:t>
            </w:r>
            <w:r w:rsidRPr="00E92CB6">
              <w:rPr>
                <w:lang w:val="es-ES_tradnl"/>
              </w:rPr>
              <w:t>;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7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4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b/>
                <w:i/>
                <w:lang w:val="es-ES_tradnl"/>
              </w:rPr>
              <w:t>—</w:t>
            </w:r>
            <w:r w:rsidRPr="00E92CB6">
              <w:rPr>
                <w:b/>
                <w:i/>
                <w:lang w:val="es-ES_tradnl"/>
              </w:rPr>
              <w:tab/>
              <w:t>se incluirá una disposición que prevea la denuncia total o parcial del acuerdo o la sustitución directa de las disposiciones pertinentes del acuerdo en caso de celebración de un acuerdo posterior entre la Unión o la Unión y sus Estados miembros, por una parte, y Argelia, por otra, o la adhesión de Argelia a los Convenios de La Haya pertinentes;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8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>se incluirá una disposición con arreglo a la cual las resoluciones reconocidas en Francia en virtud del acuerdo no puedan circular posteriormente en otros Estados miembros de la UE;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>se incluirá una disposición con arreglo a la cual las resoluciones reconocidas en Francia en virtud del acuerdo no puedan circular posteriormente en otros Estados miembros de la UE</w:t>
            </w:r>
            <w:r w:rsidRPr="00E92CB6">
              <w:rPr>
                <w:b/>
                <w:i/>
                <w:lang w:val="es-ES_tradnl"/>
              </w:rPr>
              <w:t xml:space="preserve"> con arreglo al Derecho de la Unión</w:t>
            </w:r>
            <w:r w:rsidRPr="00E92CB6">
              <w:rPr>
                <w:lang w:val="es-ES_tradnl"/>
              </w:rPr>
              <w:t>;</w:t>
            </w:r>
          </w:p>
        </w:tc>
      </w:tr>
    </w:tbl>
    <w:p w:rsidR="00D372ED" w:rsidRPr="00E92CB6" w:rsidRDefault="00D372ED" w:rsidP="00D372ED">
      <w:pPr>
        <w:rPr>
          <w:szCs w:val="24"/>
        </w:rPr>
      </w:pPr>
    </w:p>
    <w:p w:rsidR="00D372ED" w:rsidRPr="00E92CB6" w:rsidRDefault="00D372ED" w:rsidP="00D372ED">
      <w:pPr>
        <w:pStyle w:val="AMNumberTabs0"/>
        <w:keepNext/>
      </w:pPr>
      <w:r w:rsidRPr="00E92CB6">
        <w:t>Enmienda</w:t>
      </w:r>
      <w:r w:rsidRPr="00E92CB6">
        <w:tab/>
      </w:r>
      <w:r w:rsidRPr="00E92CB6">
        <w:tab/>
        <w:t>9</w:t>
      </w:r>
    </w:p>
    <w:p w:rsidR="00D372ED" w:rsidRPr="00E92CB6" w:rsidRDefault="00D372ED" w:rsidP="00D372ED">
      <w:pPr>
        <w:pStyle w:val="NormalBold12b"/>
        <w:keepNext/>
      </w:pPr>
      <w:r w:rsidRPr="00E92CB6">
        <w:t>Propuesta de Decisión</w:t>
      </w:r>
    </w:p>
    <w:p w:rsidR="00D372ED" w:rsidRPr="00E92CB6" w:rsidRDefault="00D372ED" w:rsidP="00D372ED">
      <w:pPr>
        <w:pStyle w:val="NormalBold"/>
      </w:pPr>
      <w:r w:rsidRPr="00E92CB6">
        <w:t>Artículo 1 – párrafo 1 – guion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72ED" w:rsidRPr="00E92CB6" w:rsidTr="00461178">
        <w:trPr>
          <w:jc w:val="center"/>
        </w:trPr>
        <w:tc>
          <w:tcPr>
            <w:tcW w:w="9752" w:type="dxa"/>
            <w:gridSpan w:val="2"/>
          </w:tcPr>
          <w:p w:rsidR="00D372ED" w:rsidRPr="00E92CB6" w:rsidRDefault="00D372ED" w:rsidP="00461178">
            <w:pPr>
              <w:keepNext/>
            </w:pPr>
          </w:p>
        </w:tc>
      </w:tr>
      <w:tr w:rsidR="00D372ED" w:rsidRPr="00E92CB6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Texto de la Comisión</w:t>
            </w:r>
          </w:p>
        </w:tc>
        <w:tc>
          <w:tcPr>
            <w:tcW w:w="4876" w:type="dxa"/>
            <w:hideMark/>
          </w:tcPr>
          <w:p w:rsidR="00D372ED" w:rsidRPr="00E92CB6" w:rsidRDefault="00D372ED" w:rsidP="00461178">
            <w:pPr>
              <w:pStyle w:val="ColumnHeading"/>
              <w:keepNext/>
            </w:pPr>
            <w:r w:rsidRPr="00E92CB6">
              <w:t>Enmienda</w:t>
            </w:r>
          </w:p>
        </w:tc>
      </w:tr>
      <w:tr w:rsidR="00D372ED" w:rsidRPr="0077106D" w:rsidTr="00461178">
        <w:trPr>
          <w:jc w:val="center"/>
        </w:trPr>
        <w:tc>
          <w:tcPr>
            <w:tcW w:w="4876" w:type="dxa"/>
            <w:hideMark/>
          </w:tcPr>
          <w:p w:rsidR="00D372ED" w:rsidRPr="00E92CB6" w:rsidRDefault="00D372ED" w:rsidP="00461178">
            <w:pPr>
              <w:pStyle w:val="Normal6"/>
              <w:rPr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garantizará que las disposiciones </w:t>
            </w:r>
            <w:r w:rsidRPr="00E92CB6">
              <w:rPr>
                <w:b/>
                <w:i/>
                <w:lang w:val="es-ES_tradnl"/>
              </w:rPr>
              <w:t>relativas al derecho a rechazar la notificación o el traslado de documentos se ajusten a lo dispuesto en el artículo 12, apartado 3, de la refundición del Reglamento sobre notificación y traslado de documentos, lo que significa que el destinatario podrá negarse a aceptar la notificación o el traslado de documentos en el momento de la notificación o el traslado o en un plazo de dos semanas a partir de la notificación o el traslado</w:t>
            </w:r>
            <w:r w:rsidRPr="00E92CB6">
              <w:rPr>
                <w:lang w:val="es-ES_tradnl"/>
              </w:rPr>
              <w:t>;</w:t>
            </w:r>
          </w:p>
        </w:tc>
        <w:tc>
          <w:tcPr>
            <w:tcW w:w="4876" w:type="dxa"/>
            <w:hideMark/>
          </w:tcPr>
          <w:p w:rsidR="00D372ED" w:rsidRPr="0077106D" w:rsidRDefault="00D372ED" w:rsidP="00461178">
            <w:pPr>
              <w:pStyle w:val="Normal6"/>
              <w:rPr>
                <w:szCs w:val="24"/>
                <w:lang w:val="es-ES_tradnl"/>
              </w:rPr>
            </w:pPr>
            <w:r w:rsidRPr="00E92CB6">
              <w:rPr>
                <w:lang w:val="es-ES_tradnl"/>
              </w:rPr>
              <w:t>—</w:t>
            </w:r>
            <w:r w:rsidRPr="00E92CB6">
              <w:rPr>
                <w:lang w:val="es-ES_tradnl"/>
              </w:rPr>
              <w:tab/>
              <w:t xml:space="preserve">se garantizará que las disposiciones </w:t>
            </w:r>
            <w:r w:rsidRPr="00E92CB6">
              <w:rPr>
                <w:b/>
                <w:i/>
                <w:lang w:val="es-ES_tradnl"/>
              </w:rPr>
              <w:t>del acuerdo negociado con Argelia cumplan el acervo pertinente de la Unión y los Convenios de La Haya</w:t>
            </w:r>
            <w:r w:rsidRPr="00E92CB6">
              <w:rPr>
                <w:lang w:val="es-ES_tradnl"/>
              </w:rPr>
              <w:t>;</w:t>
            </w:r>
          </w:p>
        </w:tc>
      </w:tr>
    </w:tbl>
    <w:p w:rsidR="00E365E1" w:rsidRPr="0077106D" w:rsidRDefault="00E365E1" w:rsidP="003737AE">
      <w:bookmarkStart w:id="9" w:name="TextBodyEnd"/>
      <w:bookmarkEnd w:id="9"/>
    </w:p>
    <w:sectPr w:rsidR="00E365E1" w:rsidRPr="0077106D" w:rsidSect="00E47B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2E8" w:rsidRPr="00E47BE3" w:rsidRDefault="009652E8">
      <w:r w:rsidRPr="00E47BE3">
        <w:separator/>
      </w:r>
    </w:p>
  </w:endnote>
  <w:endnote w:type="continuationSeparator" w:id="0">
    <w:p w:rsidR="009652E8" w:rsidRPr="00E47BE3" w:rsidRDefault="009652E8">
      <w:r w:rsidRPr="00E47B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7B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7B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7B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2E8" w:rsidRPr="00E47BE3" w:rsidRDefault="009652E8">
      <w:r w:rsidRPr="00E47BE3">
        <w:separator/>
      </w:r>
    </w:p>
  </w:footnote>
  <w:footnote w:type="continuationSeparator" w:id="0">
    <w:p w:rsidR="009652E8" w:rsidRPr="00E47BE3" w:rsidRDefault="009652E8">
      <w:r w:rsidRPr="00E47B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7B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7B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7B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ES"/>
    <w:docVar w:name="dvnumam" w:val="9"/>
    <w:docVar w:name="dvpe" w:val="751.709"/>
    <w:docVar w:name="dvrapporteur" w:val="Ponente: "/>
    <w:docVar w:name="dvstar" w:val="*"/>
    <w:docVar w:name="dvtitre" w:val="Resolución legislativa del Parlamento Europeo, de x de diciembre de 2023, sobre la propuesta de Decisión del Consejo relativa a una autorización dirigida a Francia para negociar un acuerdo bilateral con Argelia sobre asuntos relacionados con la cooperación judicial en materia de Derecho de familia(COM(2023)0064 – C9-0026/2023 – 2023/0027(CNS))"/>
  </w:docVars>
  <w:rsids>
    <w:rsidRoot w:val="009652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37F"/>
    <w:rsid w:val="00343214"/>
    <w:rsid w:val="00361C00"/>
    <w:rsid w:val="003737A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06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2E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2ED"/>
    <w:rsid w:val="00D56C11"/>
    <w:rsid w:val="00D834A0"/>
    <w:rsid w:val="00D872DF"/>
    <w:rsid w:val="00D91E21"/>
    <w:rsid w:val="00DA7FCD"/>
    <w:rsid w:val="00E365E1"/>
    <w:rsid w:val="00E47BE3"/>
    <w:rsid w:val="00E820A4"/>
    <w:rsid w:val="00E92CB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7FD9F-A44D-4F7F-A2BF-9D218EBA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72ED"/>
    <w:pPr>
      <w:spacing w:before="480" w:after="240"/>
    </w:pPr>
  </w:style>
  <w:style w:type="paragraph" w:customStyle="1" w:styleId="Normal6a">
    <w:name w:val="Normal6a"/>
    <w:basedOn w:val="Normal"/>
    <w:rsid w:val="00D372ED"/>
    <w:pPr>
      <w:spacing w:after="120"/>
    </w:pPr>
  </w:style>
  <w:style w:type="paragraph" w:customStyle="1" w:styleId="NormalBold">
    <w:name w:val="NormalBold"/>
    <w:basedOn w:val="Normal"/>
    <w:link w:val="NormalBoldChar"/>
    <w:rsid w:val="00D372ED"/>
    <w:rPr>
      <w:b/>
    </w:rPr>
  </w:style>
  <w:style w:type="paragraph" w:customStyle="1" w:styleId="NormalHanging12a">
    <w:name w:val="NormalHanging12a"/>
    <w:basedOn w:val="Normal"/>
    <w:rsid w:val="00D372E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372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372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372ED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D372ED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D372ED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D372ED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D372E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372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771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106D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F40DB-1088-4CB8-8EE8-93A205873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1223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RELFINALE</dc:creator>
  <cp:keywords/>
  <cp:lastModifiedBy>César Castelló</cp:lastModifiedBy>
  <cp:revision>2</cp:revision>
  <cp:lastPrinted>2004-11-19T15:42:00Z</cp:lastPrinted>
  <dcterms:created xsi:type="dcterms:W3CDTF">2023-12-12T13:16:00Z</dcterms:created>
  <dcterms:modified xsi:type="dcterms:W3CDTF">2023-12-12T13:16:00Z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