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6B5C" w:rsidTr="0010095E">
        <w:trPr>
          <w:trHeight w:hRule="exact" w:val="1418"/>
        </w:trPr>
        <w:tc>
          <w:tcPr>
            <w:tcW w:w="6804" w:type="dxa"/>
            <w:shd w:val="clear" w:color="auto" w:fill="auto"/>
            <w:vAlign w:val="center"/>
          </w:tcPr>
          <w:p w:rsidR="00751A4A" w:rsidRPr="00886B5C" w:rsidRDefault="00F35BDD" w:rsidP="0010095E">
            <w:pPr>
              <w:pStyle w:val="EPName"/>
            </w:pPr>
            <w:bookmarkStart w:id="0" w:name="_GoBack"/>
            <w:bookmarkEnd w:id="0"/>
            <w:r w:rsidRPr="00886B5C">
              <w:t>Eiropas Parlaments</w:t>
            </w:r>
          </w:p>
          <w:p w:rsidR="00751A4A" w:rsidRPr="00886B5C" w:rsidRDefault="00817416" w:rsidP="00756632">
            <w:pPr>
              <w:pStyle w:val="EPTerm"/>
              <w:rPr>
                <w:rStyle w:val="HideTWBExt"/>
                <w:noProof w:val="0"/>
                <w:vanish w:val="0"/>
                <w:color w:val="auto"/>
              </w:rPr>
            </w:pPr>
            <w:r w:rsidRPr="00886B5C">
              <w:t>2019-2024</w:t>
            </w:r>
          </w:p>
        </w:tc>
        <w:tc>
          <w:tcPr>
            <w:tcW w:w="2268" w:type="dxa"/>
            <w:shd w:val="clear" w:color="auto" w:fill="auto"/>
          </w:tcPr>
          <w:p w:rsidR="00751A4A" w:rsidRPr="00886B5C" w:rsidRDefault="00187494" w:rsidP="0010095E">
            <w:pPr>
              <w:pStyle w:val="EPLogo"/>
            </w:pPr>
            <w:r w:rsidRPr="00886B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6B5C" w:rsidRDefault="00D058B8" w:rsidP="004C5D52">
      <w:pPr>
        <w:pStyle w:val="LineTop"/>
      </w:pPr>
    </w:p>
    <w:p w:rsidR="00680577" w:rsidRPr="00886B5C" w:rsidRDefault="00F35BDD" w:rsidP="00680577">
      <w:pPr>
        <w:pStyle w:val="EPBodyTA1"/>
      </w:pPr>
      <w:r w:rsidRPr="00886B5C">
        <w:t>PIEŅEMTIE TEKSTI</w:t>
      </w:r>
    </w:p>
    <w:p w:rsidR="00D058B8" w:rsidRPr="00886B5C" w:rsidRDefault="00D058B8" w:rsidP="00D058B8">
      <w:pPr>
        <w:pStyle w:val="LineBottom"/>
      </w:pPr>
    </w:p>
    <w:p w:rsidR="00F35BDD" w:rsidRPr="00886B5C" w:rsidRDefault="00F35BDD" w:rsidP="00F35BDD">
      <w:pPr>
        <w:pStyle w:val="ATHeading1"/>
      </w:pPr>
      <w:bookmarkStart w:id="1" w:name="TANumber"/>
      <w:r w:rsidRPr="00886B5C">
        <w:t>P9_TA(2023)0</w:t>
      </w:r>
      <w:bookmarkEnd w:id="1"/>
      <w:r w:rsidR="00886B5C" w:rsidRPr="00886B5C">
        <w:t>449</w:t>
      </w:r>
    </w:p>
    <w:p w:rsidR="00F35BDD" w:rsidRPr="00886B5C" w:rsidRDefault="00825192" w:rsidP="00F35BDD">
      <w:pPr>
        <w:pStyle w:val="ATHeading2"/>
      </w:pPr>
      <w:r w:rsidRPr="00886B5C">
        <w:t xml:space="preserve">Francijai adresēts pilnvarojums risināt sarunas par divpusēju nolīgumu ar Alžīriju </w:t>
      </w:r>
      <w:r w:rsidR="000E7D1A" w:rsidRPr="00886B5C">
        <w:t>par</w:t>
      </w:r>
      <w:r w:rsidRPr="00886B5C">
        <w:t xml:space="preserve"> tiesu iestāžu sadarbību ģimenes tiesību lietās </w:t>
      </w:r>
    </w:p>
    <w:p w:rsidR="00F35BDD" w:rsidRPr="00886B5C" w:rsidRDefault="00F35BDD" w:rsidP="00F35BDD">
      <w:pPr>
        <w:rPr>
          <w:i/>
          <w:vanish/>
        </w:rPr>
      </w:pPr>
      <w:r w:rsidRPr="00886B5C">
        <w:rPr>
          <w:i/>
        </w:rPr>
        <w:fldChar w:fldCharType="begin"/>
      </w:r>
      <w:r w:rsidRPr="00886B5C">
        <w:rPr>
          <w:i/>
        </w:rPr>
        <w:instrText xml:space="preserve"> TC"(</w:instrText>
      </w:r>
      <w:bookmarkStart w:id="2" w:name="DocNumber"/>
      <w:r w:rsidRPr="00886B5C">
        <w:rPr>
          <w:i/>
        </w:rPr>
        <w:instrText>A9-0355/2023</w:instrText>
      </w:r>
      <w:bookmarkEnd w:id="2"/>
      <w:r w:rsidRPr="00886B5C">
        <w:rPr>
          <w:i/>
        </w:rPr>
        <w:instrText xml:space="preserve"> - Referente: Ilana Cicurel)"\l3 \n&gt; \* MERGEFORMAT </w:instrText>
      </w:r>
      <w:r w:rsidRPr="00886B5C">
        <w:rPr>
          <w:i/>
        </w:rPr>
        <w:fldChar w:fldCharType="end"/>
      </w:r>
    </w:p>
    <w:p w:rsidR="00F35BDD" w:rsidRPr="00886B5C" w:rsidRDefault="00F35BDD" w:rsidP="00F35BDD">
      <w:pPr>
        <w:rPr>
          <w:vanish/>
        </w:rPr>
      </w:pPr>
      <w:bookmarkStart w:id="3" w:name="Commission"/>
      <w:r w:rsidRPr="00886B5C">
        <w:rPr>
          <w:vanish/>
        </w:rPr>
        <w:t>Juridiskā komiteja</w:t>
      </w:r>
      <w:bookmarkEnd w:id="3"/>
    </w:p>
    <w:p w:rsidR="00F35BDD" w:rsidRPr="00886B5C" w:rsidRDefault="00F35BDD" w:rsidP="00F35BDD">
      <w:pPr>
        <w:rPr>
          <w:vanish/>
        </w:rPr>
      </w:pPr>
      <w:bookmarkStart w:id="4" w:name="PE"/>
      <w:r w:rsidRPr="00886B5C">
        <w:rPr>
          <w:vanish/>
        </w:rPr>
        <w:t>PE751.709</w:t>
      </w:r>
      <w:bookmarkEnd w:id="4"/>
    </w:p>
    <w:p w:rsidR="00023044" w:rsidRPr="00886B5C" w:rsidRDefault="00F35BDD" w:rsidP="00825192">
      <w:pPr>
        <w:pStyle w:val="ATHeading3"/>
      </w:pPr>
      <w:bookmarkStart w:id="5" w:name="Sujet"/>
      <w:r w:rsidRPr="00886B5C">
        <w:t xml:space="preserve">Eiropas Parlamenta 2023. gada </w:t>
      </w:r>
      <w:r w:rsidR="008456BF" w:rsidRPr="00886B5C">
        <w:t>12</w:t>
      </w:r>
      <w:r w:rsidRPr="00886B5C">
        <w:t xml:space="preserve">. </w:t>
      </w:r>
      <w:r w:rsidR="00825192" w:rsidRPr="00886B5C">
        <w:t>decembra</w:t>
      </w:r>
      <w:r w:rsidRPr="00886B5C">
        <w:t xml:space="preserve"> normatīvā rezolūcija par priekšlikumu Padomes lēmumam par Francijai adresētu pilnvarojumu risināt sarunas par divpusēju nolīgumu ar Alžīriju jautājumos, kas saistīti ar tiesu iestāžu sadarbību ģimenes tiesību lietās</w:t>
      </w:r>
      <w:bookmarkEnd w:id="5"/>
      <w:r w:rsidRPr="00886B5C">
        <w:t xml:space="preserve"> </w:t>
      </w:r>
      <w:bookmarkStart w:id="6" w:name="References"/>
      <w:r w:rsidRPr="00886B5C">
        <w:t>(COM(2023)0064 – C9-0026/2023 – 2023/0027(CNS))</w:t>
      </w:r>
      <w:bookmarkStart w:id="7" w:name="TextBodyBegin"/>
      <w:bookmarkEnd w:id="6"/>
      <w:bookmarkEnd w:id="7"/>
    </w:p>
    <w:p w:rsidR="00023044" w:rsidRPr="00886B5C" w:rsidRDefault="00023044" w:rsidP="00023044">
      <w:pPr>
        <w:pStyle w:val="NormalBold"/>
      </w:pPr>
      <w:r w:rsidRPr="00886B5C">
        <w:t>(Īpašā likumdošanas procedūra — apspriešanās)</w:t>
      </w:r>
    </w:p>
    <w:p w:rsidR="00023044" w:rsidRPr="00886B5C" w:rsidRDefault="00023044" w:rsidP="00023044">
      <w:pPr>
        <w:pStyle w:val="EPComma"/>
      </w:pPr>
      <w:r w:rsidRPr="00886B5C">
        <w:rPr>
          <w:i/>
        </w:rPr>
        <w:t>Eiropas Parlaments</w:t>
      </w:r>
      <w:r w:rsidRPr="00886B5C">
        <w:t>,</w:t>
      </w:r>
    </w:p>
    <w:p w:rsidR="00023044" w:rsidRPr="00886B5C" w:rsidRDefault="00023044" w:rsidP="00023044">
      <w:pPr>
        <w:pStyle w:val="NormalHanging12a"/>
      </w:pPr>
      <w:r w:rsidRPr="00886B5C">
        <w:t>–</w:t>
      </w:r>
      <w:r w:rsidRPr="00886B5C">
        <w:tab/>
        <w:t>ņemot vērā Komisijas priekšlikumu Padomei (COM(2023)0064),</w:t>
      </w:r>
    </w:p>
    <w:p w:rsidR="00023044" w:rsidRPr="00886B5C" w:rsidRDefault="00023044" w:rsidP="00023044">
      <w:pPr>
        <w:pStyle w:val="NormalHanging12a"/>
      </w:pPr>
      <w:r w:rsidRPr="00886B5C">
        <w:t>–</w:t>
      </w:r>
      <w:r w:rsidRPr="00886B5C">
        <w:tab/>
        <w:t>ņemot vērā Līguma par Eiropas Savienības darbību 2. panta 1. punktu un 81. panta 3. punktu, saskaņā ar kuriem Padome ar to ir apspriedusies (C9-0026/2023),</w:t>
      </w:r>
    </w:p>
    <w:p w:rsidR="00023044" w:rsidRPr="00886B5C" w:rsidRDefault="00023044" w:rsidP="00023044">
      <w:pPr>
        <w:pStyle w:val="NormalHanging12a"/>
      </w:pPr>
      <w:r w:rsidRPr="00886B5C">
        <w:t>–</w:t>
      </w:r>
      <w:r w:rsidRPr="00886B5C">
        <w:tab/>
        <w:t>ņemot vērā Reglamenta 82. pantu,</w:t>
      </w:r>
    </w:p>
    <w:p w:rsidR="00023044" w:rsidRPr="00886B5C" w:rsidRDefault="00023044" w:rsidP="00023044">
      <w:pPr>
        <w:pStyle w:val="NormalHanging12a"/>
      </w:pPr>
      <w:r w:rsidRPr="00886B5C">
        <w:t>–</w:t>
      </w:r>
      <w:r w:rsidRPr="00886B5C">
        <w:tab/>
        <w:t>ņemot vērā Juridiskās komitejas ziņojumu (A9-0355/2023),</w:t>
      </w:r>
    </w:p>
    <w:p w:rsidR="00023044" w:rsidRPr="00886B5C" w:rsidRDefault="00023044" w:rsidP="00023044">
      <w:pPr>
        <w:pStyle w:val="NormalHanging12a"/>
      </w:pPr>
      <w:r w:rsidRPr="00886B5C">
        <w:t>1.</w:t>
      </w:r>
      <w:r w:rsidRPr="00886B5C">
        <w:tab/>
        <w:t>apstiprina grozīto Komisijas priekšlikumu;</w:t>
      </w:r>
    </w:p>
    <w:p w:rsidR="00023044" w:rsidRPr="00886B5C" w:rsidRDefault="00023044" w:rsidP="00023044">
      <w:pPr>
        <w:pStyle w:val="NormalHanging12a"/>
      </w:pPr>
      <w:r w:rsidRPr="00886B5C">
        <w:t>2.</w:t>
      </w:r>
      <w:r w:rsidRPr="00886B5C">
        <w:tab/>
        <w:t>tādēļ aicina Komisiju grozīt savu priekšlikumu saskaņā ar Līguma par Eiropas Savienības darbību 293. panta 2. punktu;</w:t>
      </w:r>
    </w:p>
    <w:p w:rsidR="00023044" w:rsidRPr="00886B5C" w:rsidRDefault="00023044" w:rsidP="00023044">
      <w:pPr>
        <w:pStyle w:val="NormalHanging12a"/>
      </w:pPr>
      <w:r w:rsidRPr="00886B5C">
        <w:t>3.</w:t>
      </w:r>
      <w:r w:rsidRPr="00886B5C">
        <w:tab/>
        <w:t>aicina Padomi informēt Parlamentu, ja tā ir paredzējusi izmaiņas Parlamenta apstiprinātajā tekstā;</w:t>
      </w:r>
    </w:p>
    <w:p w:rsidR="00023044" w:rsidRPr="00886B5C" w:rsidRDefault="00023044" w:rsidP="00023044">
      <w:pPr>
        <w:pStyle w:val="NormalHanging12a"/>
      </w:pPr>
      <w:r w:rsidRPr="00886B5C">
        <w:t>4.</w:t>
      </w:r>
      <w:r w:rsidRPr="00886B5C">
        <w:tab/>
        <w:t>prasa Padomei vēlreiz ar to apspriesties, ja tā ir paredzējusi būtiski grozīt Komisijas priekšlikumu;</w:t>
      </w:r>
    </w:p>
    <w:p w:rsidR="00023044" w:rsidRPr="00886B5C" w:rsidRDefault="00023044" w:rsidP="00023044">
      <w:pPr>
        <w:pStyle w:val="NormalHanging12a"/>
      </w:pPr>
      <w:r w:rsidRPr="00886B5C">
        <w:t>5.</w:t>
      </w:r>
      <w:r w:rsidRPr="00886B5C">
        <w:tab/>
        <w:t>uzdod priekšsēdētājai nosūtīt šo nostāju Padomei, Komisijai un dalībvalstu parlamentiem.</w:t>
      </w:r>
    </w:p>
    <w:p w:rsidR="00023044" w:rsidRPr="00886B5C" w:rsidRDefault="00023044" w:rsidP="00023044"/>
    <w:p w:rsidR="00023044" w:rsidRPr="00886B5C" w:rsidRDefault="00023044" w:rsidP="00023044">
      <w:pPr>
        <w:pStyle w:val="AmNumberTabs"/>
        <w:keepNext/>
      </w:pPr>
      <w:r w:rsidRPr="00886B5C">
        <w:lastRenderedPageBreak/>
        <w:t>Grozījums Nr.</w:t>
      </w:r>
      <w:r w:rsidRPr="00886B5C">
        <w:tab/>
      </w:r>
      <w:r w:rsidRPr="00886B5C">
        <w:tab/>
        <w:t>1</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keepNext/>
      </w:pPr>
      <w:r w:rsidRPr="00886B5C">
        <w:t>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tcPr>
          <w:p w:rsidR="00023044" w:rsidRPr="00886B5C" w:rsidRDefault="00023044" w:rsidP="00216DA5">
            <w:pPr>
              <w:pStyle w:val="AmColumnHeading"/>
              <w:keepNext/>
            </w:pPr>
            <w:r w:rsidRPr="00886B5C">
              <w:t>Komisijas ierosinātais teksts</w:t>
            </w:r>
          </w:p>
        </w:tc>
        <w:tc>
          <w:tcPr>
            <w:tcW w:w="4876" w:type="dxa"/>
          </w:tcPr>
          <w:p w:rsidR="00023044" w:rsidRPr="00886B5C" w:rsidRDefault="00023044" w:rsidP="00216DA5">
            <w:pPr>
              <w:pStyle w:val="AmColumnHeading"/>
              <w:keepNext/>
            </w:pPr>
            <w:r w:rsidRPr="00886B5C">
              <w:t>Grozījums</w:t>
            </w:r>
          </w:p>
        </w:tc>
      </w:tr>
      <w:tr w:rsidR="00023044" w:rsidRPr="00886B5C" w:rsidTr="00216DA5">
        <w:trPr>
          <w:jc w:val="center"/>
        </w:trPr>
        <w:tc>
          <w:tcPr>
            <w:tcW w:w="4876" w:type="dxa"/>
          </w:tcPr>
          <w:p w:rsidR="00023044" w:rsidRPr="00886B5C" w:rsidRDefault="00023044" w:rsidP="00216DA5">
            <w:pPr>
              <w:pStyle w:val="Normal6a"/>
            </w:pPr>
            <w:r w:rsidRPr="00886B5C">
              <w:t>(2)</w:t>
            </w:r>
            <w:r w:rsidRPr="00886B5C">
              <w:tab/>
              <w:t xml:space="preserve">Francija sniedza informāciju, kas liecina, ka </w:t>
            </w:r>
            <w:r w:rsidRPr="00886B5C">
              <w:rPr>
                <w:b/>
                <w:i/>
              </w:rPr>
              <w:t>tā ir īpaši ieinteresēta risināt sarunas par Komisijai nosūtīto nolīguma projektu, ņemot vērā Francijas un Alžīrijas īpašās ekonomiskās, kultūras</w:t>
            </w:r>
            <w:r w:rsidRPr="00886B5C">
              <w:t xml:space="preserve">, </w:t>
            </w:r>
            <w:r w:rsidRPr="00886B5C">
              <w:rPr>
                <w:b/>
                <w:i/>
              </w:rPr>
              <w:t>vēsturiskās, sociālās un politiskās saiknes</w:t>
            </w:r>
            <w:r w:rsidRPr="00886B5C">
              <w:t>.</w:t>
            </w:r>
          </w:p>
        </w:tc>
        <w:tc>
          <w:tcPr>
            <w:tcW w:w="4876" w:type="dxa"/>
          </w:tcPr>
          <w:p w:rsidR="00023044" w:rsidRPr="00886B5C" w:rsidRDefault="00023044" w:rsidP="00216DA5">
            <w:pPr>
              <w:pStyle w:val="Normal6a"/>
              <w:rPr>
                <w:szCs w:val="24"/>
              </w:rPr>
            </w:pPr>
            <w:r w:rsidRPr="00886B5C">
              <w:t>(2)</w:t>
            </w:r>
            <w:r w:rsidRPr="00886B5C">
              <w:tab/>
              <w:t xml:space="preserve">Francija sniedza informāciju, kas liecina, ka </w:t>
            </w:r>
            <w:r w:rsidRPr="00886B5C">
              <w:rPr>
                <w:b/>
                <w:i/>
              </w:rPr>
              <w:t>Francijas un Alžīrijas īpašo ekonomisko, kultūras, vēsturisko, sociālo un politisko saišu dēļ Francija ir īpaši ieinteresēta risināt sarunas par divpusēju nolīgumu ar Alžīriju</w:t>
            </w:r>
            <w:r w:rsidRPr="00886B5C">
              <w:t xml:space="preserve">, </w:t>
            </w:r>
            <w:r w:rsidRPr="00886B5C">
              <w:rPr>
                <w:b/>
                <w:i/>
              </w:rPr>
              <w:t>kura projekts tika nosūtīts Komisijai</w:t>
            </w:r>
            <w:r w:rsidRPr="00886B5C">
              <w:t>.</w:t>
            </w:r>
          </w:p>
        </w:tc>
      </w:tr>
    </w:tbl>
    <w:p w:rsidR="00023044" w:rsidRPr="00886B5C" w:rsidRDefault="00023044" w:rsidP="00023044"/>
    <w:p w:rsidR="00023044" w:rsidRPr="00886B5C" w:rsidRDefault="00023044" w:rsidP="00023044">
      <w:pPr>
        <w:pStyle w:val="AMNumberTabs0"/>
        <w:keepNext/>
      </w:pPr>
      <w:r w:rsidRPr="00886B5C">
        <w:t>Grozījums Nr.</w:t>
      </w:r>
      <w:r w:rsidRPr="00886B5C">
        <w:tab/>
      </w:r>
      <w:r w:rsidRPr="00886B5C">
        <w:tab/>
        <w:t>2</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(8)</w:t>
            </w:r>
            <w:r w:rsidRPr="00886B5C">
              <w:tab/>
            </w:r>
            <w:r w:rsidRPr="00886B5C">
              <w:rPr>
                <w:b/>
                <w:i/>
              </w:rPr>
              <w:t>Lielākā daļa jautājumu</w:t>
            </w:r>
            <w:r w:rsidRPr="00886B5C">
              <w:t xml:space="preserve">, uz kuriem attiecas Francijas un Alžīrijas nolīguma projekts, ietekmē ES </w:t>
            </w:r>
            <w:proofErr w:type="spellStart"/>
            <w:r w:rsidRPr="00886B5C">
              <w:t>acquis</w:t>
            </w:r>
            <w:proofErr w:type="spellEnd"/>
            <w:r w:rsidRPr="00886B5C">
              <w:rPr>
                <w:b/>
                <w:i/>
              </w:rPr>
              <w:t>,</w:t>
            </w:r>
            <w:r w:rsidRPr="00886B5C">
              <w:t xml:space="preserve"> jo īpaši ES tiesību aktus ģimenes tiesību jomā. Līdz ar to jautājumi, uz kuriem attiecas šādas starptautiskās saistības, ietilpst Savienības ekskluzīvajā ārējā kompetencē. Dalībvalstis var risināt sarunas par šādām saistībām vai uzņemties tās tikai tad, ja </w:t>
            </w:r>
            <w:r w:rsidRPr="00886B5C">
              <w:rPr>
                <w:b/>
                <w:i/>
              </w:rPr>
              <w:t>Savienība</w:t>
            </w:r>
            <w:r w:rsidRPr="00886B5C">
              <w:t xml:space="preserve"> tās ir </w:t>
            </w:r>
            <w:r w:rsidRPr="00886B5C">
              <w:rPr>
                <w:b/>
                <w:i/>
              </w:rPr>
              <w:t>pilnvarojusi</w:t>
            </w:r>
            <w:r w:rsidRPr="00886B5C">
              <w:t xml:space="preserve"> saskaņā ar Līguma par Eiropas Savienības darbību (LESD) 2. panta 1. punktu un atbilstoši </w:t>
            </w:r>
            <w:r w:rsidRPr="00886B5C">
              <w:rPr>
                <w:b/>
                <w:i/>
              </w:rPr>
              <w:t xml:space="preserve">materiālajam juridiskajam pamatam, proti, </w:t>
            </w:r>
            <w:r w:rsidRPr="00886B5C">
              <w:t>LESD 81. panta 3. </w:t>
            </w:r>
            <w:r w:rsidRPr="00886B5C">
              <w:rPr>
                <w:b/>
                <w:i/>
              </w:rPr>
              <w:t>punktam</w:t>
            </w:r>
            <w:r w:rsidRPr="00886B5C">
              <w:t>.</w:t>
            </w:r>
          </w:p>
        </w:tc>
        <w:tc>
          <w:tcPr>
            <w:tcW w:w="4876" w:type="dxa"/>
            <w:hideMark/>
          </w:tcPr>
          <w:p w:rsidR="00023044" w:rsidRPr="00886B5C" w:rsidRDefault="00023044" w:rsidP="000E7D1A">
            <w:pPr>
              <w:pStyle w:val="Normal6"/>
              <w:rPr>
                <w:szCs w:val="24"/>
              </w:rPr>
            </w:pPr>
            <w:r w:rsidRPr="00886B5C">
              <w:t>(8)</w:t>
            </w:r>
            <w:r w:rsidRPr="00886B5C">
              <w:tab/>
            </w:r>
            <w:r w:rsidRPr="00886B5C">
              <w:rPr>
                <w:b/>
                <w:i/>
              </w:rPr>
              <w:t>Atsevišķi jautājumi</w:t>
            </w:r>
            <w:r w:rsidRPr="00886B5C">
              <w:t xml:space="preserve">, uz kuriem attiecas Francijas un Alžīrijas nolīguma projekts, ietekmē </w:t>
            </w:r>
            <w:r w:rsidRPr="00886B5C">
              <w:rPr>
                <w:b/>
                <w:i/>
              </w:rPr>
              <w:t xml:space="preserve">attiecīgo </w:t>
            </w:r>
            <w:r w:rsidRPr="00886B5C">
              <w:t xml:space="preserve">ES </w:t>
            </w:r>
            <w:proofErr w:type="spellStart"/>
            <w:r w:rsidRPr="00886B5C">
              <w:rPr>
                <w:i/>
              </w:rPr>
              <w:t>acquis</w:t>
            </w:r>
            <w:proofErr w:type="spellEnd"/>
            <w:r w:rsidRPr="00886B5C">
              <w:t xml:space="preserve"> ģimenes tiesību jomā. Līdz ar to jautājumi, uz kuriem attiecas šādas starptautiskās saistības, ietilpst Savienības ekskluzīvajā ārējā kompetencē. Dalībvalstis var risināt sarunas par šādām saistībām vai uzņemties tās tikai tad, ja </w:t>
            </w:r>
            <w:r w:rsidRPr="00886B5C">
              <w:rPr>
                <w:b/>
                <w:i/>
              </w:rPr>
              <w:t>Savienības likumdevējs</w:t>
            </w:r>
            <w:r w:rsidRPr="00886B5C">
              <w:t xml:space="preserve"> tās </w:t>
            </w:r>
            <w:r w:rsidRPr="00886B5C">
              <w:rPr>
                <w:b/>
                <w:i/>
              </w:rPr>
              <w:t xml:space="preserve">uz to </w:t>
            </w:r>
            <w:r w:rsidRPr="00886B5C">
              <w:t xml:space="preserve">ir </w:t>
            </w:r>
            <w:r w:rsidRPr="00886B5C">
              <w:rPr>
                <w:b/>
                <w:i/>
              </w:rPr>
              <w:t>pilnvarojis</w:t>
            </w:r>
            <w:r w:rsidRPr="00886B5C">
              <w:t xml:space="preserve"> saskaņā ar Līguma par Eiropas Savienības darbību (LESD) 2. panta 1. punktu un atbilst</w:t>
            </w:r>
            <w:r w:rsidR="000E7D1A" w:rsidRPr="00886B5C">
              <w:t>īgi</w:t>
            </w:r>
            <w:r w:rsidRPr="00886B5C">
              <w:t xml:space="preserve"> LESD 81. panta 3. </w:t>
            </w:r>
            <w:r w:rsidRPr="00886B5C">
              <w:rPr>
                <w:b/>
                <w:i/>
              </w:rPr>
              <w:t>punktā noteiktajai likumdošanas procedūrai</w:t>
            </w:r>
            <w:r w:rsidRPr="00886B5C">
              <w:t>.</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3</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1.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 xml:space="preserve">informēt Alžīriju, ka Eiropas Komisija </w:t>
            </w:r>
            <w:r w:rsidRPr="00886B5C">
              <w:rPr>
                <w:b/>
                <w:i/>
              </w:rPr>
              <w:t>piedalās</w:t>
            </w:r>
            <w:r w:rsidRPr="00886B5C">
              <w:t xml:space="preserve"> sarunās kā novērotāja un tiks informēta par sarunu dažādajos posmos panākto progresu un rezultātiem;</w:t>
            </w:r>
          </w:p>
        </w:tc>
        <w:tc>
          <w:tcPr>
            <w:tcW w:w="4876" w:type="dxa"/>
            <w:hideMark/>
          </w:tcPr>
          <w:p w:rsidR="00023044" w:rsidRPr="00886B5C" w:rsidRDefault="00023044" w:rsidP="00216DA5">
            <w:pPr>
              <w:pStyle w:val="Normal6"/>
              <w:rPr>
                <w:szCs w:val="24"/>
              </w:rPr>
            </w:pPr>
            <w:r w:rsidRPr="00886B5C">
              <w:t>–</w:t>
            </w:r>
            <w:r w:rsidRPr="00886B5C">
              <w:tab/>
              <w:t xml:space="preserve">informēt Alžīriju, ka Eiropas Komisija </w:t>
            </w:r>
            <w:r w:rsidRPr="00886B5C">
              <w:rPr>
                <w:b/>
                <w:i/>
              </w:rPr>
              <w:t>var piedalīties</w:t>
            </w:r>
            <w:r w:rsidRPr="00886B5C">
              <w:t xml:space="preserve"> sarunās kā novērotāja un tiks informēta par sarunu dažādajos posmos panākto progresu un </w:t>
            </w:r>
            <w:r w:rsidRPr="00886B5C">
              <w:lastRenderedPageBreak/>
              <w:t>rezultātiem;</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4</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2.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mudināt Alžīriju apsvērt pievienošanos galvenajām konvencijām</w:t>
            </w:r>
            <w:r w:rsidRPr="00886B5C">
              <w:rPr>
                <w:b/>
                <w:i/>
              </w:rPr>
              <w:t xml:space="preserve"> par ģimenes tiesību jautājumiem</w:t>
            </w:r>
            <w:r w:rsidRPr="00886B5C">
              <w:t xml:space="preserve">, </w:t>
            </w:r>
            <w:r w:rsidRPr="00886B5C">
              <w:rPr>
                <w:b/>
                <w:i/>
              </w:rPr>
              <w:t>ko</w:t>
            </w:r>
            <w:r w:rsidRPr="00886B5C">
              <w:t xml:space="preserve"> izstrādājusi Hāgas Starptautisko privāttiesību konference, un sākt </w:t>
            </w:r>
            <w:r w:rsidRPr="00886B5C">
              <w:rPr>
                <w:b/>
                <w:i/>
              </w:rPr>
              <w:t>nopietnu</w:t>
            </w:r>
            <w:r w:rsidRPr="00886B5C">
              <w:t xml:space="preserve"> analīzi</w:t>
            </w:r>
            <w:r w:rsidRPr="00886B5C">
              <w:rPr>
                <w:b/>
                <w:i/>
              </w:rPr>
              <w:t xml:space="preserve"> par iemesliem</w:t>
            </w:r>
            <w:r w:rsidRPr="00886B5C">
              <w:t>, kuru dēļ Alžīrija pagaidām nav varējusi to darīt;</w:t>
            </w:r>
          </w:p>
        </w:tc>
        <w:tc>
          <w:tcPr>
            <w:tcW w:w="4876" w:type="dxa"/>
            <w:hideMark/>
          </w:tcPr>
          <w:p w:rsidR="00023044" w:rsidRPr="00886B5C" w:rsidRDefault="00023044" w:rsidP="00216DA5">
            <w:pPr>
              <w:pStyle w:val="Normal6"/>
              <w:rPr>
                <w:szCs w:val="24"/>
              </w:rPr>
            </w:pPr>
            <w:r w:rsidRPr="00886B5C">
              <w:t>–</w:t>
            </w:r>
            <w:r w:rsidRPr="00886B5C">
              <w:tab/>
              <w:t xml:space="preserve">mudināt Alžīriju apsvērt pievienošanos galvenajām konvencijām, </w:t>
            </w:r>
            <w:r w:rsidRPr="00886B5C">
              <w:rPr>
                <w:b/>
                <w:i/>
              </w:rPr>
              <w:t>kuras ir</w:t>
            </w:r>
            <w:r w:rsidRPr="00886B5C">
              <w:t xml:space="preserve"> izstrādājusi Hāgas Starptautisko privāttiesību konference, un sākt </w:t>
            </w:r>
            <w:r w:rsidRPr="00886B5C">
              <w:rPr>
                <w:b/>
                <w:i/>
              </w:rPr>
              <w:t>to vispiemērotāko līdzekļu</w:t>
            </w:r>
            <w:r w:rsidRPr="00886B5C">
              <w:t xml:space="preserve"> analīzi</w:t>
            </w:r>
            <w:r w:rsidRPr="00886B5C">
              <w:rPr>
                <w:b/>
                <w:i/>
              </w:rPr>
              <w:t>, ar kuriem novērš šķēršļus</w:t>
            </w:r>
            <w:r w:rsidRPr="00886B5C">
              <w:t>, kuru dēļ Alžīrija pagaidām nav varējusi to darīt;</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5</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3.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 xml:space="preserve">informēt Alžīriju, ka pēc sarunu noslēgšanas ir vajadzīga Eiropas Savienības Padomes atļauja, lai </w:t>
            </w:r>
            <w:r w:rsidRPr="00886B5C">
              <w:rPr>
                <w:b/>
                <w:i/>
              </w:rPr>
              <w:t>puses</w:t>
            </w:r>
            <w:r w:rsidRPr="00886B5C">
              <w:t xml:space="preserve"> varētu noslēgt nolīgumu;</w:t>
            </w:r>
          </w:p>
        </w:tc>
        <w:tc>
          <w:tcPr>
            <w:tcW w:w="4876" w:type="dxa"/>
            <w:hideMark/>
          </w:tcPr>
          <w:p w:rsidR="00023044" w:rsidRPr="00886B5C" w:rsidRDefault="00023044" w:rsidP="00216DA5">
            <w:pPr>
              <w:pStyle w:val="Normal6"/>
              <w:rPr>
                <w:szCs w:val="24"/>
              </w:rPr>
            </w:pPr>
            <w:r w:rsidRPr="00886B5C">
              <w:t>–</w:t>
            </w:r>
            <w:r w:rsidRPr="00886B5C">
              <w:tab/>
              <w:t xml:space="preserve">informēt Alžīriju, ka pēc sarunu noslēgšanas ir vajadzīga Eiropas Savienības Padomes atļauja, lai </w:t>
            </w:r>
            <w:r w:rsidRPr="00886B5C">
              <w:rPr>
                <w:b/>
                <w:i/>
              </w:rPr>
              <w:t>Francija</w:t>
            </w:r>
            <w:r w:rsidRPr="00886B5C">
              <w:t xml:space="preserve"> varētu noslēgt nolīgumu;</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6</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4.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informēt Alžīriju, ka Eiropas Savienības Padomes atļauja slēgt nolīgumu pēc Komisijas priekšlikuma var paredzēt, ka nolīgumam var būt ierobežots termiņš</w:t>
            </w:r>
            <w:r w:rsidRPr="00886B5C">
              <w:rPr>
                <w:b/>
                <w:i/>
              </w:rPr>
              <w:t xml:space="preserve"> (piemēram</w:t>
            </w:r>
            <w:r w:rsidRPr="00886B5C">
              <w:t xml:space="preserve">, </w:t>
            </w:r>
            <w:r w:rsidRPr="00886B5C">
              <w:rPr>
                <w:b/>
                <w:i/>
              </w:rPr>
              <w:t>pieci gadi)</w:t>
            </w:r>
            <w:r w:rsidRPr="00886B5C">
              <w:t xml:space="preserve"> un </w:t>
            </w:r>
            <w:r w:rsidRPr="00886B5C">
              <w:rPr>
                <w:b/>
                <w:i/>
              </w:rPr>
              <w:t>ka pēc tam tas var būt jāpārskata</w:t>
            </w:r>
            <w:r w:rsidRPr="00886B5C">
              <w:t>;</w:t>
            </w:r>
          </w:p>
        </w:tc>
        <w:tc>
          <w:tcPr>
            <w:tcW w:w="4876" w:type="dxa"/>
            <w:hideMark/>
          </w:tcPr>
          <w:p w:rsidR="00023044" w:rsidRPr="00886B5C" w:rsidRDefault="00023044" w:rsidP="00216DA5">
            <w:pPr>
              <w:pStyle w:val="Normal6"/>
              <w:rPr>
                <w:szCs w:val="24"/>
              </w:rPr>
            </w:pPr>
            <w:r w:rsidRPr="00886B5C">
              <w:t>–</w:t>
            </w:r>
            <w:r w:rsidRPr="00886B5C">
              <w:tab/>
              <w:t>informēt Alžīriju, ka Eiropas Savienības Padomes atļauja slēgt nolīgumu pēc Komisijas priekšlikuma var paredzēt, ka nolīgumam var būt ierobežots termiņš</w:t>
            </w:r>
            <w:r w:rsidRPr="00886B5C">
              <w:rPr>
                <w:b/>
                <w:i/>
              </w:rPr>
              <w:t>, iespējams</w:t>
            </w:r>
            <w:r w:rsidRPr="00886B5C">
              <w:t xml:space="preserve">, </w:t>
            </w:r>
            <w:r w:rsidRPr="00886B5C">
              <w:rPr>
                <w:b/>
                <w:i/>
              </w:rPr>
              <w:t>Eiropas Parlamenta</w:t>
            </w:r>
            <w:r w:rsidRPr="00886B5C">
              <w:t xml:space="preserve"> un </w:t>
            </w:r>
            <w:r w:rsidRPr="00886B5C">
              <w:rPr>
                <w:b/>
                <w:i/>
              </w:rPr>
              <w:t>Padomes lēmumā par minētā nolīguma noslēgšanu nosakot automātisku pārjaunojuma kārtību</w:t>
            </w:r>
            <w:r w:rsidRPr="00886B5C">
              <w:t>;</w:t>
            </w:r>
          </w:p>
        </w:tc>
      </w:tr>
    </w:tbl>
    <w:p w:rsidR="00023044" w:rsidRPr="00886B5C" w:rsidRDefault="00023044" w:rsidP="00023044">
      <w:pPr>
        <w:rPr>
          <w:szCs w:val="24"/>
        </w:rPr>
      </w:pPr>
    </w:p>
    <w:p w:rsidR="00023044" w:rsidRPr="00886B5C" w:rsidRDefault="00023044" w:rsidP="00023044">
      <w:pPr>
        <w:pStyle w:val="AMNumberTabs0"/>
        <w:keepNext/>
      </w:pPr>
      <w:r w:rsidRPr="00886B5C">
        <w:lastRenderedPageBreak/>
        <w:t>Grozījums Nr.</w:t>
      </w:r>
      <w:r w:rsidRPr="00886B5C">
        <w:tab/>
      </w:r>
      <w:r w:rsidRPr="00886B5C">
        <w:tab/>
        <w:t>7</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4.a ievilkums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tcPr>
          <w:p w:rsidR="00023044" w:rsidRPr="00886B5C" w:rsidRDefault="00023044" w:rsidP="00216DA5">
            <w:pPr>
              <w:pStyle w:val="Normal6"/>
            </w:pPr>
          </w:p>
        </w:tc>
        <w:tc>
          <w:tcPr>
            <w:tcW w:w="4876" w:type="dxa"/>
            <w:hideMark/>
          </w:tcPr>
          <w:p w:rsidR="00023044" w:rsidRPr="00886B5C" w:rsidRDefault="00023044" w:rsidP="00216DA5">
            <w:pPr>
              <w:pStyle w:val="Normal6"/>
              <w:rPr>
                <w:szCs w:val="24"/>
              </w:rPr>
            </w:pPr>
            <w:r w:rsidRPr="00886B5C">
              <w:rPr>
                <w:b/>
                <w:i/>
              </w:rPr>
              <w:t>–</w:t>
            </w:r>
            <w:r w:rsidRPr="00886B5C">
              <w:rPr>
                <w:b/>
                <w:i/>
              </w:rPr>
              <w:tab/>
              <w:t>iekļaut noteikumu, kas paredzētu nolīguma pilnīgu vai daļēju denonsēšanu vai pat attiecīgo nolīguma noteikumu aizstāšanu gadījumā, ja vēlāk tiek noslēgts nolīgums starp Savienību vai Savienību un tās dalībvalstīm, no vienas puses, un Alžīriju, no otras puses, vai ja Alžīrija pievienojas attiecīgajām Hāgas konvencijām;</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8</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5.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iekļaut noteikumu par to, ka lēmumus, kuri saskaņā ar šo nolīgumu atzīti Francijā, nevar pēc tam izplatīt citās ES dalībvalstīs;</w:t>
            </w:r>
          </w:p>
        </w:tc>
        <w:tc>
          <w:tcPr>
            <w:tcW w:w="4876" w:type="dxa"/>
            <w:hideMark/>
          </w:tcPr>
          <w:p w:rsidR="00023044" w:rsidRPr="00886B5C" w:rsidRDefault="00023044" w:rsidP="000E7D1A">
            <w:pPr>
              <w:pStyle w:val="Normal6"/>
              <w:rPr>
                <w:szCs w:val="24"/>
              </w:rPr>
            </w:pPr>
            <w:r w:rsidRPr="00886B5C">
              <w:t>–</w:t>
            </w:r>
            <w:r w:rsidRPr="00886B5C">
              <w:tab/>
              <w:t xml:space="preserve">iekļaut noteikumu par to, ka lēmumus, kuri saskaņā ar šo nolīgumu </w:t>
            </w:r>
            <w:r w:rsidRPr="00886B5C">
              <w:rPr>
                <w:b/>
                <w:i/>
              </w:rPr>
              <w:t xml:space="preserve">tiek </w:t>
            </w:r>
            <w:r w:rsidRPr="00886B5C">
              <w:t>atzīti Francijā, nevar pēc tam izplatīt citās ES dalībvalstīs</w:t>
            </w:r>
            <w:r w:rsidRPr="00886B5C">
              <w:rPr>
                <w:b/>
                <w:i/>
              </w:rPr>
              <w:t xml:space="preserve"> kā atbilstīgus Savienības tiesīb</w:t>
            </w:r>
            <w:r w:rsidR="000E7D1A" w:rsidRPr="00886B5C">
              <w:rPr>
                <w:b/>
                <w:i/>
              </w:rPr>
              <w:t>u aktiem</w:t>
            </w:r>
            <w:r w:rsidRPr="00886B5C">
              <w:t>;</w:t>
            </w:r>
          </w:p>
        </w:tc>
      </w:tr>
    </w:tbl>
    <w:p w:rsidR="00023044" w:rsidRPr="00886B5C" w:rsidRDefault="00023044" w:rsidP="00023044">
      <w:pPr>
        <w:rPr>
          <w:szCs w:val="24"/>
        </w:rPr>
      </w:pPr>
    </w:p>
    <w:p w:rsidR="00023044" w:rsidRPr="00886B5C" w:rsidRDefault="00023044" w:rsidP="00023044">
      <w:pPr>
        <w:pStyle w:val="AMNumberTabs0"/>
        <w:keepNext/>
      </w:pPr>
      <w:r w:rsidRPr="00886B5C">
        <w:t>Grozījums Nr.</w:t>
      </w:r>
      <w:r w:rsidRPr="00886B5C">
        <w:tab/>
      </w:r>
      <w:r w:rsidRPr="00886B5C">
        <w:tab/>
        <w:t>9</w:t>
      </w:r>
    </w:p>
    <w:p w:rsidR="00023044" w:rsidRPr="00886B5C" w:rsidRDefault="00023044" w:rsidP="00023044">
      <w:pPr>
        <w:pStyle w:val="NormalBold12b"/>
        <w:keepNext/>
      </w:pPr>
      <w:r w:rsidRPr="00886B5C">
        <w:t>Lēmuma priekšlikums</w:t>
      </w:r>
    </w:p>
    <w:p w:rsidR="00023044" w:rsidRPr="00886B5C" w:rsidRDefault="00023044" w:rsidP="00023044">
      <w:pPr>
        <w:pStyle w:val="NormalBold"/>
      </w:pPr>
      <w:r w:rsidRPr="00886B5C">
        <w:t>1. pants – 1. daļa – 6. ievilkums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3044" w:rsidRPr="00886B5C" w:rsidTr="00216DA5">
        <w:trPr>
          <w:jc w:val="center"/>
        </w:trPr>
        <w:tc>
          <w:tcPr>
            <w:tcW w:w="9752" w:type="dxa"/>
            <w:gridSpan w:val="2"/>
          </w:tcPr>
          <w:p w:rsidR="00023044" w:rsidRPr="00886B5C" w:rsidRDefault="00023044" w:rsidP="00216DA5">
            <w:pPr>
              <w:keepNext/>
            </w:pPr>
          </w:p>
        </w:tc>
      </w:tr>
      <w:tr w:rsidR="00023044" w:rsidRPr="00886B5C" w:rsidTr="00216DA5">
        <w:trPr>
          <w:jc w:val="center"/>
        </w:trPr>
        <w:tc>
          <w:tcPr>
            <w:tcW w:w="4876" w:type="dxa"/>
            <w:hideMark/>
          </w:tcPr>
          <w:p w:rsidR="00023044" w:rsidRPr="00886B5C" w:rsidRDefault="00023044" w:rsidP="00216DA5">
            <w:pPr>
              <w:pStyle w:val="ColumnHeading"/>
              <w:keepNext/>
            </w:pPr>
            <w:r w:rsidRPr="00886B5C">
              <w:t>Komisijas ierosinātais teksts</w:t>
            </w:r>
          </w:p>
        </w:tc>
        <w:tc>
          <w:tcPr>
            <w:tcW w:w="4876" w:type="dxa"/>
            <w:hideMark/>
          </w:tcPr>
          <w:p w:rsidR="00023044" w:rsidRPr="00886B5C" w:rsidRDefault="00023044" w:rsidP="00216DA5">
            <w:pPr>
              <w:pStyle w:val="ColumnHeading"/>
              <w:keepNext/>
            </w:pPr>
            <w:r w:rsidRPr="00886B5C">
              <w:t>Grozījums</w:t>
            </w:r>
          </w:p>
        </w:tc>
      </w:tr>
      <w:tr w:rsidR="00023044" w:rsidRPr="00886B5C" w:rsidTr="00216DA5">
        <w:trPr>
          <w:jc w:val="center"/>
        </w:trPr>
        <w:tc>
          <w:tcPr>
            <w:tcW w:w="4876" w:type="dxa"/>
            <w:hideMark/>
          </w:tcPr>
          <w:p w:rsidR="00023044" w:rsidRPr="00886B5C" w:rsidRDefault="00023044" w:rsidP="00216DA5">
            <w:pPr>
              <w:pStyle w:val="Normal6"/>
            </w:pPr>
            <w:r w:rsidRPr="00886B5C">
              <w:t>–</w:t>
            </w:r>
            <w:r w:rsidRPr="00886B5C">
              <w:tab/>
              <w:t xml:space="preserve">nodrošināt, ka </w:t>
            </w:r>
            <w:r w:rsidRPr="00886B5C">
              <w:rPr>
                <w:b/>
                <w:i/>
              </w:rPr>
              <w:t xml:space="preserve">noteikumi par tiesībām atteikt dokumentu izsniegšanu ir saskaņoti </w:t>
            </w:r>
            <w:r w:rsidRPr="00886B5C">
              <w:t xml:space="preserve">ar </w:t>
            </w:r>
            <w:r w:rsidRPr="00886B5C">
              <w:rPr>
                <w:b/>
                <w:i/>
              </w:rPr>
              <w:t>pārstrādātās Dokumentu izsniegšanas regulas 12. panta 3. punkta noteikumiem, kas nozīmē, ka adresāts var atteikt dokumentu izsniegšanu vai nu izsniegšanas brīdī, vai divu nedēļu laikā no izsniegšanas brīža</w:t>
            </w:r>
            <w:r w:rsidRPr="00886B5C">
              <w:t>;</w:t>
            </w:r>
          </w:p>
        </w:tc>
        <w:tc>
          <w:tcPr>
            <w:tcW w:w="4876" w:type="dxa"/>
            <w:hideMark/>
          </w:tcPr>
          <w:p w:rsidR="00023044" w:rsidRPr="00886B5C" w:rsidRDefault="00023044" w:rsidP="000E7D1A">
            <w:pPr>
              <w:pStyle w:val="Normal6"/>
              <w:rPr>
                <w:szCs w:val="24"/>
              </w:rPr>
            </w:pPr>
            <w:r w:rsidRPr="00886B5C">
              <w:t>–</w:t>
            </w:r>
            <w:r w:rsidRPr="00886B5C">
              <w:tab/>
              <w:t xml:space="preserve">nodrošināt, ka ar </w:t>
            </w:r>
            <w:r w:rsidRPr="00886B5C">
              <w:rPr>
                <w:b/>
                <w:i/>
              </w:rPr>
              <w:t>Alžīriju sarunās apspriestā nolīguma noteikumi atbilst attiecīgaj</w:t>
            </w:r>
            <w:r w:rsidR="000E7D1A" w:rsidRPr="00886B5C">
              <w:rPr>
                <w:b/>
                <w:i/>
              </w:rPr>
              <w:t>a</w:t>
            </w:r>
            <w:r w:rsidRPr="00886B5C">
              <w:rPr>
                <w:b/>
                <w:i/>
              </w:rPr>
              <w:t>m</w:t>
            </w:r>
            <w:r w:rsidR="000E7D1A" w:rsidRPr="00886B5C">
              <w:rPr>
                <w:b/>
                <w:i/>
              </w:rPr>
              <w:t xml:space="preserve"> Savienības</w:t>
            </w:r>
            <w:r w:rsidRPr="00886B5C">
              <w:rPr>
                <w:b/>
                <w:i/>
              </w:rPr>
              <w:t xml:space="preserve"> </w:t>
            </w:r>
            <w:proofErr w:type="spellStart"/>
            <w:r w:rsidRPr="00886B5C">
              <w:rPr>
                <w:b/>
              </w:rPr>
              <w:t>acquis</w:t>
            </w:r>
            <w:proofErr w:type="spellEnd"/>
            <w:r w:rsidRPr="00886B5C">
              <w:rPr>
                <w:b/>
                <w:i/>
              </w:rPr>
              <w:t xml:space="preserve"> un Hāgas konvencijām</w:t>
            </w:r>
            <w:r w:rsidRPr="00886B5C">
              <w:t>;</w:t>
            </w:r>
          </w:p>
        </w:tc>
      </w:tr>
    </w:tbl>
    <w:p w:rsidR="00023044" w:rsidRPr="00886B5C" w:rsidRDefault="00023044" w:rsidP="00023044"/>
    <w:p w:rsidR="00E365E1" w:rsidRPr="00886B5C" w:rsidRDefault="00E365E1" w:rsidP="00F35BDD"/>
    <w:sectPr w:rsidR="00E365E1" w:rsidRPr="00886B5C" w:rsidSect="009D7E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BDD" w:rsidRPr="009D7E0D" w:rsidRDefault="00F35BDD">
      <w:r w:rsidRPr="009D7E0D">
        <w:separator/>
      </w:r>
    </w:p>
  </w:endnote>
  <w:endnote w:type="continuationSeparator" w:id="0">
    <w:p w:rsidR="00F35BDD" w:rsidRPr="009D7E0D" w:rsidRDefault="00F35BDD">
      <w:r w:rsidRPr="009D7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BDD" w:rsidRPr="009D7E0D" w:rsidRDefault="00F35BDD">
      <w:r w:rsidRPr="009D7E0D">
        <w:separator/>
      </w:r>
    </w:p>
  </w:footnote>
  <w:footnote w:type="continuationSeparator" w:id="0">
    <w:p w:rsidR="00F35BDD" w:rsidRPr="009D7E0D" w:rsidRDefault="00F35BDD">
      <w:r w:rsidRPr="009D7E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7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LV"/>
    <w:docVar w:name="dvnumam" w:val="9"/>
    <w:docVar w:name="dvpe" w:val="751.709"/>
    <w:docVar w:name="dvrapporteur" w:val="Referente: "/>
    <w:docVar w:name="dvstar" w:val="*"/>
    <w:docVar w:name="dvtitre" w:val="Eiropas Parlamenta 2023. gada XX. XXX normatīvā rezolūcija par priekšlikumu Padomes lēmumam par Francijai adresētu pilnvarojumu risināt sarunas par divpusēju nolīgumu ar Alžīriju jautājumos, kas saistīti ar tiesu iestāžu sadarbību ģimenes tiesību lietās(COM(2023)0064 – C9-0026/2023 – 2023/0027(CNS))"/>
  </w:docVars>
  <w:rsids>
    <w:rsidRoot w:val="00F35BDD"/>
    <w:rsid w:val="00002272"/>
    <w:rsid w:val="00023044"/>
    <w:rsid w:val="00064002"/>
    <w:rsid w:val="000677B9"/>
    <w:rsid w:val="000831BA"/>
    <w:rsid w:val="000A2A4C"/>
    <w:rsid w:val="000A42CC"/>
    <w:rsid w:val="000E7D1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6F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192"/>
    <w:rsid w:val="00842779"/>
    <w:rsid w:val="008456BF"/>
    <w:rsid w:val="00865F67"/>
    <w:rsid w:val="00881A7B"/>
    <w:rsid w:val="008840E5"/>
    <w:rsid w:val="00886B5C"/>
    <w:rsid w:val="00887B3E"/>
    <w:rsid w:val="008C2AC6"/>
    <w:rsid w:val="00930C23"/>
    <w:rsid w:val="0093193B"/>
    <w:rsid w:val="009509D8"/>
    <w:rsid w:val="00950B64"/>
    <w:rsid w:val="00981893"/>
    <w:rsid w:val="009D7E0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071"/>
    <w:rsid w:val="00D834A0"/>
    <w:rsid w:val="00D872DF"/>
    <w:rsid w:val="00D91E21"/>
    <w:rsid w:val="00DA7FCD"/>
    <w:rsid w:val="00E365E1"/>
    <w:rsid w:val="00E820A4"/>
    <w:rsid w:val="00EB006A"/>
    <w:rsid w:val="00EB4772"/>
    <w:rsid w:val="00ED169E"/>
    <w:rsid w:val="00ED4235"/>
    <w:rsid w:val="00F04346"/>
    <w:rsid w:val="00F075DC"/>
    <w:rsid w:val="00F149E9"/>
    <w:rsid w:val="00F35BD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C0942"/>
  <w15:chartTrackingRefBased/>
  <w15:docId w15:val="{C61DD15C-885F-499B-AEEB-88FE6E61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3044"/>
    <w:pPr>
      <w:spacing w:before="480" w:after="240"/>
    </w:pPr>
  </w:style>
  <w:style w:type="paragraph" w:customStyle="1" w:styleId="Normal6a">
    <w:name w:val="Normal6a"/>
    <w:basedOn w:val="Normal"/>
    <w:rsid w:val="00023044"/>
    <w:pPr>
      <w:spacing w:after="120"/>
    </w:pPr>
  </w:style>
  <w:style w:type="paragraph" w:customStyle="1" w:styleId="PageHeading">
    <w:name w:val="PageHeading"/>
    <w:basedOn w:val="Normal"/>
    <w:rsid w:val="00023044"/>
    <w:pPr>
      <w:keepNext/>
      <w:spacing w:after="480"/>
      <w:jc w:val="center"/>
    </w:pPr>
    <w:rPr>
      <w:rFonts w:ascii="Arial" w:hAnsi="Arial" w:cs="Arial"/>
      <w:b/>
    </w:rPr>
  </w:style>
  <w:style w:type="paragraph" w:customStyle="1" w:styleId="NormalBold">
    <w:name w:val="NormalBold"/>
    <w:basedOn w:val="Normal"/>
    <w:link w:val="NormalBoldChar"/>
    <w:rsid w:val="00023044"/>
    <w:rPr>
      <w:b/>
    </w:rPr>
  </w:style>
  <w:style w:type="paragraph" w:customStyle="1" w:styleId="NormalBold12a">
    <w:name w:val="NormalBold12a"/>
    <w:basedOn w:val="Normal"/>
    <w:rsid w:val="00023044"/>
    <w:pPr>
      <w:spacing w:after="240"/>
    </w:pPr>
    <w:rPr>
      <w:b/>
    </w:rPr>
  </w:style>
  <w:style w:type="paragraph" w:customStyle="1" w:styleId="NormalHanging12a">
    <w:name w:val="NormalHanging12a"/>
    <w:basedOn w:val="Normal"/>
    <w:rsid w:val="00023044"/>
    <w:pPr>
      <w:spacing w:after="240"/>
      <w:ind w:left="567" w:hanging="567"/>
    </w:pPr>
  </w:style>
  <w:style w:type="paragraph" w:customStyle="1" w:styleId="AmColumnHeading">
    <w:name w:val="AmColumnHeading"/>
    <w:basedOn w:val="Normal"/>
    <w:rsid w:val="00023044"/>
    <w:pPr>
      <w:spacing w:after="240"/>
      <w:jc w:val="center"/>
    </w:pPr>
    <w:rPr>
      <w:i/>
    </w:rPr>
  </w:style>
  <w:style w:type="paragraph" w:customStyle="1" w:styleId="AmNumberTabs">
    <w:name w:val="AmNumberTabs"/>
    <w:basedOn w:val="Normal"/>
    <w:rsid w:val="000230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23044"/>
    <w:pPr>
      <w:spacing w:before="240"/>
    </w:pPr>
    <w:rPr>
      <w:b/>
    </w:rPr>
  </w:style>
  <w:style w:type="character" w:customStyle="1" w:styleId="NormalBoldChar">
    <w:name w:val="NormalBold Char"/>
    <w:basedOn w:val="DefaultParagraphFont"/>
    <w:link w:val="NormalBold"/>
    <w:locked/>
    <w:rsid w:val="00023044"/>
    <w:rPr>
      <w:b/>
      <w:sz w:val="24"/>
      <w:lang w:val="lv-LV"/>
    </w:rPr>
  </w:style>
  <w:style w:type="character" w:customStyle="1" w:styleId="Normal6Char">
    <w:name w:val="Normal6 Char"/>
    <w:basedOn w:val="DefaultParagraphFont"/>
    <w:link w:val="Normal6"/>
    <w:locked/>
    <w:rsid w:val="00023044"/>
    <w:rPr>
      <w:sz w:val="24"/>
      <w:lang w:val="lv-LV"/>
    </w:rPr>
  </w:style>
  <w:style w:type="paragraph" w:customStyle="1" w:styleId="Normal6">
    <w:name w:val="Normal6"/>
    <w:basedOn w:val="Normal"/>
    <w:link w:val="Normal6Char"/>
    <w:rsid w:val="00023044"/>
    <w:pPr>
      <w:spacing w:after="120"/>
    </w:pPr>
  </w:style>
  <w:style w:type="paragraph" w:customStyle="1" w:styleId="ColumnHeading">
    <w:name w:val="ColumnHeading"/>
    <w:basedOn w:val="Normal"/>
    <w:rsid w:val="00023044"/>
    <w:pPr>
      <w:spacing w:after="240"/>
      <w:jc w:val="center"/>
    </w:pPr>
    <w:rPr>
      <w:i/>
    </w:rPr>
  </w:style>
  <w:style w:type="paragraph" w:customStyle="1" w:styleId="AMNumberTabs0">
    <w:name w:val="AMNumberTabs"/>
    <w:basedOn w:val="Normal"/>
    <w:rsid w:val="000230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0E7D1A"/>
    <w:rPr>
      <w:rFonts w:ascii="Segoe UI" w:hAnsi="Segoe UI" w:cs="Segoe UI"/>
      <w:sz w:val="18"/>
      <w:szCs w:val="18"/>
    </w:rPr>
  </w:style>
  <w:style w:type="character" w:customStyle="1" w:styleId="BalloonTextChar">
    <w:name w:val="Balloon Text Char"/>
    <w:basedOn w:val="DefaultParagraphFont"/>
    <w:link w:val="BalloonText"/>
    <w:rsid w:val="000E7D1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8E043-09E1-4296-B613-BB4B52047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860</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2023-12-12T12:46:00Z</dcterms:created>
  <dcterms:modified xsi:type="dcterms:W3CDTF">2023-12-12T12:46:00Z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A9-0355/2023</vt:lpwstr>
  </property>
  <property fmtid="{D5CDD505-2E9C-101B-9397-08002B2CF9AE}" pid="4" name="&lt;Type&gt;">
    <vt:lpwstr>RR</vt:lpwstr>
  </property>
</Properties>
</file>