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369C" w14:paraId="21151C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4AAC3B" w14:textId="77777777" w:rsidR="00751A4A" w:rsidRPr="00AF369C" w:rsidRDefault="00F06879" w:rsidP="0010095E">
            <w:pPr>
              <w:pStyle w:val="EPName"/>
            </w:pPr>
            <w:bookmarkStart w:id="0" w:name="_GoBack"/>
            <w:bookmarkEnd w:id="0"/>
            <w:r w:rsidRPr="00AF369C">
              <w:t>Parlamento Europeu</w:t>
            </w:r>
          </w:p>
          <w:p w14:paraId="7ABE5EA6" w14:textId="77777777" w:rsidR="00751A4A" w:rsidRPr="00AF36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369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441F306" w14:textId="77777777" w:rsidR="00751A4A" w:rsidRPr="00AF369C" w:rsidRDefault="00187494" w:rsidP="0010095E">
            <w:pPr>
              <w:pStyle w:val="EPLogo"/>
            </w:pPr>
            <w:r w:rsidRPr="00AF369C">
              <w:rPr>
                <w:noProof/>
                <w:lang w:val="en-GB"/>
              </w:rPr>
              <w:drawing>
                <wp:inline distT="0" distB="0" distL="0" distR="0" wp14:anchorId="3D79C215" wp14:editId="03176B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F6F751" w14:textId="77777777" w:rsidR="00D058B8" w:rsidRPr="00AF369C" w:rsidRDefault="00D058B8" w:rsidP="004C5D52">
      <w:pPr>
        <w:pStyle w:val="LineTop"/>
      </w:pPr>
    </w:p>
    <w:p w14:paraId="3A7AC12F" w14:textId="77777777" w:rsidR="00680577" w:rsidRPr="00AF369C" w:rsidRDefault="00F06879" w:rsidP="00680577">
      <w:pPr>
        <w:pStyle w:val="EPBodyTA1"/>
      </w:pPr>
      <w:r w:rsidRPr="00AF369C">
        <w:t>TEXTOS APROVADOS</w:t>
      </w:r>
    </w:p>
    <w:p w14:paraId="1251EAFD" w14:textId="77777777" w:rsidR="00D058B8" w:rsidRPr="00AF369C" w:rsidRDefault="00D058B8" w:rsidP="00D058B8">
      <w:pPr>
        <w:pStyle w:val="LineBottom"/>
      </w:pPr>
    </w:p>
    <w:p w14:paraId="6BB0A740" w14:textId="2E05C683" w:rsidR="00F06879" w:rsidRPr="00AF369C" w:rsidRDefault="00F06879" w:rsidP="00F06879">
      <w:pPr>
        <w:pStyle w:val="ATHeading1"/>
      </w:pPr>
      <w:bookmarkStart w:id="1" w:name="TANumber"/>
      <w:r w:rsidRPr="00AF369C">
        <w:t>P9_TA(2023)</w:t>
      </w:r>
      <w:bookmarkEnd w:id="1"/>
      <w:r w:rsidR="00AF369C" w:rsidRPr="00AF369C">
        <w:t>0</w:t>
      </w:r>
      <w:r w:rsidR="00AF369C" w:rsidRPr="00AF369C">
        <w:t>449</w:t>
      </w:r>
    </w:p>
    <w:p w14:paraId="730D3D0E" w14:textId="6F9F6AFC" w:rsidR="00F06879" w:rsidRPr="00AF369C" w:rsidRDefault="00F06879" w:rsidP="00F06879">
      <w:pPr>
        <w:pStyle w:val="ATHeading2"/>
      </w:pPr>
      <w:bookmarkStart w:id="2" w:name="title"/>
      <w:r w:rsidRPr="00AF369C">
        <w:t xml:space="preserve">Autorização </w:t>
      </w:r>
      <w:r w:rsidR="008C12DF" w:rsidRPr="00AF369C">
        <w:t xml:space="preserve">que habilita a </w:t>
      </w:r>
      <w:r w:rsidRPr="00AF369C">
        <w:t xml:space="preserve">França a </w:t>
      </w:r>
      <w:r w:rsidR="008C12DF" w:rsidRPr="00AF369C">
        <w:t xml:space="preserve">negociar </w:t>
      </w:r>
      <w:r w:rsidRPr="00AF369C">
        <w:t>um acordo bilateral com a Argélia relativo à cooperação judiciária em matéria</w:t>
      </w:r>
      <w:r w:rsidR="0045002D" w:rsidRPr="00AF369C">
        <w:t xml:space="preserve"> civil relacionada com o </w:t>
      </w:r>
      <w:r w:rsidRPr="00AF369C">
        <w:t>direito da família</w:t>
      </w:r>
      <w:bookmarkEnd w:id="2"/>
    </w:p>
    <w:p w14:paraId="5DEC3733" w14:textId="77777777" w:rsidR="00F06879" w:rsidRPr="00AF369C" w:rsidRDefault="00F06879" w:rsidP="00F06879">
      <w:pPr>
        <w:rPr>
          <w:i/>
          <w:vanish/>
        </w:rPr>
      </w:pPr>
      <w:r w:rsidRPr="00AF369C">
        <w:rPr>
          <w:i/>
        </w:rPr>
        <w:fldChar w:fldCharType="begin"/>
      </w:r>
      <w:r w:rsidRPr="00AF369C">
        <w:rPr>
          <w:i/>
        </w:rPr>
        <w:instrText xml:space="preserve"> TC"(</w:instrText>
      </w:r>
      <w:bookmarkStart w:id="3" w:name="DocNumber"/>
      <w:r w:rsidRPr="00AF369C">
        <w:rPr>
          <w:i/>
        </w:rPr>
        <w:instrText>A9-0355/2023</w:instrText>
      </w:r>
      <w:bookmarkEnd w:id="3"/>
      <w:r w:rsidRPr="00AF369C">
        <w:rPr>
          <w:i/>
        </w:rPr>
        <w:instrText xml:space="preserve"> - Relatora: Ilana Cicurel)"\l3 \n&gt; \* MERGEFORMAT </w:instrText>
      </w:r>
      <w:r w:rsidRPr="00AF369C">
        <w:rPr>
          <w:i/>
        </w:rPr>
        <w:fldChar w:fldCharType="end"/>
      </w:r>
    </w:p>
    <w:p w14:paraId="4A0E75C5" w14:textId="77777777" w:rsidR="00F06879" w:rsidRPr="00AF369C" w:rsidRDefault="00F06879" w:rsidP="00F06879">
      <w:pPr>
        <w:rPr>
          <w:vanish/>
        </w:rPr>
      </w:pPr>
      <w:bookmarkStart w:id="4" w:name="Commission"/>
      <w:r w:rsidRPr="00AF369C">
        <w:rPr>
          <w:vanish/>
        </w:rPr>
        <w:t>Comissão dos Assuntos Jurídicos</w:t>
      </w:r>
      <w:bookmarkEnd w:id="4"/>
    </w:p>
    <w:p w14:paraId="27C8E308" w14:textId="77777777" w:rsidR="00F06879" w:rsidRPr="00AF369C" w:rsidRDefault="00F06879" w:rsidP="00F06879">
      <w:pPr>
        <w:rPr>
          <w:vanish/>
        </w:rPr>
      </w:pPr>
      <w:bookmarkStart w:id="5" w:name="PE"/>
      <w:r w:rsidRPr="00AF369C">
        <w:rPr>
          <w:vanish/>
        </w:rPr>
        <w:t>PE751.709</w:t>
      </w:r>
      <w:bookmarkEnd w:id="5"/>
    </w:p>
    <w:p w14:paraId="60BA62ED" w14:textId="28F28815" w:rsidR="00F06879" w:rsidRPr="00AF369C" w:rsidRDefault="00F06879" w:rsidP="00F06879">
      <w:pPr>
        <w:pStyle w:val="ATHeading3"/>
      </w:pPr>
      <w:bookmarkStart w:id="6" w:name="Sujet"/>
      <w:r w:rsidRPr="00AF369C">
        <w:t xml:space="preserve">Resolução legislativa do Parlamento Europeu, de </w:t>
      </w:r>
      <w:r w:rsidR="00F20AE3" w:rsidRPr="00AF369C">
        <w:t xml:space="preserve">12 </w:t>
      </w:r>
      <w:r w:rsidRPr="00AF369C">
        <w:t xml:space="preserve">de </w:t>
      </w:r>
      <w:r w:rsidR="00EE7BF9" w:rsidRPr="00AF369C">
        <w:t xml:space="preserve">dezembro </w:t>
      </w:r>
      <w:r w:rsidRPr="00AF369C">
        <w:t>de 2023, sobre a proposta de decisão do Conselho relativa a uma autorização dirigida a França para a negociação de um acordo bilateral com a Argélia sobre questões relacionadas com a cooperação judiciária em matéria de direito da família</w:t>
      </w:r>
      <w:bookmarkEnd w:id="6"/>
      <w:r w:rsidRPr="00AF369C">
        <w:t xml:space="preserve"> </w:t>
      </w:r>
      <w:bookmarkStart w:id="7" w:name="References"/>
      <w:r w:rsidR="009D1412" w:rsidRPr="00AF369C">
        <w:t>(COM(2023)0064 – C9</w:t>
      </w:r>
      <w:r w:rsidR="009D1412" w:rsidRPr="00AF369C">
        <w:noBreakHyphen/>
      </w:r>
      <w:r w:rsidRPr="00AF369C">
        <w:t>0026/2023 – 2023/0027(CNS))</w:t>
      </w:r>
      <w:bookmarkEnd w:id="7"/>
    </w:p>
    <w:p w14:paraId="697200B3" w14:textId="77777777" w:rsidR="00F06879" w:rsidRPr="00AF369C" w:rsidRDefault="00F06879" w:rsidP="00F06879"/>
    <w:p w14:paraId="5591D4BA" w14:textId="77777777" w:rsidR="00492FEF" w:rsidRPr="00AF369C" w:rsidRDefault="00492FEF" w:rsidP="00492FEF">
      <w:pPr>
        <w:pStyle w:val="NormalBold"/>
      </w:pPr>
      <w:bookmarkStart w:id="8" w:name="TextBodyBegin"/>
      <w:bookmarkEnd w:id="8"/>
      <w:r w:rsidRPr="00AF369C">
        <w:t>(Processo legislativo especial – consulta)</w:t>
      </w:r>
    </w:p>
    <w:p w14:paraId="569ACD85" w14:textId="77777777" w:rsidR="00492FEF" w:rsidRPr="00AF369C" w:rsidRDefault="00492FEF" w:rsidP="00492FEF">
      <w:pPr>
        <w:pStyle w:val="EPComma"/>
      </w:pPr>
      <w:r w:rsidRPr="00AF369C">
        <w:rPr>
          <w:i/>
        </w:rPr>
        <w:t>O Parlamento Europeu,</w:t>
      </w:r>
    </w:p>
    <w:p w14:paraId="0BCB3B04" w14:textId="77777777" w:rsidR="00492FEF" w:rsidRPr="00AF369C" w:rsidRDefault="00492FEF" w:rsidP="00492FEF">
      <w:pPr>
        <w:pStyle w:val="NormalHanging12a"/>
      </w:pPr>
      <w:r w:rsidRPr="00AF369C">
        <w:t>–</w:t>
      </w:r>
      <w:r w:rsidRPr="00AF369C">
        <w:tab/>
        <w:t>Tendo em conta a proposta da Comissão ao Conselho (COM(2023)0064),</w:t>
      </w:r>
    </w:p>
    <w:p w14:paraId="0EA3B7D0" w14:textId="77777777" w:rsidR="00492FEF" w:rsidRPr="00AF369C" w:rsidRDefault="00492FEF" w:rsidP="00492FEF">
      <w:pPr>
        <w:pStyle w:val="NormalHanging12a"/>
      </w:pPr>
      <w:r w:rsidRPr="00AF369C">
        <w:t>–</w:t>
      </w:r>
      <w:r w:rsidRPr="00AF369C">
        <w:tab/>
        <w:t>Tendo em conta o artigo 2.º, n.º 1, e o artigo 81.º, n.º 3, do Tratado sobre o Funcionamento da União Europeia, nos termos dos quais foi consultado pelo Conselho (C9</w:t>
      </w:r>
      <w:r w:rsidRPr="00AF369C">
        <w:noBreakHyphen/>
        <w:t>0026/2023),</w:t>
      </w:r>
    </w:p>
    <w:p w14:paraId="39CF523F" w14:textId="77777777" w:rsidR="00492FEF" w:rsidRPr="00AF369C" w:rsidRDefault="00492FEF" w:rsidP="00492FEF">
      <w:pPr>
        <w:pStyle w:val="NormalHanging12a"/>
      </w:pPr>
      <w:r w:rsidRPr="00AF369C">
        <w:t>–</w:t>
      </w:r>
      <w:r w:rsidRPr="00AF369C">
        <w:tab/>
        <w:t>Tendo em conta o artigo 82.º do seu Regimento,</w:t>
      </w:r>
    </w:p>
    <w:p w14:paraId="619310C1" w14:textId="77777777" w:rsidR="00492FEF" w:rsidRPr="00AF369C" w:rsidRDefault="00492FEF" w:rsidP="00492FEF">
      <w:pPr>
        <w:pStyle w:val="NormalHanging12a"/>
      </w:pPr>
      <w:r w:rsidRPr="00AF369C">
        <w:t>–</w:t>
      </w:r>
      <w:r w:rsidRPr="00AF369C">
        <w:tab/>
        <w:t>Tendo em conta o relatório da Comissão dos Assuntos Jurídicos (A9</w:t>
      </w:r>
      <w:r w:rsidRPr="00AF369C">
        <w:noBreakHyphen/>
        <w:t>0355/2023),</w:t>
      </w:r>
    </w:p>
    <w:p w14:paraId="61F69C18" w14:textId="77777777" w:rsidR="00492FEF" w:rsidRPr="00AF369C" w:rsidRDefault="00492FEF" w:rsidP="00492FEF">
      <w:pPr>
        <w:pStyle w:val="NormalHanging12a"/>
      </w:pPr>
      <w:r w:rsidRPr="00AF369C">
        <w:t>1.</w:t>
      </w:r>
      <w:r w:rsidRPr="00AF369C">
        <w:tab/>
        <w:t>Aprova a proposta da Comissão com as alterações nela introduzidas;</w:t>
      </w:r>
    </w:p>
    <w:p w14:paraId="4CCF38B5" w14:textId="77777777" w:rsidR="00492FEF" w:rsidRPr="00AF369C" w:rsidRDefault="00492FEF" w:rsidP="00492FEF">
      <w:pPr>
        <w:pStyle w:val="NormalHanging12a"/>
      </w:pPr>
      <w:r w:rsidRPr="00AF369C">
        <w:t>2.</w:t>
      </w:r>
      <w:r w:rsidRPr="00AF369C">
        <w:tab/>
        <w:t>Convida a Comissão a alterar a sua proposta no mesm</w:t>
      </w:r>
      <w:r w:rsidR="007010B5" w:rsidRPr="00AF369C">
        <w:t>o sentido, nos termos do artigo </w:t>
      </w:r>
      <w:r w:rsidRPr="00AF369C">
        <w:t>293.º, n.º 2, do Tratado sobre o Funcionamento da União Europeia;</w:t>
      </w:r>
    </w:p>
    <w:p w14:paraId="44BF587D" w14:textId="77777777" w:rsidR="00492FEF" w:rsidRPr="00AF369C" w:rsidRDefault="00492FEF" w:rsidP="00492FEF">
      <w:pPr>
        <w:pStyle w:val="NormalHanging12a"/>
      </w:pPr>
      <w:r w:rsidRPr="00AF369C">
        <w:t>3.</w:t>
      </w:r>
      <w:r w:rsidRPr="00AF369C">
        <w:tab/>
        <w:t>Solicita ao Conselho que o informe, se entender afastar</w:t>
      </w:r>
      <w:r w:rsidRPr="00AF369C">
        <w:noBreakHyphen/>
        <w:t>se do texto aprovado pelo Parlamento;</w:t>
      </w:r>
    </w:p>
    <w:p w14:paraId="7BB279FD" w14:textId="77777777" w:rsidR="00492FEF" w:rsidRPr="00AF369C" w:rsidRDefault="00492FEF" w:rsidP="00492FEF">
      <w:pPr>
        <w:pStyle w:val="NormalHanging12a"/>
      </w:pPr>
      <w:r w:rsidRPr="00AF369C">
        <w:t>4.</w:t>
      </w:r>
      <w:r w:rsidRPr="00AF369C">
        <w:tab/>
        <w:t>Solicita nova consulta, caso o Conselho tencione alterar substancialmente a proposta da Comissão;</w:t>
      </w:r>
    </w:p>
    <w:p w14:paraId="08FEE32A" w14:textId="6133E69F" w:rsidR="00492FEF" w:rsidRPr="00AF369C" w:rsidRDefault="00492FEF" w:rsidP="00492FEF">
      <w:pPr>
        <w:pStyle w:val="NormalHanging12a"/>
      </w:pPr>
      <w:r w:rsidRPr="00AF369C">
        <w:t>5.</w:t>
      </w:r>
      <w:r w:rsidRPr="00AF369C">
        <w:tab/>
        <w:t>Encarrega a sua Presidente de transmitir a posição do Parlamento ao Conselho</w:t>
      </w:r>
      <w:r w:rsidR="007010B5" w:rsidRPr="00AF369C">
        <w:t>,</w:t>
      </w:r>
      <w:r w:rsidRPr="00AF369C">
        <w:t xml:space="preserve"> à </w:t>
      </w:r>
      <w:r w:rsidRPr="00AF369C">
        <w:lastRenderedPageBreak/>
        <w:t xml:space="preserve">Comissão </w:t>
      </w:r>
      <w:r w:rsidR="007010B5" w:rsidRPr="00AF369C">
        <w:t>e</w:t>
      </w:r>
      <w:r w:rsidRPr="00AF369C">
        <w:t xml:space="preserve"> aos parlamentos nacionais.</w:t>
      </w:r>
    </w:p>
    <w:p w14:paraId="355D664D" w14:textId="77777777" w:rsidR="00492FEF" w:rsidRPr="00AF369C" w:rsidRDefault="00492FEF" w:rsidP="00492FEF"/>
    <w:p w14:paraId="5B2A599C" w14:textId="77777777" w:rsidR="00492FEF" w:rsidRPr="00AF369C" w:rsidRDefault="00492FEF" w:rsidP="00492FEF">
      <w:pPr>
        <w:pStyle w:val="AmNumberTabs"/>
        <w:keepNext/>
      </w:pPr>
      <w:r w:rsidRPr="00AF369C">
        <w:t>Alteração</w:t>
      </w:r>
      <w:r w:rsidRPr="00AF369C">
        <w:tab/>
      </w:r>
      <w:r w:rsidRPr="00AF369C">
        <w:tab/>
        <w:t>1</w:t>
      </w:r>
    </w:p>
    <w:p w14:paraId="02BC9403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1786DE81" w14:textId="77777777" w:rsidR="00492FEF" w:rsidRPr="00AF369C" w:rsidRDefault="00492FEF" w:rsidP="00492FEF">
      <w:pPr>
        <w:pStyle w:val="NormalBold"/>
        <w:keepNext/>
      </w:pPr>
      <w:r w:rsidRPr="00AF369C">
        <w:t>Considerando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92FEF" w:rsidRPr="00AF369C" w14:paraId="66D64453" w14:textId="77777777" w:rsidTr="00045EB3">
        <w:trPr>
          <w:jc w:val="center"/>
        </w:trPr>
        <w:tc>
          <w:tcPr>
            <w:tcW w:w="9752" w:type="dxa"/>
            <w:gridSpan w:val="2"/>
          </w:tcPr>
          <w:p w14:paraId="2C12C32C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6547B38E" w14:textId="77777777" w:rsidTr="00045EB3">
        <w:trPr>
          <w:jc w:val="center"/>
        </w:trPr>
        <w:tc>
          <w:tcPr>
            <w:tcW w:w="4876" w:type="dxa"/>
          </w:tcPr>
          <w:p w14:paraId="45082015" w14:textId="77777777" w:rsidR="00492FEF" w:rsidRPr="00AF369C" w:rsidRDefault="00492FEF" w:rsidP="00045EB3">
            <w:pPr>
              <w:pStyle w:val="Am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</w:tcPr>
          <w:p w14:paraId="63C3B01A" w14:textId="77777777" w:rsidR="00492FEF" w:rsidRPr="00AF369C" w:rsidRDefault="00492FEF" w:rsidP="00045EB3">
            <w:pPr>
              <w:pStyle w:val="AmColumnHeading"/>
              <w:keepNext/>
            </w:pPr>
            <w:r w:rsidRPr="00AF369C">
              <w:t>Alteração</w:t>
            </w:r>
          </w:p>
        </w:tc>
      </w:tr>
      <w:tr w:rsidR="00492FEF" w:rsidRPr="00AF369C" w14:paraId="72AD8B95" w14:textId="77777777" w:rsidTr="00045EB3">
        <w:trPr>
          <w:jc w:val="center"/>
        </w:trPr>
        <w:tc>
          <w:tcPr>
            <w:tcW w:w="4876" w:type="dxa"/>
          </w:tcPr>
          <w:p w14:paraId="0AC02DD3" w14:textId="77777777" w:rsidR="00492FEF" w:rsidRPr="00AF369C" w:rsidRDefault="00492FEF" w:rsidP="00045EB3">
            <w:pPr>
              <w:pStyle w:val="Normal6a"/>
            </w:pPr>
            <w:r w:rsidRPr="00AF369C">
              <w:t>(2)</w:t>
            </w:r>
            <w:r w:rsidRPr="00AF369C">
              <w:tab/>
              <w:t xml:space="preserve">A França forneceu informações que demonstram que </w:t>
            </w:r>
            <w:r w:rsidRPr="00AF369C">
              <w:rPr>
                <w:b/>
                <w:i/>
              </w:rPr>
              <w:t>tem um interesse específico em negociar um acordo bilateral com a Argélia</w:t>
            </w:r>
            <w:r w:rsidRPr="00AF369C">
              <w:t>, devido aos laços económicos, culturais, históricos, sociais e políticos excecionais entre</w:t>
            </w:r>
            <w:r w:rsidRPr="00AF369C">
              <w:rPr>
                <w:b/>
                <w:i/>
              </w:rPr>
              <w:t xml:space="preserve"> ambos os países</w:t>
            </w:r>
            <w:r w:rsidRPr="00AF369C">
              <w:t>.</w:t>
            </w:r>
          </w:p>
        </w:tc>
        <w:tc>
          <w:tcPr>
            <w:tcW w:w="4876" w:type="dxa"/>
          </w:tcPr>
          <w:p w14:paraId="09AAA5F6" w14:textId="77777777" w:rsidR="00492FEF" w:rsidRPr="00AF369C" w:rsidRDefault="00492FEF" w:rsidP="00045EB3">
            <w:pPr>
              <w:pStyle w:val="Normal6a"/>
              <w:rPr>
                <w:szCs w:val="24"/>
              </w:rPr>
            </w:pPr>
            <w:r w:rsidRPr="00AF369C">
              <w:t>(2)</w:t>
            </w:r>
            <w:r w:rsidRPr="00AF369C">
              <w:tab/>
              <w:t xml:space="preserve">A França forneceu informações que demonstram que, devido aos laços económicos, culturais, históricos, sociais e políticos excecionais entre </w:t>
            </w:r>
            <w:r w:rsidRPr="00AF369C">
              <w:rPr>
                <w:b/>
                <w:i/>
              </w:rPr>
              <w:t>a França e a Argélia, a França tem um interesse específico em negociar um acordo bilateral com a Argélia, cujo projeto foi transmitido à Comissão</w:t>
            </w:r>
            <w:r w:rsidRPr="00AF369C">
              <w:t>.</w:t>
            </w:r>
          </w:p>
        </w:tc>
      </w:tr>
    </w:tbl>
    <w:p w14:paraId="06D0BC55" w14:textId="77777777" w:rsidR="00492FEF" w:rsidRPr="00AF369C" w:rsidRDefault="00492FEF" w:rsidP="00492FEF"/>
    <w:p w14:paraId="10D5BD42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2</w:t>
      </w:r>
    </w:p>
    <w:p w14:paraId="72CA3F2D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53E69603" w14:textId="77777777" w:rsidR="00492FEF" w:rsidRPr="00AF369C" w:rsidRDefault="00492FEF" w:rsidP="00492FEF">
      <w:pPr>
        <w:pStyle w:val="NormalBold"/>
      </w:pPr>
      <w:r w:rsidRPr="00AF369C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6E08AA49" w14:textId="77777777" w:rsidTr="00045EB3">
        <w:trPr>
          <w:jc w:val="center"/>
        </w:trPr>
        <w:tc>
          <w:tcPr>
            <w:tcW w:w="9752" w:type="dxa"/>
            <w:gridSpan w:val="2"/>
          </w:tcPr>
          <w:p w14:paraId="5015C3E3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7C78882F" w14:textId="77777777" w:rsidTr="00045EB3">
        <w:trPr>
          <w:jc w:val="center"/>
        </w:trPr>
        <w:tc>
          <w:tcPr>
            <w:tcW w:w="4876" w:type="dxa"/>
            <w:hideMark/>
          </w:tcPr>
          <w:p w14:paraId="5D79B604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2148AF44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313B7D66" w14:textId="77777777" w:rsidTr="00045EB3">
        <w:trPr>
          <w:jc w:val="center"/>
        </w:trPr>
        <w:tc>
          <w:tcPr>
            <w:tcW w:w="4876" w:type="dxa"/>
            <w:hideMark/>
          </w:tcPr>
          <w:p w14:paraId="370D7407" w14:textId="77777777" w:rsidR="00492FEF" w:rsidRPr="00AF369C" w:rsidRDefault="00492FEF" w:rsidP="00045EB3">
            <w:pPr>
              <w:pStyle w:val="Normal6"/>
            </w:pPr>
            <w:r w:rsidRPr="00AF369C">
              <w:t>(8)</w:t>
            </w:r>
            <w:r w:rsidRPr="00AF369C">
              <w:tab/>
            </w:r>
            <w:r w:rsidRPr="00AF369C">
              <w:rPr>
                <w:b/>
                <w:i/>
              </w:rPr>
              <w:t>A maior parte das</w:t>
            </w:r>
            <w:r w:rsidRPr="00AF369C">
              <w:t xml:space="preserve"> questões a incluir no projeto de acordo entre França e a Argélia afetam o acervo da UE</w:t>
            </w:r>
            <w:r w:rsidRPr="00AF369C">
              <w:rPr>
                <w:b/>
                <w:i/>
              </w:rPr>
              <w:t>, em especial a legislação da UE</w:t>
            </w:r>
            <w:r w:rsidRPr="00AF369C">
              <w:t xml:space="preserve"> em matéria de direito da família. Por conseguinte, as matérias abrangidas por esses compromissos internacionais são da competência externa exclusiva da União. Os Estados</w:t>
            </w:r>
            <w:r w:rsidRPr="00AF369C">
              <w:noBreakHyphen/>
              <w:t xml:space="preserve">Membros só podem negociar ou assumir esses compromissos </w:t>
            </w:r>
            <w:r w:rsidRPr="00AF369C">
              <w:rPr>
                <w:b/>
                <w:i/>
              </w:rPr>
              <w:t>mediante a habilitação conferida pela União</w:t>
            </w:r>
            <w:r w:rsidRPr="00AF369C">
              <w:t xml:space="preserve"> nos termos do artigo 2.º, n.º 1, do Tratado sobre o Funcionamento da União Europeia (TFUE), </w:t>
            </w:r>
            <w:r w:rsidRPr="00AF369C">
              <w:rPr>
                <w:b/>
                <w:i/>
              </w:rPr>
              <w:t>em conjugação com a base jurídica material do</w:t>
            </w:r>
            <w:r w:rsidRPr="00AF369C">
              <w:t xml:space="preserve"> artigo 81.º, n.º 3, do TFUE.</w:t>
            </w:r>
          </w:p>
        </w:tc>
        <w:tc>
          <w:tcPr>
            <w:tcW w:w="4876" w:type="dxa"/>
            <w:hideMark/>
          </w:tcPr>
          <w:p w14:paraId="1A28FB40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(8)</w:t>
            </w:r>
            <w:r w:rsidRPr="00AF369C">
              <w:tab/>
            </w:r>
            <w:r w:rsidRPr="00AF369C">
              <w:rPr>
                <w:b/>
                <w:i/>
              </w:rPr>
              <w:t>Certas</w:t>
            </w:r>
            <w:r w:rsidRPr="00AF369C">
              <w:t xml:space="preserve"> questões a incluir no projeto de acordo entre França e a Argélia afetam o acervo da UE </w:t>
            </w:r>
            <w:r w:rsidRPr="00AF369C">
              <w:rPr>
                <w:b/>
                <w:i/>
              </w:rPr>
              <w:t>pertinente</w:t>
            </w:r>
            <w:r w:rsidRPr="00AF369C">
              <w:t xml:space="preserve"> em matéria de direito da família. Por conseguinte, as matérias abrangidas por esses compromissos internacionais são da competência externa exclusiva da União. Os Estados</w:t>
            </w:r>
            <w:r w:rsidRPr="00AF369C">
              <w:noBreakHyphen/>
              <w:t xml:space="preserve">Membros só podem negociar ou assumir esses compromissos </w:t>
            </w:r>
            <w:r w:rsidRPr="00AF369C">
              <w:rPr>
                <w:b/>
                <w:i/>
              </w:rPr>
              <w:t>caso lhes seja</w:t>
            </w:r>
            <w:r w:rsidRPr="00AF369C">
              <w:t xml:space="preserve"> conferida</w:t>
            </w:r>
            <w:r w:rsidRPr="00AF369C">
              <w:rPr>
                <w:b/>
                <w:i/>
              </w:rPr>
              <w:t>,</w:t>
            </w:r>
            <w:r w:rsidRPr="00AF369C">
              <w:t xml:space="preserve"> nos termos do artigo 2.º, n.º 1, do Tratado sobre o Funcionamento da União Europeia (TFUE), </w:t>
            </w:r>
            <w:r w:rsidRPr="00AF369C">
              <w:rPr>
                <w:b/>
                <w:i/>
              </w:rPr>
              <w:t>uma habilitação para esse efeito pelo legislador da União, em conformidade com o processo legislativo a que se refere o</w:t>
            </w:r>
            <w:r w:rsidRPr="00AF369C">
              <w:t xml:space="preserve"> artigo 81.º, n.º 3, do TFUE.</w:t>
            </w:r>
          </w:p>
        </w:tc>
      </w:tr>
    </w:tbl>
    <w:p w14:paraId="52467FE8" w14:textId="77777777" w:rsidR="00492FEF" w:rsidRPr="00AF369C" w:rsidRDefault="00492FEF" w:rsidP="00492FEF">
      <w:pPr>
        <w:rPr>
          <w:szCs w:val="24"/>
        </w:rPr>
      </w:pPr>
    </w:p>
    <w:p w14:paraId="75A5B68D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3</w:t>
      </w:r>
    </w:p>
    <w:p w14:paraId="7159462A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08E5BEB5" w14:textId="77777777" w:rsidR="00492FEF" w:rsidRPr="00AF369C" w:rsidRDefault="00492FEF" w:rsidP="00492FEF">
      <w:pPr>
        <w:pStyle w:val="NormalBold"/>
      </w:pPr>
      <w:r w:rsidRPr="00AF369C">
        <w:t>Artigo 1 – parágrafo 1 – travessão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406D1CBD" w14:textId="77777777" w:rsidTr="00045EB3">
        <w:trPr>
          <w:jc w:val="center"/>
        </w:trPr>
        <w:tc>
          <w:tcPr>
            <w:tcW w:w="9752" w:type="dxa"/>
            <w:gridSpan w:val="2"/>
          </w:tcPr>
          <w:p w14:paraId="70D1EC8F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25067212" w14:textId="77777777" w:rsidTr="00045EB3">
        <w:trPr>
          <w:jc w:val="center"/>
        </w:trPr>
        <w:tc>
          <w:tcPr>
            <w:tcW w:w="4876" w:type="dxa"/>
            <w:hideMark/>
          </w:tcPr>
          <w:p w14:paraId="34F462FD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1E866612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137C7A69" w14:textId="77777777" w:rsidTr="00045EB3">
        <w:trPr>
          <w:jc w:val="center"/>
        </w:trPr>
        <w:tc>
          <w:tcPr>
            <w:tcW w:w="4876" w:type="dxa"/>
            <w:hideMark/>
          </w:tcPr>
          <w:p w14:paraId="0352D27E" w14:textId="77777777" w:rsidR="00492FEF" w:rsidRPr="00AF369C" w:rsidRDefault="00492FEF" w:rsidP="00045EB3">
            <w:pPr>
              <w:pStyle w:val="Normal6"/>
            </w:pPr>
            <w:r w:rsidRPr="00AF369C">
              <w:t>–</w:t>
            </w:r>
            <w:r w:rsidRPr="00AF369C">
              <w:tab/>
              <w:t xml:space="preserve">Informar a Argélia de que a Comissão Europeia </w:t>
            </w:r>
            <w:r w:rsidRPr="00AF369C">
              <w:rPr>
                <w:b/>
                <w:i/>
              </w:rPr>
              <w:t>participa</w:t>
            </w:r>
            <w:r w:rsidRPr="00AF369C">
              <w:t xml:space="preserve"> nas negociações na qualidade de observador e é informada dos progressos e resultados obtidos durante as várias fases das negociações;</w:t>
            </w:r>
          </w:p>
        </w:tc>
        <w:tc>
          <w:tcPr>
            <w:tcW w:w="4876" w:type="dxa"/>
            <w:hideMark/>
          </w:tcPr>
          <w:p w14:paraId="1B61D6DC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–</w:t>
            </w:r>
            <w:r w:rsidRPr="00AF369C">
              <w:tab/>
              <w:t xml:space="preserve">Informar a Argélia de que a Comissão Europeia </w:t>
            </w:r>
            <w:r w:rsidRPr="00AF369C">
              <w:rPr>
                <w:b/>
                <w:i/>
              </w:rPr>
              <w:t>pode participar</w:t>
            </w:r>
            <w:r w:rsidRPr="00AF369C">
              <w:t xml:space="preserve"> nas negociações na qualidade de observador e é informada dos progressos e resultados obtidos durante as várias fases das negociações;</w:t>
            </w:r>
          </w:p>
        </w:tc>
      </w:tr>
    </w:tbl>
    <w:p w14:paraId="2970D960" w14:textId="77777777" w:rsidR="00492FEF" w:rsidRPr="00AF369C" w:rsidRDefault="00492FEF" w:rsidP="00492FEF">
      <w:pPr>
        <w:rPr>
          <w:szCs w:val="24"/>
        </w:rPr>
      </w:pPr>
    </w:p>
    <w:p w14:paraId="694FF96F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4</w:t>
      </w:r>
    </w:p>
    <w:p w14:paraId="3C21150E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5C318BFB" w14:textId="77777777" w:rsidR="00492FEF" w:rsidRPr="00AF369C" w:rsidRDefault="00492FEF" w:rsidP="00492FEF">
      <w:pPr>
        <w:pStyle w:val="NormalBold"/>
      </w:pPr>
      <w:r w:rsidRPr="00AF369C">
        <w:t>Artigo 1 – parágrafo 1 – travessão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28A2D28C" w14:textId="77777777" w:rsidTr="00045EB3">
        <w:trPr>
          <w:jc w:val="center"/>
        </w:trPr>
        <w:tc>
          <w:tcPr>
            <w:tcW w:w="9752" w:type="dxa"/>
            <w:gridSpan w:val="2"/>
          </w:tcPr>
          <w:p w14:paraId="73D40A7A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4BE8A939" w14:textId="77777777" w:rsidTr="00045EB3">
        <w:trPr>
          <w:jc w:val="center"/>
        </w:trPr>
        <w:tc>
          <w:tcPr>
            <w:tcW w:w="4876" w:type="dxa"/>
            <w:hideMark/>
          </w:tcPr>
          <w:p w14:paraId="097411D0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44DC20F1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105CE0D1" w14:textId="77777777" w:rsidTr="00045EB3">
        <w:trPr>
          <w:jc w:val="center"/>
        </w:trPr>
        <w:tc>
          <w:tcPr>
            <w:tcW w:w="4876" w:type="dxa"/>
            <w:hideMark/>
          </w:tcPr>
          <w:p w14:paraId="37B0CA39" w14:textId="77777777" w:rsidR="00492FEF" w:rsidRPr="00AF369C" w:rsidRDefault="00492FEF" w:rsidP="00045EB3">
            <w:pPr>
              <w:pStyle w:val="Normal6"/>
            </w:pPr>
            <w:r w:rsidRPr="00AF369C">
              <w:t>–</w:t>
            </w:r>
            <w:r w:rsidRPr="00AF369C">
              <w:tab/>
              <w:t xml:space="preserve">Incentivar a Argélia a ponderar a adesão às principais convenções em matéria de direito da família elaboradas pela Conferência da Haia de Direito Internacional Privado e a iniciar uma análise </w:t>
            </w:r>
            <w:r w:rsidRPr="00AF369C">
              <w:rPr>
                <w:b/>
                <w:i/>
              </w:rPr>
              <w:t>séria</w:t>
            </w:r>
            <w:r w:rsidRPr="00AF369C">
              <w:t xml:space="preserve"> sobre as </w:t>
            </w:r>
            <w:r w:rsidRPr="00AF369C">
              <w:rPr>
                <w:b/>
                <w:i/>
              </w:rPr>
              <w:t>razões</w:t>
            </w:r>
            <w:r w:rsidRPr="00AF369C">
              <w:t xml:space="preserve"> que até à data </w:t>
            </w:r>
            <w:r w:rsidRPr="00AF369C">
              <w:rPr>
                <w:b/>
                <w:i/>
              </w:rPr>
              <w:t>imperam</w:t>
            </w:r>
            <w:r w:rsidRPr="00AF369C">
              <w:t xml:space="preserve"> a Argélia de o fazer;</w:t>
            </w:r>
          </w:p>
        </w:tc>
        <w:tc>
          <w:tcPr>
            <w:tcW w:w="4876" w:type="dxa"/>
            <w:hideMark/>
          </w:tcPr>
          <w:p w14:paraId="144AB05F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–</w:t>
            </w:r>
            <w:r w:rsidRPr="00AF369C">
              <w:tab/>
              <w:t xml:space="preserve">Incentivar a Argélia a ponderar a adesão às principais convenções em matéria de direito da família elaboradas pela Conferência da Haia de Direito Internacional Privado e a iniciar uma análise sobre as </w:t>
            </w:r>
            <w:r w:rsidRPr="00AF369C">
              <w:rPr>
                <w:b/>
                <w:i/>
              </w:rPr>
              <w:t>formas mais adequadas de eliminar os obstáculos</w:t>
            </w:r>
            <w:r w:rsidRPr="00AF369C">
              <w:t xml:space="preserve"> que até à data </w:t>
            </w:r>
            <w:r w:rsidRPr="00AF369C">
              <w:rPr>
                <w:b/>
                <w:i/>
              </w:rPr>
              <w:t>impediram</w:t>
            </w:r>
            <w:r w:rsidRPr="00AF369C">
              <w:t xml:space="preserve"> a Argélia de o fazer;</w:t>
            </w:r>
          </w:p>
        </w:tc>
      </w:tr>
    </w:tbl>
    <w:p w14:paraId="56295D29" w14:textId="77777777" w:rsidR="00492FEF" w:rsidRPr="00AF369C" w:rsidRDefault="00492FEF" w:rsidP="00492FEF">
      <w:pPr>
        <w:rPr>
          <w:szCs w:val="24"/>
        </w:rPr>
      </w:pPr>
    </w:p>
    <w:p w14:paraId="0BE7C052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5</w:t>
      </w:r>
    </w:p>
    <w:p w14:paraId="54C9B5C5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594F384E" w14:textId="77777777" w:rsidR="00492FEF" w:rsidRPr="00AF369C" w:rsidRDefault="00492FEF" w:rsidP="00492FEF">
      <w:pPr>
        <w:pStyle w:val="NormalBold"/>
      </w:pPr>
      <w:r w:rsidRPr="00AF369C">
        <w:t>Artigo 1 – parágrafo 1 – travessão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7F37B9A6" w14:textId="77777777" w:rsidTr="00045EB3">
        <w:trPr>
          <w:jc w:val="center"/>
        </w:trPr>
        <w:tc>
          <w:tcPr>
            <w:tcW w:w="9752" w:type="dxa"/>
            <w:gridSpan w:val="2"/>
          </w:tcPr>
          <w:p w14:paraId="4F2FFE33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4D899450" w14:textId="77777777" w:rsidTr="00045EB3">
        <w:trPr>
          <w:jc w:val="center"/>
        </w:trPr>
        <w:tc>
          <w:tcPr>
            <w:tcW w:w="4876" w:type="dxa"/>
            <w:hideMark/>
          </w:tcPr>
          <w:p w14:paraId="17DA0E51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2363FA64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1AB116B6" w14:textId="77777777" w:rsidTr="00045EB3">
        <w:trPr>
          <w:jc w:val="center"/>
        </w:trPr>
        <w:tc>
          <w:tcPr>
            <w:tcW w:w="4876" w:type="dxa"/>
            <w:hideMark/>
          </w:tcPr>
          <w:p w14:paraId="320B8D91" w14:textId="77777777" w:rsidR="00492FEF" w:rsidRPr="00AF369C" w:rsidRDefault="00492FEF" w:rsidP="00045EB3">
            <w:pPr>
              <w:pStyle w:val="Normal6"/>
            </w:pPr>
            <w:r w:rsidRPr="00AF369C">
              <w:t>–</w:t>
            </w:r>
            <w:r w:rsidRPr="00AF369C">
              <w:tab/>
              <w:t xml:space="preserve">Informar a Argélia de que, após a conclusão das negociações, é necessária a autorização do Conselho da União Europeia antes de </w:t>
            </w:r>
            <w:r w:rsidRPr="00AF369C">
              <w:rPr>
                <w:b/>
                <w:i/>
              </w:rPr>
              <w:t>as Partes poderem</w:t>
            </w:r>
            <w:r w:rsidRPr="00AF369C">
              <w:t xml:space="preserve"> celebrar o acordo;</w:t>
            </w:r>
          </w:p>
        </w:tc>
        <w:tc>
          <w:tcPr>
            <w:tcW w:w="4876" w:type="dxa"/>
            <w:hideMark/>
          </w:tcPr>
          <w:p w14:paraId="0042B89D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–</w:t>
            </w:r>
            <w:r w:rsidRPr="00AF369C">
              <w:tab/>
              <w:t xml:space="preserve">Informar a Argélia de que, após a conclusão das negociações, é necessária a autorização do Conselho da União Europeia antes de </w:t>
            </w:r>
            <w:r w:rsidRPr="00AF369C">
              <w:rPr>
                <w:b/>
                <w:i/>
              </w:rPr>
              <w:t>a França poder</w:t>
            </w:r>
            <w:r w:rsidRPr="00AF369C">
              <w:t xml:space="preserve"> celebrar o acordo;</w:t>
            </w:r>
          </w:p>
        </w:tc>
      </w:tr>
    </w:tbl>
    <w:p w14:paraId="16C0F606" w14:textId="77777777" w:rsidR="00492FEF" w:rsidRPr="00AF369C" w:rsidRDefault="00492FEF" w:rsidP="00492FEF">
      <w:pPr>
        <w:rPr>
          <w:szCs w:val="24"/>
        </w:rPr>
      </w:pPr>
    </w:p>
    <w:p w14:paraId="03AB04FF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6</w:t>
      </w:r>
    </w:p>
    <w:p w14:paraId="52EB62AF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2B35A852" w14:textId="77777777" w:rsidR="00492FEF" w:rsidRPr="00AF369C" w:rsidRDefault="00492FEF" w:rsidP="00492FEF">
      <w:pPr>
        <w:pStyle w:val="NormalBold"/>
      </w:pPr>
      <w:r w:rsidRPr="00AF369C">
        <w:t>Artigo 1 – parágrafo 1 – travessão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0D62D68A" w14:textId="77777777" w:rsidTr="00045EB3">
        <w:trPr>
          <w:jc w:val="center"/>
        </w:trPr>
        <w:tc>
          <w:tcPr>
            <w:tcW w:w="9752" w:type="dxa"/>
            <w:gridSpan w:val="2"/>
          </w:tcPr>
          <w:p w14:paraId="448715F9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56499280" w14:textId="77777777" w:rsidTr="00045EB3">
        <w:trPr>
          <w:jc w:val="center"/>
        </w:trPr>
        <w:tc>
          <w:tcPr>
            <w:tcW w:w="4876" w:type="dxa"/>
            <w:hideMark/>
          </w:tcPr>
          <w:p w14:paraId="23CD20E2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0F735326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0C4B39D7" w14:textId="77777777" w:rsidTr="00045EB3">
        <w:trPr>
          <w:jc w:val="center"/>
        </w:trPr>
        <w:tc>
          <w:tcPr>
            <w:tcW w:w="4876" w:type="dxa"/>
            <w:hideMark/>
          </w:tcPr>
          <w:p w14:paraId="5F860D18" w14:textId="77777777" w:rsidR="00492FEF" w:rsidRPr="00AF369C" w:rsidRDefault="00492FEF" w:rsidP="00045EB3">
            <w:pPr>
              <w:pStyle w:val="Normal6"/>
            </w:pPr>
            <w:r w:rsidRPr="00AF369C">
              <w:t>–</w:t>
            </w:r>
            <w:r w:rsidRPr="00AF369C">
              <w:tab/>
              <w:t xml:space="preserve">Informar a Argélia de que a </w:t>
            </w:r>
            <w:r w:rsidRPr="00AF369C">
              <w:lastRenderedPageBreak/>
              <w:t xml:space="preserve">autorização do Conselho da União Europeia para a celebração do acordo, na sequência de uma proposta da Comissão, pode ter uma validade limitada no tempo </w:t>
            </w:r>
            <w:r w:rsidRPr="00AF369C">
              <w:rPr>
                <w:b/>
                <w:i/>
              </w:rPr>
              <w:t>(por exemplo, cinco anos) e ter de ser reexaminado posteriormente</w:t>
            </w:r>
            <w:r w:rsidRPr="00AF369C">
              <w:t>;</w:t>
            </w:r>
          </w:p>
        </w:tc>
        <w:tc>
          <w:tcPr>
            <w:tcW w:w="4876" w:type="dxa"/>
            <w:hideMark/>
          </w:tcPr>
          <w:p w14:paraId="34B12E55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lastRenderedPageBreak/>
              <w:t>–</w:t>
            </w:r>
            <w:r w:rsidRPr="00AF369C">
              <w:tab/>
              <w:t xml:space="preserve">Informar a Argélia de que a </w:t>
            </w:r>
            <w:r w:rsidRPr="00AF369C">
              <w:lastRenderedPageBreak/>
              <w:t>autorização do Parlamento Europeu e do Conselho da União Europeia para a celebração do acordo, na sequência de uma proposta da Comissão, pode ter uma validade limitada no tempo</w:t>
            </w:r>
            <w:r w:rsidRPr="00AF369C">
              <w:rPr>
                <w:b/>
                <w:i/>
              </w:rPr>
              <w:t>, eventualmente com um sistema de renovação tácita a indicar na decisão do Parlamento Europeu e do Conselho relativa à celebração do acordo</w:t>
            </w:r>
            <w:r w:rsidRPr="00AF369C">
              <w:t>;</w:t>
            </w:r>
          </w:p>
        </w:tc>
      </w:tr>
    </w:tbl>
    <w:p w14:paraId="3CF6A11B" w14:textId="77777777" w:rsidR="00492FEF" w:rsidRPr="00AF369C" w:rsidRDefault="00492FEF" w:rsidP="00492FEF">
      <w:pPr>
        <w:rPr>
          <w:szCs w:val="24"/>
        </w:rPr>
      </w:pPr>
    </w:p>
    <w:p w14:paraId="5C8F64E5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7</w:t>
      </w:r>
    </w:p>
    <w:p w14:paraId="041E881A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2257F7EF" w14:textId="77777777" w:rsidR="00492FEF" w:rsidRPr="00AF369C" w:rsidRDefault="00492FEF" w:rsidP="00492FEF">
      <w:pPr>
        <w:pStyle w:val="NormalBold"/>
      </w:pPr>
      <w:r w:rsidRPr="00AF369C">
        <w:t>Artigo 1 – parágrafo 1 – travessão 4</w:t>
      </w:r>
      <w:r w:rsidRPr="00AF369C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60ADDF4A" w14:textId="77777777" w:rsidTr="00045EB3">
        <w:trPr>
          <w:jc w:val="center"/>
        </w:trPr>
        <w:tc>
          <w:tcPr>
            <w:tcW w:w="9752" w:type="dxa"/>
            <w:gridSpan w:val="2"/>
          </w:tcPr>
          <w:p w14:paraId="23CF3EED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65FAC2B7" w14:textId="77777777" w:rsidTr="00045EB3">
        <w:trPr>
          <w:jc w:val="center"/>
        </w:trPr>
        <w:tc>
          <w:tcPr>
            <w:tcW w:w="4876" w:type="dxa"/>
            <w:hideMark/>
          </w:tcPr>
          <w:p w14:paraId="095C07E2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2AA70F18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42AAC11B" w14:textId="77777777" w:rsidTr="00045EB3">
        <w:trPr>
          <w:jc w:val="center"/>
        </w:trPr>
        <w:tc>
          <w:tcPr>
            <w:tcW w:w="4876" w:type="dxa"/>
          </w:tcPr>
          <w:p w14:paraId="600CCCC2" w14:textId="77777777" w:rsidR="00492FEF" w:rsidRPr="00AF369C" w:rsidRDefault="00492FEF" w:rsidP="00045EB3">
            <w:pPr>
              <w:pStyle w:val="Normal6"/>
            </w:pPr>
          </w:p>
        </w:tc>
        <w:tc>
          <w:tcPr>
            <w:tcW w:w="4876" w:type="dxa"/>
            <w:hideMark/>
          </w:tcPr>
          <w:p w14:paraId="661805FE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rPr>
                <w:b/>
                <w:i/>
              </w:rPr>
              <w:t>–</w:t>
            </w:r>
            <w:r w:rsidRPr="00AF369C">
              <w:rPr>
                <w:b/>
                <w:i/>
              </w:rPr>
              <w:tab/>
              <w:t>Inserir uma disposição que preveja a denúncia total ou parcial do acordo ou a substituição direta das disposições pertinentes do acordo em caso de celebração de um acordo subsequente entre a União ou a União e os seus Estados</w:t>
            </w:r>
            <w:r w:rsidRPr="00AF369C">
              <w:rPr>
                <w:b/>
                <w:i/>
              </w:rPr>
              <w:noBreakHyphen/>
              <w:t>Membros, por um lado, e a Argélia, por outro, ou em caso de adesão da Argélia às convenções da Haia pertinentes;</w:t>
            </w:r>
          </w:p>
        </w:tc>
      </w:tr>
    </w:tbl>
    <w:p w14:paraId="2BBF0EDD" w14:textId="77777777" w:rsidR="00492FEF" w:rsidRPr="00AF369C" w:rsidRDefault="00492FEF" w:rsidP="00492FEF">
      <w:pPr>
        <w:rPr>
          <w:szCs w:val="24"/>
        </w:rPr>
      </w:pPr>
    </w:p>
    <w:p w14:paraId="5BA9F6E5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8</w:t>
      </w:r>
    </w:p>
    <w:p w14:paraId="22719B64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7B6309E4" w14:textId="77777777" w:rsidR="00492FEF" w:rsidRPr="00AF369C" w:rsidRDefault="00492FEF" w:rsidP="00492FEF">
      <w:pPr>
        <w:pStyle w:val="NormalBold"/>
      </w:pPr>
      <w:r w:rsidRPr="00AF369C">
        <w:t>Artigo 1 – parágrafo 1 – travessão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2F13EA96" w14:textId="77777777" w:rsidTr="00045EB3">
        <w:trPr>
          <w:jc w:val="center"/>
        </w:trPr>
        <w:tc>
          <w:tcPr>
            <w:tcW w:w="9752" w:type="dxa"/>
            <w:gridSpan w:val="2"/>
          </w:tcPr>
          <w:p w14:paraId="217F635F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2ADC7047" w14:textId="77777777" w:rsidTr="00045EB3">
        <w:trPr>
          <w:jc w:val="center"/>
        </w:trPr>
        <w:tc>
          <w:tcPr>
            <w:tcW w:w="4876" w:type="dxa"/>
            <w:hideMark/>
          </w:tcPr>
          <w:p w14:paraId="2A1B4360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72F48D44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21C72E5E" w14:textId="77777777" w:rsidTr="00045EB3">
        <w:trPr>
          <w:jc w:val="center"/>
        </w:trPr>
        <w:tc>
          <w:tcPr>
            <w:tcW w:w="4876" w:type="dxa"/>
            <w:hideMark/>
          </w:tcPr>
          <w:p w14:paraId="65CC0FF5" w14:textId="77777777" w:rsidR="00492FEF" w:rsidRPr="00AF369C" w:rsidRDefault="00492FEF" w:rsidP="00045EB3">
            <w:pPr>
              <w:pStyle w:val="Normal6"/>
            </w:pPr>
            <w:r w:rsidRPr="00AF369C">
              <w:t>—</w:t>
            </w:r>
            <w:r w:rsidRPr="00AF369C">
              <w:tab/>
              <w:t>Inserir uma disposição no sentido de as decisões reconhecidas em França por força do presente acordo não poderem posteriormente circular noutros Estados</w:t>
            </w:r>
            <w:r w:rsidRPr="00AF369C">
              <w:noBreakHyphen/>
              <w:t>Membros da UE;</w:t>
            </w:r>
          </w:p>
        </w:tc>
        <w:tc>
          <w:tcPr>
            <w:tcW w:w="4876" w:type="dxa"/>
            <w:hideMark/>
          </w:tcPr>
          <w:p w14:paraId="608D24BC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—</w:t>
            </w:r>
            <w:r w:rsidRPr="00AF369C">
              <w:tab/>
              <w:t>Inserir uma disposição no sentido de as decisões reconhecidas em França por força do presente acordo não poderem posteriormente circular noutros Estados</w:t>
            </w:r>
            <w:r w:rsidRPr="00AF369C">
              <w:noBreakHyphen/>
              <w:t xml:space="preserve">Membros da UE </w:t>
            </w:r>
            <w:r w:rsidRPr="00AF369C">
              <w:rPr>
                <w:b/>
                <w:i/>
              </w:rPr>
              <w:t>ao abrigo do direito da União</w:t>
            </w:r>
            <w:r w:rsidRPr="00AF369C">
              <w:t>;</w:t>
            </w:r>
          </w:p>
        </w:tc>
      </w:tr>
    </w:tbl>
    <w:p w14:paraId="714A9F77" w14:textId="77777777" w:rsidR="00492FEF" w:rsidRPr="00AF369C" w:rsidRDefault="00492FEF" w:rsidP="00492FEF">
      <w:pPr>
        <w:rPr>
          <w:szCs w:val="24"/>
        </w:rPr>
      </w:pPr>
    </w:p>
    <w:p w14:paraId="56D497D5" w14:textId="77777777" w:rsidR="00492FEF" w:rsidRPr="00AF369C" w:rsidRDefault="00492FEF" w:rsidP="00492FEF">
      <w:pPr>
        <w:pStyle w:val="AMNumberTabs0"/>
        <w:keepNext/>
      </w:pPr>
      <w:r w:rsidRPr="00AF369C">
        <w:t>Alteração</w:t>
      </w:r>
      <w:r w:rsidRPr="00AF369C">
        <w:tab/>
      </w:r>
      <w:r w:rsidRPr="00AF369C">
        <w:tab/>
        <w:t>9</w:t>
      </w:r>
    </w:p>
    <w:p w14:paraId="34D1AD1B" w14:textId="77777777" w:rsidR="00492FEF" w:rsidRPr="00AF369C" w:rsidRDefault="00492FEF" w:rsidP="00492FEF">
      <w:pPr>
        <w:pStyle w:val="NormalBold12b"/>
        <w:keepNext/>
      </w:pPr>
      <w:r w:rsidRPr="00AF369C">
        <w:t>Proposta de decisão</w:t>
      </w:r>
    </w:p>
    <w:p w14:paraId="6AEABFC5" w14:textId="77777777" w:rsidR="00492FEF" w:rsidRPr="00AF369C" w:rsidRDefault="00492FEF" w:rsidP="00492FEF">
      <w:pPr>
        <w:pStyle w:val="NormalBold"/>
      </w:pPr>
      <w:r w:rsidRPr="00AF369C">
        <w:t>Artigo 1 – parágrafo 1 – travessão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92FEF" w:rsidRPr="00AF369C" w14:paraId="08DEFFA6" w14:textId="77777777" w:rsidTr="00045EB3">
        <w:trPr>
          <w:jc w:val="center"/>
        </w:trPr>
        <w:tc>
          <w:tcPr>
            <w:tcW w:w="9752" w:type="dxa"/>
            <w:gridSpan w:val="2"/>
          </w:tcPr>
          <w:p w14:paraId="4ACBD609" w14:textId="77777777" w:rsidR="00492FEF" w:rsidRPr="00AF369C" w:rsidRDefault="00492FEF" w:rsidP="00045EB3">
            <w:pPr>
              <w:keepNext/>
            </w:pPr>
          </w:p>
        </w:tc>
      </w:tr>
      <w:tr w:rsidR="00492FEF" w:rsidRPr="00AF369C" w14:paraId="38CE988F" w14:textId="77777777" w:rsidTr="00045EB3">
        <w:trPr>
          <w:jc w:val="center"/>
        </w:trPr>
        <w:tc>
          <w:tcPr>
            <w:tcW w:w="4876" w:type="dxa"/>
            <w:hideMark/>
          </w:tcPr>
          <w:p w14:paraId="6E0237C1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Texto da Comissão</w:t>
            </w:r>
          </w:p>
        </w:tc>
        <w:tc>
          <w:tcPr>
            <w:tcW w:w="4876" w:type="dxa"/>
            <w:hideMark/>
          </w:tcPr>
          <w:p w14:paraId="6621C6A5" w14:textId="77777777" w:rsidR="00492FEF" w:rsidRPr="00AF369C" w:rsidRDefault="00492FEF" w:rsidP="00045EB3">
            <w:pPr>
              <w:pStyle w:val="ColumnHeading"/>
              <w:keepNext/>
            </w:pPr>
            <w:r w:rsidRPr="00AF369C">
              <w:t>Alteração</w:t>
            </w:r>
          </w:p>
        </w:tc>
      </w:tr>
      <w:tr w:rsidR="00492FEF" w:rsidRPr="00AF369C" w14:paraId="0A114227" w14:textId="77777777" w:rsidTr="00045EB3">
        <w:trPr>
          <w:jc w:val="center"/>
        </w:trPr>
        <w:tc>
          <w:tcPr>
            <w:tcW w:w="4876" w:type="dxa"/>
            <w:hideMark/>
          </w:tcPr>
          <w:p w14:paraId="68BF8003" w14:textId="77777777" w:rsidR="00492FEF" w:rsidRPr="00AF369C" w:rsidRDefault="00492FEF" w:rsidP="00045EB3">
            <w:pPr>
              <w:pStyle w:val="Normal6"/>
            </w:pPr>
            <w:r w:rsidRPr="00AF369C">
              <w:t>—</w:t>
            </w:r>
            <w:r w:rsidRPr="00AF369C">
              <w:tab/>
              <w:t xml:space="preserve">Assegurar que as disposições </w:t>
            </w:r>
            <w:r w:rsidRPr="00AF369C">
              <w:rPr>
                <w:b/>
                <w:i/>
              </w:rPr>
              <w:t>relativas ao direito de recusar a citação ou notificação de atos sejam consentâneas com as disposições do artigo 12.º, n.º 3, do Regulamento relativo à citação ou notificação de atos reformulado, o que significa que o destinatário pode recusar a citação ou notificação de atos no momento da citação ou notificação ou no prazo de duas semanas a contar da data da citação ou notificação</w:t>
            </w:r>
            <w:r w:rsidRPr="00AF369C">
              <w:t>;</w:t>
            </w:r>
          </w:p>
        </w:tc>
        <w:tc>
          <w:tcPr>
            <w:tcW w:w="4876" w:type="dxa"/>
            <w:hideMark/>
          </w:tcPr>
          <w:p w14:paraId="159ED9AB" w14:textId="77777777" w:rsidR="00492FEF" w:rsidRPr="00AF369C" w:rsidRDefault="00492FEF" w:rsidP="00045EB3">
            <w:pPr>
              <w:pStyle w:val="Normal6"/>
              <w:rPr>
                <w:szCs w:val="24"/>
              </w:rPr>
            </w:pPr>
            <w:r w:rsidRPr="00AF369C">
              <w:t>—</w:t>
            </w:r>
            <w:r w:rsidRPr="00AF369C">
              <w:tab/>
              <w:t xml:space="preserve">Assegurar que as disposições </w:t>
            </w:r>
            <w:r w:rsidRPr="00AF369C">
              <w:rPr>
                <w:b/>
                <w:i/>
              </w:rPr>
              <w:t>do acordo negociado com a Argélia estão em conformidade com o acervo da União e as Convenções da Haia pertinentes</w:t>
            </w:r>
            <w:r w:rsidRPr="00AF369C">
              <w:t>,</w:t>
            </w:r>
          </w:p>
        </w:tc>
      </w:tr>
    </w:tbl>
    <w:p w14:paraId="53237B27" w14:textId="77777777" w:rsidR="00492FEF" w:rsidRPr="00AF369C" w:rsidRDefault="00492FEF" w:rsidP="00492FEF">
      <w:pPr>
        <w:rPr>
          <w:szCs w:val="24"/>
        </w:rPr>
      </w:pPr>
    </w:p>
    <w:p w14:paraId="13386EB9" w14:textId="77777777" w:rsidR="00E365E1" w:rsidRPr="00AF369C" w:rsidRDefault="00E365E1" w:rsidP="00F06879">
      <w:bookmarkStart w:id="9" w:name="TextBodyEnd"/>
      <w:bookmarkEnd w:id="9"/>
    </w:p>
    <w:sectPr w:rsidR="00E365E1" w:rsidRPr="00AF369C" w:rsidSect="008B3C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CE32D" w14:textId="77777777" w:rsidR="00F06879" w:rsidRPr="008B3C76" w:rsidRDefault="00F06879">
      <w:r w:rsidRPr="008B3C76">
        <w:separator/>
      </w:r>
    </w:p>
  </w:endnote>
  <w:endnote w:type="continuationSeparator" w:id="0">
    <w:p w14:paraId="0AE8074C" w14:textId="77777777" w:rsidR="00F06879" w:rsidRPr="008B3C76" w:rsidRDefault="00F06879">
      <w:r w:rsidRPr="008B3C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0BEF1" w14:textId="77777777" w:rsidR="00064002" w:rsidRPr="008B3C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FA97E" w14:textId="77777777" w:rsidR="00064002" w:rsidRPr="008B3C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99AF7" w14:textId="77777777" w:rsidR="00064002" w:rsidRPr="008B3C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21097" w14:textId="77777777" w:rsidR="00F06879" w:rsidRPr="008B3C76" w:rsidRDefault="00F06879">
      <w:r w:rsidRPr="008B3C76">
        <w:separator/>
      </w:r>
    </w:p>
  </w:footnote>
  <w:footnote w:type="continuationSeparator" w:id="0">
    <w:p w14:paraId="586E762D" w14:textId="77777777" w:rsidR="00F06879" w:rsidRPr="008B3C76" w:rsidRDefault="00F06879">
      <w:r w:rsidRPr="008B3C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870F1" w14:textId="77777777" w:rsidR="00064002" w:rsidRPr="008B3C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FF795" w14:textId="77777777" w:rsidR="00064002" w:rsidRPr="008B3C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0818F" w14:textId="77777777" w:rsidR="00064002" w:rsidRPr="008B3C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PT"/>
    <w:docVar w:name="dvnumam" w:val="9"/>
    <w:docVar w:name="dvpe" w:val="751.709"/>
    <w:docVar w:name="dvrapporteur" w:val="Relatora: "/>
    <w:docVar w:name="dvstar" w:val="*"/>
    <w:docVar w:name="dvtitre" w:val="Resolução legislativa do Parlamento Europeu, de ... de ... de 2023,_x000d__x000a_ sobre a proposta de decisão do Conselho relativa a uma autorização dirigida a França para a negociação de um acordo bilateral com a Argélia sobre questões relacionadas com a cooperação judiciária em matéria de direito da família(COM(2023)0064 – C9-0026/2023 – 2023/0027(CNS))"/>
  </w:docVars>
  <w:rsids>
    <w:rsidRoot w:val="00F06879"/>
    <w:rsid w:val="00002272"/>
    <w:rsid w:val="00064002"/>
    <w:rsid w:val="000677B9"/>
    <w:rsid w:val="000831BA"/>
    <w:rsid w:val="000A42CC"/>
    <w:rsid w:val="000E7DD9"/>
    <w:rsid w:val="0010095E"/>
    <w:rsid w:val="00125B37"/>
    <w:rsid w:val="00185901"/>
    <w:rsid w:val="00187494"/>
    <w:rsid w:val="001F32AE"/>
    <w:rsid w:val="00233245"/>
    <w:rsid w:val="002767FF"/>
    <w:rsid w:val="002847F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02D"/>
    <w:rsid w:val="00471C19"/>
    <w:rsid w:val="004867E3"/>
    <w:rsid w:val="00492FE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3AB"/>
    <w:rsid w:val="00680577"/>
    <w:rsid w:val="00685D39"/>
    <w:rsid w:val="006F74FA"/>
    <w:rsid w:val="007010B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C76"/>
    <w:rsid w:val="008C12DF"/>
    <w:rsid w:val="008C2AC6"/>
    <w:rsid w:val="00930C23"/>
    <w:rsid w:val="0093193B"/>
    <w:rsid w:val="009509D8"/>
    <w:rsid w:val="00950B64"/>
    <w:rsid w:val="00981893"/>
    <w:rsid w:val="009D1412"/>
    <w:rsid w:val="00A1687D"/>
    <w:rsid w:val="00A43E52"/>
    <w:rsid w:val="00A4678D"/>
    <w:rsid w:val="00A778C7"/>
    <w:rsid w:val="00AB441E"/>
    <w:rsid w:val="00AB6293"/>
    <w:rsid w:val="00AE0928"/>
    <w:rsid w:val="00AF369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97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BF9"/>
    <w:rsid w:val="00F04346"/>
    <w:rsid w:val="00F06879"/>
    <w:rsid w:val="00F075DC"/>
    <w:rsid w:val="00F149E9"/>
    <w:rsid w:val="00F20AE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4AEEE"/>
  <w15:chartTrackingRefBased/>
  <w15:docId w15:val="{6736EDA7-A15E-4699-B39C-43194E00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2FEF"/>
    <w:pPr>
      <w:spacing w:before="480" w:after="240"/>
    </w:pPr>
  </w:style>
  <w:style w:type="paragraph" w:customStyle="1" w:styleId="Normal6a">
    <w:name w:val="Normal6a"/>
    <w:basedOn w:val="Normal"/>
    <w:rsid w:val="00492FEF"/>
    <w:pPr>
      <w:spacing w:after="120"/>
    </w:pPr>
  </w:style>
  <w:style w:type="paragraph" w:customStyle="1" w:styleId="NormalBold">
    <w:name w:val="NormalBold"/>
    <w:basedOn w:val="Normal"/>
    <w:link w:val="NormalBoldChar"/>
    <w:rsid w:val="00492FEF"/>
    <w:rPr>
      <w:b/>
    </w:rPr>
  </w:style>
  <w:style w:type="paragraph" w:customStyle="1" w:styleId="NormalHanging12a">
    <w:name w:val="NormalHanging12a"/>
    <w:basedOn w:val="Normal"/>
    <w:rsid w:val="00492FE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92F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92F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92FEF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492FE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492FE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92FEF"/>
    <w:rPr>
      <w:b/>
      <w:sz w:val="24"/>
      <w:lang w:val="pt-PT"/>
    </w:rPr>
  </w:style>
  <w:style w:type="paragraph" w:customStyle="1" w:styleId="ColumnHeading">
    <w:name w:val="ColumnHeading"/>
    <w:basedOn w:val="Normal"/>
    <w:rsid w:val="00492F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92F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rsid w:val="007010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0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10B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010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10B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701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10B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7010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010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E0540-9CD4-4700-985A-34A2B2C8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1145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IAM_ConsComAM</dc:creator>
  <cp:keywords/>
  <cp:lastModifiedBy>MARTINSIsabelAlex</cp:lastModifiedBy>
  <cp:revision>2</cp:revision>
  <cp:lastPrinted>2004-11-19T15:42:00Z</cp:lastPrinted>
  <dcterms:created xsi:type="dcterms:W3CDTF">2023-12-12T10:26:00Z</dcterms:created>
  <dcterms:modified xsi:type="dcterms:W3CDTF">2023-12-12T10:26:00Z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