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678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678A" w:rsidRDefault="005B13E2" w:rsidP="0010095E">
            <w:pPr>
              <w:pStyle w:val="EPName"/>
            </w:pPr>
            <w:r w:rsidRPr="0039678A">
              <w:t>Evropski parlament</w:t>
            </w:r>
          </w:p>
          <w:p w:rsidR="00751A4A" w:rsidRPr="0039678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678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9678A" w:rsidRDefault="00187494" w:rsidP="0010095E">
            <w:pPr>
              <w:pStyle w:val="EPLogo"/>
            </w:pPr>
            <w:r w:rsidRPr="0039678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678A" w:rsidRDefault="00D058B8" w:rsidP="004C5D52">
      <w:pPr>
        <w:pStyle w:val="LineTop"/>
      </w:pPr>
    </w:p>
    <w:p w:rsidR="00680577" w:rsidRPr="0039678A" w:rsidRDefault="005B13E2" w:rsidP="00680577">
      <w:pPr>
        <w:pStyle w:val="EPBodyTA1"/>
      </w:pPr>
      <w:r w:rsidRPr="0039678A">
        <w:t>SPREJETA BESEDILA</w:t>
      </w:r>
    </w:p>
    <w:p w:rsidR="00D058B8" w:rsidRPr="0039678A" w:rsidRDefault="00D058B8" w:rsidP="00D058B8">
      <w:pPr>
        <w:pStyle w:val="LineBottom"/>
      </w:pPr>
    </w:p>
    <w:p w:rsidR="005B13E2" w:rsidRPr="0039678A" w:rsidRDefault="005B13E2" w:rsidP="005B13E2">
      <w:pPr>
        <w:pStyle w:val="ATHeading1"/>
      </w:pPr>
      <w:bookmarkStart w:id="0" w:name="TANumber"/>
      <w:r w:rsidRPr="0039678A">
        <w:t>P9_TA(2023)</w:t>
      </w:r>
      <w:bookmarkEnd w:id="0"/>
      <w:r w:rsidR="0045195B">
        <w:t>0449</w:t>
      </w:r>
    </w:p>
    <w:p w:rsidR="005B13E2" w:rsidRPr="0039678A" w:rsidRDefault="005B13E2" w:rsidP="005B13E2">
      <w:pPr>
        <w:pStyle w:val="ATHeading2"/>
      </w:pPr>
      <w:bookmarkStart w:id="1" w:name="title"/>
      <w:r w:rsidRPr="0039678A">
        <w:t xml:space="preserve">Pooblastilo Franciji za pogajanja o dvostranskem sporazumu z Alžirijo </w:t>
      </w:r>
      <w:r w:rsidR="00F80EDE">
        <w:t>o</w:t>
      </w:r>
      <w:r w:rsidRPr="0039678A">
        <w:t xml:space="preserve"> pravosodn</w:t>
      </w:r>
      <w:r w:rsidR="00F80EDE">
        <w:t>e</w:t>
      </w:r>
      <w:r w:rsidRPr="0039678A">
        <w:t>m sodelovanj</w:t>
      </w:r>
      <w:r w:rsidR="00F80EDE">
        <w:t>u</w:t>
      </w:r>
      <w:r w:rsidRPr="0039678A">
        <w:t xml:space="preserve"> v </w:t>
      </w:r>
      <w:r w:rsidR="00C47F70">
        <w:t xml:space="preserve">civilnih </w:t>
      </w:r>
      <w:r w:rsidRPr="0039678A">
        <w:t>zadevah</w:t>
      </w:r>
      <w:r w:rsidR="00C47F70">
        <w:t>, povezanih z</w:t>
      </w:r>
      <w:r w:rsidRPr="0039678A">
        <w:t xml:space="preserve"> družinsk</w:t>
      </w:r>
      <w:r w:rsidR="00C47F70">
        <w:t>im</w:t>
      </w:r>
      <w:r w:rsidRPr="0039678A">
        <w:t xml:space="preserve"> prav</w:t>
      </w:r>
      <w:r w:rsidR="00C47F70">
        <w:t>om</w:t>
      </w:r>
      <w:bookmarkEnd w:id="1"/>
    </w:p>
    <w:p w:rsidR="005B13E2" w:rsidRPr="0039678A" w:rsidRDefault="005B13E2" w:rsidP="005B13E2">
      <w:pPr>
        <w:rPr>
          <w:i/>
          <w:vanish/>
        </w:rPr>
      </w:pPr>
      <w:r w:rsidRPr="0039678A">
        <w:rPr>
          <w:i/>
        </w:rPr>
        <w:fldChar w:fldCharType="begin"/>
      </w:r>
      <w:r w:rsidRPr="0039678A">
        <w:rPr>
          <w:i/>
        </w:rPr>
        <w:instrText xml:space="preserve"> TC"(</w:instrText>
      </w:r>
      <w:bookmarkStart w:id="2" w:name="DocNumber"/>
      <w:r w:rsidRPr="0039678A">
        <w:rPr>
          <w:i/>
        </w:rPr>
        <w:instrText>A9-0355/2023</w:instrText>
      </w:r>
      <w:bookmarkEnd w:id="2"/>
      <w:r w:rsidRPr="0039678A">
        <w:rPr>
          <w:i/>
        </w:rPr>
        <w:instrText xml:space="preserve"> - Poročevalka: Ilana Cicurel)"\l3 \n&gt; \* MERGEFORMAT </w:instrText>
      </w:r>
      <w:r w:rsidRPr="0039678A">
        <w:rPr>
          <w:i/>
        </w:rPr>
        <w:fldChar w:fldCharType="end"/>
      </w:r>
    </w:p>
    <w:p w:rsidR="005B13E2" w:rsidRPr="0039678A" w:rsidRDefault="005B13E2" w:rsidP="005B13E2">
      <w:pPr>
        <w:rPr>
          <w:vanish/>
        </w:rPr>
      </w:pPr>
      <w:bookmarkStart w:id="3" w:name="Commission"/>
      <w:r w:rsidRPr="0039678A">
        <w:rPr>
          <w:vanish/>
        </w:rPr>
        <w:t>Odbor za pravne zadeve</w:t>
      </w:r>
      <w:bookmarkEnd w:id="3"/>
    </w:p>
    <w:p w:rsidR="005B13E2" w:rsidRPr="0039678A" w:rsidRDefault="005B13E2" w:rsidP="005B13E2">
      <w:pPr>
        <w:rPr>
          <w:vanish/>
        </w:rPr>
      </w:pPr>
      <w:bookmarkStart w:id="4" w:name="PE"/>
      <w:r w:rsidRPr="0039678A">
        <w:rPr>
          <w:vanish/>
        </w:rPr>
        <w:t>PE751.709</w:t>
      </w:r>
      <w:bookmarkEnd w:id="4"/>
    </w:p>
    <w:p w:rsidR="005B13E2" w:rsidRPr="0039678A" w:rsidRDefault="005B13E2" w:rsidP="005B13E2">
      <w:pPr>
        <w:pStyle w:val="ATHeading3"/>
      </w:pPr>
      <w:bookmarkStart w:id="5" w:name="Sujet"/>
      <w:r w:rsidRPr="0039678A">
        <w:t xml:space="preserve">Zakonodajna resolucija Evropskega parlamenta z dne </w:t>
      </w:r>
      <w:r w:rsidR="000F08F2">
        <w:t xml:space="preserve">12. </w:t>
      </w:r>
      <w:r w:rsidR="00616983">
        <w:t>decembra</w:t>
      </w:r>
      <w:r w:rsidRPr="0039678A">
        <w:t xml:space="preserve"> 2023 o predlogu sklepa Sveta o pooblastilu Franciji za pogajanja o dvostranskem sporazumu z Alžirijo o zadevah v zvezi s pravosodnim sodelovanjem v zadevah družinskega prava</w:t>
      </w:r>
      <w:bookmarkEnd w:id="5"/>
      <w:r w:rsidRPr="0039678A">
        <w:t xml:space="preserve"> </w:t>
      </w:r>
      <w:bookmarkStart w:id="6" w:name="References"/>
      <w:r w:rsidRPr="0039678A">
        <w:t>(COM(2023)0064 – C9-0026/2023 – 2023/0027(CNS))</w:t>
      </w:r>
      <w:bookmarkEnd w:id="6"/>
    </w:p>
    <w:p w:rsidR="005B13E2" w:rsidRPr="0039678A" w:rsidRDefault="005B13E2" w:rsidP="005B13E2"/>
    <w:p w:rsidR="00F45FAE" w:rsidRPr="0039678A" w:rsidRDefault="00F45FAE" w:rsidP="00F45FAE">
      <w:pPr>
        <w:pStyle w:val="NormalBold"/>
      </w:pPr>
      <w:bookmarkStart w:id="7" w:name="TextBodyBegin"/>
      <w:bookmarkEnd w:id="7"/>
      <w:r w:rsidRPr="0039678A">
        <w:t>(Posebni zakonodajni postopek – posvetovanje)</w:t>
      </w:r>
    </w:p>
    <w:p w:rsidR="00F45FAE" w:rsidRPr="0039678A" w:rsidRDefault="00F45FAE" w:rsidP="00F45FAE">
      <w:pPr>
        <w:pStyle w:val="EPComma"/>
      </w:pPr>
      <w:r w:rsidRPr="0039678A">
        <w:rPr>
          <w:i/>
        </w:rPr>
        <w:t>Evropski parlament</w:t>
      </w:r>
      <w:r w:rsidRPr="0039678A">
        <w:t>,</w:t>
      </w:r>
    </w:p>
    <w:p w:rsidR="00F45FAE" w:rsidRPr="0039678A" w:rsidRDefault="00F45FAE" w:rsidP="00F45FAE">
      <w:pPr>
        <w:pStyle w:val="NormalHanging12a"/>
      </w:pPr>
      <w:r w:rsidRPr="0039678A">
        <w:t>–</w:t>
      </w:r>
      <w:r w:rsidRPr="0039678A">
        <w:tab/>
        <w:t>ob upoštevanju predloga Komisije Svetu (COM(2023)0064),</w:t>
      </w:r>
    </w:p>
    <w:p w:rsidR="00F45FAE" w:rsidRPr="0039678A" w:rsidRDefault="00F45FAE" w:rsidP="00F45FAE">
      <w:pPr>
        <w:pStyle w:val="NormalHanging12a"/>
      </w:pPr>
      <w:r w:rsidRPr="0039678A">
        <w:t>–</w:t>
      </w:r>
      <w:r w:rsidRPr="0039678A">
        <w:tab/>
        <w:t>ob upoštevanju člena 2(1) in člena 81(3) Pogodbe o delovanju Evropske unije, na podlagi katerih se je Svet posvetoval s Parlamentom (C9-0026/2023),</w:t>
      </w:r>
    </w:p>
    <w:p w:rsidR="00F45FAE" w:rsidRPr="0039678A" w:rsidRDefault="00F45FAE" w:rsidP="00F45FAE">
      <w:pPr>
        <w:pStyle w:val="NormalHanging12a"/>
      </w:pPr>
      <w:r w:rsidRPr="0039678A">
        <w:t>–</w:t>
      </w:r>
      <w:r w:rsidRPr="0039678A">
        <w:tab/>
        <w:t>ob upoštevanju člena 82 Poslovnika,</w:t>
      </w:r>
    </w:p>
    <w:p w:rsidR="00F45FAE" w:rsidRPr="0039678A" w:rsidRDefault="00F45FAE" w:rsidP="00F45FAE">
      <w:pPr>
        <w:pStyle w:val="NormalHanging12a"/>
      </w:pPr>
      <w:r w:rsidRPr="0039678A">
        <w:t>–</w:t>
      </w:r>
      <w:r w:rsidRPr="0039678A">
        <w:tab/>
        <w:t>ob upoštevanju poročila Odbora za pravne zadeve (A9-0355/2023),</w:t>
      </w:r>
    </w:p>
    <w:p w:rsidR="00F45FAE" w:rsidRPr="0039678A" w:rsidRDefault="00F45FAE" w:rsidP="00F45FAE">
      <w:pPr>
        <w:pStyle w:val="NormalHanging12a"/>
      </w:pPr>
      <w:r w:rsidRPr="0039678A">
        <w:t>1.</w:t>
      </w:r>
      <w:r w:rsidRPr="0039678A">
        <w:tab/>
        <w:t>odobri predlog Komisije, kakor je bil spremenjen;</w:t>
      </w:r>
    </w:p>
    <w:p w:rsidR="00F45FAE" w:rsidRPr="0039678A" w:rsidRDefault="00F45FAE" w:rsidP="00F45FAE">
      <w:pPr>
        <w:pStyle w:val="NormalHanging12a"/>
      </w:pPr>
      <w:r w:rsidRPr="0039678A">
        <w:t>2.</w:t>
      </w:r>
      <w:r w:rsidRPr="0039678A">
        <w:tab/>
        <w:t>poziva Komisijo, naj ustrezno spremeni svoj predlog na podlagi člena 293(2) Pogodbe o delovanju Evropske unije;</w:t>
      </w:r>
    </w:p>
    <w:p w:rsidR="00F45FAE" w:rsidRPr="0039678A" w:rsidRDefault="00F45FAE" w:rsidP="00F45FAE">
      <w:pPr>
        <w:pStyle w:val="NormalHanging12a"/>
      </w:pPr>
      <w:r w:rsidRPr="0039678A">
        <w:t>3.</w:t>
      </w:r>
      <w:r w:rsidRPr="0039678A">
        <w:tab/>
        <w:t>poziva Svet, naj ga obvesti, če namerava odstopiti od besedila, ki ga je odobril Parlament;</w:t>
      </w:r>
    </w:p>
    <w:p w:rsidR="00F45FAE" w:rsidRPr="0039678A" w:rsidRDefault="00F45FAE" w:rsidP="00F45FAE">
      <w:pPr>
        <w:pStyle w:val="NormalHanging12a"/>
      </w:pPr>
      <w:r w:rsidRPr="0039678A">
        <w:t>4.</w:t>
      </w:r>
      <w:r w:rsidRPr="0039678A">
        <w:tab/>
        <w:t>poziva Svet, naj se ponovno posvetuje z njim, če namerava bistveno spremeniti predlog Komisije;</w:t>
      </w:r>
    </w:p>
    <w:p w:rsidR="00F45FAE" w:rsidRPr="0039678A" w:rsidRDefault="00F45FAE" w:rsidP="00F45FAE">
      <w:pPr>
        <w:pStyle w:val="NormalHanging12a"/>
      </w:pPr>
      <w:r w:rsidRPr="0039678A">
        <w:t>5.</w:t>
      </w:r>
      <w:r w:rsidRPr="0039678A">
        <w:tab/>
        <w:t>naroči svoji predsednici, naj stališče Parlamenta posreduje Svetu</w:t>
      </w:r>
      <w:r w:rsidR="00616983">
        <w:t>,</w:t>
      </w:r>
      <w:r w:rsidRPr="0039678A">
        <w:t xml:space="preserve"> Komisiji </w:t>
      </w:r>
      <w:r w:rsidR="00616983">
        <w:t>in</w:t>
      </w:r>
      <w:r w:rsidR="00616983" w:rsidRPr="0039678A">
        <w:t xml:space="preserve"> </w:t>
      </w:r>
      <w:r w:rsidRPr="0039678A">
        <w:t>nacionalnim parlamentom.</w:t>
      </w:r>
    </w:p>
    <w:p w:rsidR="00F45FAE" w:rsidRPr="0039678A" w:rsidRDefault="00F45FAE" w:rsidP="00F45FAE"/>
    <w:p w:rsidR="00F45FAE" w:rsidRPr="0039678A" w:rsidRDefault="0045195B" w:rsidP="00F45FAE">
      <w:pPr>
        <w:pStyle w:val="AmNumberTabs"/>
        <w:keepNext/>
      </w:pPr>
      <w:bookmarkStart w:id="8" w:name="_GoBack"/>
      <w:bookmarkEnd w:id="8"/>
      <w:r>
        <w:lastRenderedPageBreak/>
        <w:t>Sprememba</w:t>
      </w:r>
      <w:r w:rsidR="00F45FAE" w:rsidRPr="0039678A">
        <w:tab/>
      </w:r>
      <w:r w:rsidR="00F45FAE" w:rsidRPr="0039678A">
        <w:tab/>
        <w:t>1</w:t>
      </w:r>
    </w:p>
    <w:p w:rsidR="00F45FAE" w:rsidRPr="0039678A" w:rsidRDefault="00F45FAE" w:rsidP="00F45FAE">
      <w:pPr>
        <w:pStyle w:val="NormalBold12b"/>
        <w:keepNext/>
      </w:pPr>
      <w:r w:rsidRPr="0039678A">
        <w:t>Predlog sklepa</w:t>
      </w:r>
    </w:p>
    <w:p w:rsidR="00F45FAE" w:rsidRPr="0039678A" w:rsidRDefault="00F45FAE" w:rsidP="00F45FAE">
      <w:pPr>
        <w:pStyle w:val="NormalBold"/>
        <w:keepNext/>
      </w:pPr>
      <w:r w:rsidRPr="0039678A">
        <w:t>Uvodna izjava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45FAE" w:rsidRPr="0039678A" w:rsidTr="00AD76F5">
        <w:trPr>
          <w:jc w:val="center"/>
        </w:trPr>
        <w:tc>
          <w:tcPr>
            <w:tcW w:w="9752" w:type="dxa"/>
            <w:gridSpan w:val="2"/>
          </w:tcPr>
          <w:p w:rsidR="00F45FAE" w:rsidRPr="0039678A" w:rsidRDefault="00F45FAE" w:rsidP="00AD76F5">
            <w:pPr>
              <w:keepNext/>
            </w:pP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</w:tcPr>
          <w:p w:rsidR="00F45FAE" w:rsidRPr="0039678A" w:rsidRDefault="00F45FAE" w:rsidP="00AD76F5">
            <w:pPr>
              <w:pStyle w:val="AmColumnHeading"/>
              <w:keepNext/>
            </w:pPr>
            <w:r w:rsidRPr="0039678A">
              <w:t>Besedilo, ki ga predlaga Komisija</w:t>
            </w:r>
          </w:p>
        </w:tc>
        <w:tc>
          <w:tcPr>
            <w:tcW w:w="4876" w:type="dxa"/>
          </w:tcPr>
          <w:p w:rsidR="00F45FAE" w:rsidRPr="0039678A" w:rsidRDefault="0045195B" w:rsidP="00AD76F5">
            <w:pPr>
              <w:pStyle w:val="AmColumnHeading"/>
              <w:keepNext/>
            </w:pPr>
            <w:r>
              <w:t>Sprememba</w:t>
            </w: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</w:tcPr>
          <w:p w:rsidR="00F45FAE" w:rsidRPr="0039678A" w:rsidRDefault="00F45FAE" w:rsidP="00AD76F5">
            <w:pPr>
              <w:pStyle w:val="Normal6a"/>
            </w:pPr>
            <w:r w:rsidRPr="0039678A">
              <w:t>(2)</w:t>
            </w:r>
            <w:r w:rsidRPr="0039678A">
              <w:tab/>
              <w:t xml:space="preserve">Francija je predložila informacije, ki kažejo, da ima zaradi izjemnih gospodarskih, kulturnih, zgodovinskih, socialnih in političnih vezi med Francijo in Alžirijo poseben interes za pogajanja o </w:t>
            </w:r>
            <w:r w:rsidRPr="0039678A">
              <w:rPr>
                <w:b/>
                <w:i/>
              </w:rPr>
              <w:t>osnutku sporazuma</w:t>
            </w:r>
            <w:r w:rsidRPr="0039678A">
              <w:t xml:space="preserve">, </w:t>
            </w:r>
            <w:r w:rsidRPr="0039678A">
              <w:rPr>
                <w:b/>
                <w:i/>
              </w:rPr>
              <w:t>ki ga</w:t>
            </w:r>
            <w:r w:rsidRPr="0039678A">
              <w:t xml:space="preserve"> je </w:t>
            </w:r>
            <w:r w:rsidRPr="0039678A">
              <w:rPr>
                <w:b/>
                <w:i/>
              </w:rPr>
              <w:t>posredovala</w:t>
            </w:r>
            <w:r w:rsidRPr="0039678A">
              <w:t xml:space="preserve"> Komisiji.</w:t>
            </w:r>
          </w:p>
        </w:tc>
        <w:tc>
          <w:tcPr>
            <w:tcW w:w="4876" w:type="dxa"/>
          </w:tcPr>
          <w:p w:rsidR="00F45FAE" w:rsidRPr="0039678A" w:rsidRDefault="00F45FAE" w:rsidP="00AD76F5">
            <w:pPr>
              <w:pStyle w:val="Normal6a"/>
              <w:rPr>
                <w:szCs w:val="24"/>
              </w:rPr>
            </w:pPr>
            <w:r w:rsidRPr="0039678A">
              <w:t>(2)</w:t>
            </w:r>
            <w:r w:rsidRPr="0039678A">
              <w:tab/>
              <w:t xml:space="preserve">Francija je predložila informacije, ki kažejo, da ima zaradi izjemnih gospodarskih, kulturnih, zgodovinskih, socialnih in političnih vezi med Francijo in Alžirijo poseben interes za pogajanja o </w:t>
            </w:r>
            <w:r w:rsidRPr="0039678A">
              <w:rPr>
                <w:b/>
                <w:i/>
              </w:rPr>
              <w:t>dvostranskem sporazumu z Alžirijo</w:t>
            </w:r>
            <w:r w:rsidRPr="0039678A">
              <w:t xml:space="preserve">, </w:t>
            </w:r>
            <w:r w:rsidRPr="0039678A">
              <w:rPr>
                <w:b/>
                <w:i/>
              </w:rPr>
              <w:t>katerega osnutek</w:t>
            </w:r>
            <w:r w:rsidRPr="0039678A">
              <w:t xml:space="preserve"> je </w:t>
            </w:r>
            <w:r w:rsidRPr="0039678A">
              <w:rPr>
                <w:b/>
                <w:i/>
              </w:rPr>
              <w:t>bil poslan</w:t>
            </w:r>
            <w:r w:rsidRPr="0039678A">
              <w:t xml:space="preserve"> Komisiji.</w:t>
            </w:r>
          </w:p>
        </w:tc>
      </w:tr>
    </w:tbl>
    <w:p w:rsidR="00F45FAE" w:rsidRPr="0039678A" w:rsidRDefault="00F45FAE" w:rsidP="00F45FAE"/>
    <w:p w:rsidR="00F45FAE" w:rsidRPr="0039678A" w:rsidRDefault="0045195B" w:rsidP="00F45FAE">
      <w:pPr>
        <w:pStyle w:val="AMNumberTabs0"/>
        <w:keepNext/>
      </w:pPr>
      <w:r>
        <w:t>Sprememba</w:t>
      </w:r>
      <w:r w:rsidR="00F45FAE" w:rsidRPr="0039678A">
        <w:tab/>
      </w:r>
      <w:r w:rsidR="00F45FAE" w:rsidRPr="0039678A">
        <w:tab/>
        <w:t>2</w:t>
      </w:r>
    </w:p>
    <w:p w:rsidR="00F45FAE" w:rsidRPr="0039678A" w:rsidRDefault="00F45FAE" w:rsidP="00F45FAE">
      <w:pPr>
        <w:pStyle w:val="NormalBold12b"/>
        <w:keepNext/>
      </w:pPr>
      <w:r w:rsidRPr="0039678A">
        <w:t>Predlog sklepa</w:t>
      </w:r>
    </w:p>
    <w:p w:rsidR="00F45FAE" w:rsidRPr="0039678A" w:rsidRDefault="00F45FAE" w:rsidP="00F45FAE">
      <w:pPr>
        <w:pStyle w:val="NormalBold"/>
      </w:pPr>
      <w:r w:rsidRPr="0039678A">
        <w:t>Uvodna izjava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FAE" w:rsidRPr="0039678A" w:rsidTr="00AD76F5">
        <w:trPr>
          <w:jc w:val="center"/>
        </w:trPr>
        <w:tc>
          <w:tcPr>
            <w:tcW w:w="9752" w:type="dxa"/>
            <w:gridSpan w:val="2"/>
          </w:tcPr>
          <w:p w:rsidR="00F45FAE" w:rsidRPr="0039678A" w:rsidRDefault="00F45FAE" w:rsidP="00AD76F5">
            <w:pPr>
              <w:keepNext/>
            </w:pP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ColumnHeading"/>
              <w:keepNext/>
            </w:pPr>
            <w:r w:rsidRPr="0039678A">
              <w:t>Besedilo, ki ga predlaga Komisija</w:t>
            </w:r>
          </w:p>
        </w:tc>
        <w:tc>
          <w:tcPr>
            <w:tcW w:w="4876" w:type="dxa"/>
            <w:hideMark/>
          </w:tcPr>
          <w:p w:rsidR="00F45FAE" w:rsidRPr="0039678A" w:rsidRDefault="0045195B" w:rsidP="00AD76F5">
            <w:pPr>
              <w:pStyle w:val="ColumnHeading"/>
              <w:keepNext/>
            </w:pPr>
            <w:r>
              <w:t>Sprememba</w:t>
            </w: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</w:pPr>
            <w:r w:rsidRPr="0039678A">
              <w:t>(8)</w:t>
            </w:r>
            <w:r w:rsidRPr="0039678A">
              <w:tab/>
            </w:r>
            <w:r w:rsidRPr="0039678A">
              <w:rPr>
                <w:b/>
                <w:i/>
              </w:rPr>
              <w:t>Večina zadev</w:t>
            </w:r>
            <w:r w:rsidRPr="0039678A">
              <w:t xml:space="preserve">, ki jih je treba obravnavati v osnutku sporazuma med Francijo in Alžirijo, </w:t>
            </w:r>
            <w:r w:rsidRPr="0039678A">
              <w:rPr>
                <w:b/>
                <w:i/>
              </w:rPr>
              <w:t>vpliva</w:t>
            </w:r>
            <w:r w:rsidRPr="0039678A">
              <w:t xml:space="preserve"> na </w:t>
            </w:r>
            <w:r w:rsidRPr="0039678A">
              <w:rPr>
                <w:b/>
                <w:i/>
              </w:rPr>
              <w:t>pravni red Unije, zlasti zakonodajo EU</w:t>
            </w:r>
            <w:r w:rsidRPr="0039678A">
              <w:t xml:space="preserve"> na področju družinskega prava. Zato zadeve, ki jih zajemajo take mednarodne zaveze, spadajo v izključno zunanjo pristojnost Unije. Države članice se lahko pogajajo o takih zavezah ali jih sprejmejo le, če </w:t>
            </w:r>
            <w:r w:rsidRPr="0039678A">
              <w:rPr>
                <w:b/>
                <w:i/>
              </w:rPr>
              <w:t>jih za to pooblasti Unija v skladu s členom </w:t>
            </w:r>
            <w:r w:rsidRPr="0039678A">
              <w:t xml:space="preserve">2(1) Pogodbe o delovanju Evropske unije (PDEU) v </w:t>
            </w:r>
            <w:r w:rsidRPr="0039678A">
              <w:rPr>
                <w:b/>
                <w:i/>
              </w:rPr>
              <w:t>povezavi</w:t>
            </w:r>
            <w:r w:rsidRPr="0039678A">
              <w:t xml:space="preserve"> z </w:t>
            </w:r>
            <w:r w:rsidRPr="0039678A">
              <w:rPr>
                <w:b/>
                <w:i/>
              </w:rPr>
              <w:t>materialno pravno podlago</w:t>
            </w:r>
            <w:r w:rsidRPr="0039678A">
              <w:t xml:space="preserve"> člena</w:t>
            </w:r>
            <w:r w:rsidRPr="0039678A">
              <w:rPr>
                <w:b/>
                <w:i/>
              </w:rPr>
              <w:t> </w:t>
            </w:r>
            <w:r w:rsidRPr="0039678A">
              <w:t>81(3) PDEU.</w:t>
            </w:r>
          </w:p>
        </w:tc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  <w:rPr>
                <w:szCs w:val="24"/>
              </w:rPr>
            </w:pPr>
            <w:r w:rsidRPr="0039678A">
              <w:t>(8)</w:t>
            </w:r>
            <w:r w:rsidRPr="0039678A">
              <w:tab/>
            </w:r>
            <w:r w:rsidRPr="0039678A">
              <w:rPr>
                <w:b/>
                <w:i/>
              </w:rPr>
              <w:t>Nekatere zadeve</w:t>
            </w:r>
            <w:r w:rsidRPr="0039678A">
              <w:t xml:space="preserve">, ki jih je treba obravnavati v osnutku sporazuma med Francijo in Alžirijo, </w:t>
            </w:r>
            <w:r w:rsidRPr="0039678A">
              <w:rPr>
                <w:b/>
                <w:i/>
              </w:rPr>
              <w:t>vplivajo</w:t>
            </w:r>
            <w:r w:rsidRPr="0039678A">
              <w:t xml:space="preserve"> na </w:t>
            </w:r>
            <w:r w:rsidRPr="0039678A">
              <w:rPr>
                <w:b/>
                <w:i/>
              </w:rPr>
              <w:t>ustrezne dele pravnega reda Unije</w:t>
            </w:r>
            <w:r w:rsidRPr="0039678A">
              <w:t xml:space="preserve"> na področju družinskega prava. Zato zadeve, ki jih zajemajo take mednarodne zaveze, spadajo v izključno zunanjo pristojnost Unije. Države članice se lahko pogajajo o takih zavezah ali jih sprejmejo le, če </w:t>
            </w:r>
            <w:r w:rsidRPr="0039678A">
              <w:rPr>
                <w:b/>
                <w:i/>
              </w:rPr>
              <w:t xml:space="preserve">jim na podlagi člena </w:t>
            </w:r>
            <w:r w:rsidRPr="0039678A">
              <w:t>2(1) Pogodbe o delovanju Evropske unije (PDEU)</w:t>
            </w:r>
            <w:r w:rsidRPr="0039678A">
              <w:rPr>
                <w:b/>
                <w:i/>
              </w:rPr>
              <w:t xml:space="preserve"> zakonodajalec Unije podeli pooblastilo za to </w:t>
            </w:r>
            <w:r w:rsidRPr="0039678A">
              <w:t xml:space="preserve">v </w:t>
            </w:r>
            <w:r w:rsidRPr="0039678A">
              <w:rPr>
                <w:b/>
                <w:i/>
              </w:rPr>
              <w:t>skladu</w:t>
            </w:r>
            <w:r w:rsidRPr="0039678A">
              <w:t xml:space="preserve"> z </w:t>
            </w:r>
            <w:r w:rsidRPr="0039678A">
              <w:rPr>
                <w:b/>
                <w:i/>
              </w:rPr>
              <w:t>zakonodajnim postopkom iz</w:t>
            </w:r>
            <w:r w:rsidRPr="0039678A">
              <w:t xml:space="preserve"> člena</w:t>
            </w:r>
            <w:r w:rsidRPr="0039678A">
              <w:rPr>
                <w:b/>
                <w:i/>
              </w:rPr>
              <w:t xml:space="preserve"> </w:t>
            </w:r>
            <w:r w:rsidRPr="0039678A">
              <w:t>81(3) PDEU.</w:t>
            </w:r>
          </w:p>
        </w:tc>
      </w:tr>
    </w:tbl>
    <w:p w:rsidR="00F45FAE" w:rsidRPr="0039678A" w:rsidRDefault="00F45FAE" w:rsidP="00F45FAE">
      <w:pPr>
        <w:rPr>
          <w:szCs w:val="24"/>
        </w:rPr>
      </w:pPr>
    </w:p>
    <w:p w:rsidR="00F45FAE" w:rsidRPr="0039678A" w:rsidRDefault="0045195B" w:rsidP="00F45FAE">
      <w:pPr>
        <w:pStyle w:val="AMNumberTabs0"/>
        <w:keepNext/>
      </w:pPr>
      <w:r>
        <w:t>Sprememba</w:t>
      </w:r>
      <w:r w:rsidR="00F45FAE" w:rsidRPr="0039678A">
        <w:tab/>
      </w:r>
      <w:r w:rsidR="00F45FAE" w:rsidRPr="0039678A">
        <w:tab/>
        <w:t>3</w:t>
      </w:r>
    </w:p>
    <w:p w:rsidR="00F45FAE" w:rsidRPr="0039678A" w:rsidRDefault="00F45FAE" w:rsidP="00F45FAE">
      <w:pPr>
        <w:pStyle w:val="NormalBold12b"/>
        <w:keepNext/>
      </w:pPr>
      <w:r w:rsidRPr="0039678A">
        <w:t>Predlog sklepa</w:t>
      </w:r>
    </w:p>
    <w:p w:rsidR="00F45FAE" w:rsidRPr="0039678A" w:rsidRDefault="00F45FAE" w:rsidP="00F45FAE">
      <w:pPr>
        <w:pStyle w:val="NormalBold"/>
      </w:pPr>
      <w:r w:rsidRPr="0039678A">
        <w:t>Člen 1 – odstavek 1 – alinea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FAE" w:rsidRPr="0039678A" w:rsidTr="00AD76F5">
        <w:trPr>
          <w:jc w:val="center"/>
        </w:trPr>
        <w:tc>
          <w:tcPr>
            <w:tcW w:w="9752" w:type="dxa"/>
            <w:gridSpan w:val="2"/>
          </w:tcPr>
          <w:p w:rsidR="00F45FAE" w:rsidRPr="0039678A" w:rsidRDefault="00F45FAE" w:rsidP="00AD76F5">
            <w:pPr>
              <w:keepNext/>
            </w:pP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ColumnHeading"/>
              <w:keepNext/>
            </w:pPr>
            <w:r w:rsidRPr="0039678A">
              <w:t>Besedilo, ki ga predlaga Komisija</w:t>
            </w:r>
          </w:p>
        </w:tc>
        <w:tc>
          <w:tcPr>
            <w:tcW w:w="4876" w:type="dxa"/>
            <w:hideMark/>
          </w:tcPr>
          <w:p w:rsidR="00F45FAE" w:rsidRPr="0039678A" w:rsidRDefault="0045195B" w:rsidP="00AD76F5">
            <w:pPr>
              <w:pStyle w:val="ColumnHeading"/>
              <w:keepNext/>
            </w:pPr>
            <w:r>
              <w:t>Sprememba</w:t>
            </w: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</w:pPr>
            <w:r w:rsidRPr="0039678A">
              <w:t>—</w:t>
            </w:r>
            <w:r w:rsidRPr="0039678A">
              <w:tab/>
              <w:t xml:space="preserve">obvesti Alžirijo, da </w:t>
            </w:r>
            <w:r w:rsidRPr="0039678A">
              <w:rPr>
                <w:b/>
                <w:i/>
              </w:rPr>
              <w:t xml:space="preserve">bo </w:t>
            </w:r>
            <w:r w:rsidRPr="0039678A">
              <w:t xml:space="preserve">Evropska komisija </w:t>
            </w:r>
            <w:r w:rsidRPr="0039678A">
              <w:rPr>
                <w:b/>
                <w:i/>
              </w:rPr>
              <w:t>sodelovala</w:t>
            </w:r>
            <w:r w:rsidRPr="0039678A">
              <w:t xml:space="preserve"> pri pogajanjih kot opazovalka ter </w:t>
            </w:r>
            <w:r w:rsidRPr="0039678A">
              <w:rPr>
                <w:b/>
                <w:i/>
              </w:rPr>
              <w:t>bo</w:t>
            </w:r>
            <w:r w:rsidRPr="0039678A">
              <w:t xml:space="preserve"> obveščena o napredku in rezultatih, doseženih v različnih fazah pogajanj;</w:t>
            </w:r>
          </w:p>
        </w:tc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  <w:rPr>
                <w:szCs w:val="24"/>
              </w:rPr>
            </w:pPr>
            <w:r w:rsidRPr="0039678A">
              <w:t>—</w:t>
            </w:r>
            <w:r w:rsidRPr="0039678A">
              <w:tab/>
              <w:t xml:space="preserve">obvesti Alžirijo, da Evropska komisija </w:t>
            </w:r>
            <w:r w:rsidRPr="0039678A">
              <w:rPr>
                <w:b/>
                <w:i/>
              </w:rPr>
              <w:t>lahko sodeluje</w:t>
            </w:r>
            <w:r w:rsidRPr="0039678A">
              <w:t xml:space="preserve"> pri pogajanjih kot opazovalka ter </w:t>
            </w:r>
            <w:r w:rsidRPr="0039678A">
              <w:rPr>
                <w:b/>
                <w:i/>
              </w:rPr>
              <w:t>je</w:t>
            </w:r>
            <w:r w:rsidRPr="0039678A">
              <w:t xml:space="preserve"> obveščena o napredku in rezultatih, doseženih v različnih fazah pogajanj;</w:t>
            </w:r>
          </w:p>
        </w:tc>
      </w:tr>
    </w:tbl>
    <w:p w:rsidR="00F45FAE" w:rsidRPr="0039678A" w:rsidRDefault="00F45FAE" w:rsidP="00F45FAE">
      <w:pPr>
        <w:rPr>
          <w:szCs w:val="24"/>
        </w:rPr>
      </w:pPr>
    </w:p>
    <w:p w:rsidR="00F45FAE" w:rsidRPr="0039678A" w:rsidRDefault="0045195B" w:rsidP="00F45FAE">
      <w:pPr>
        <w:pStyle w:val="AMNumberTabs0"/>
        <w:keepNext/>
      </w:pPr>
      <w:r>
        <w:t>Sprememba</w:t>
      </w:r>
      <w:r w:rsidR="00F45FAE" w:rsidRPr="0039678A">
        <w:tab/>
      </w:r>
      <w:r w:rsidR="00F45FAE" w:rsidRPr="0039678A">
        <w:tab/>
        <w:t>4</w:t>
      </w:r>
    </w:p>
    <w:p w:rsidR="00F45FAE" w:rsidRPr="0039678A" w:rsidRDefault="00F45FAE" w:rsidP="00F45FAE">
      <w:pPr>
        <w:pStyle w:val="NormalBold12b"/>
        <w:keepNext/>
      </w:pPr>
      <w:r w:rsidRPr="0039678A">
        <w:t>Predlog sklepa</w:t>
      </w:r>
    </w:p>
    <w:p w:rsidR="00F45FAE" w:rsidRPr="0039678A" w:rsidRDefault="00F45FAE" w:rsidP="00F45FAE">
      <w:pPr>
        <w:pStyle w:val="NormalBold"/>
      </w:pPr>
      <w:r w:rsidRPr="0039678A">
        <w:t>Člen 1 – odstavek 1 – alinea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FAE" w:rsidRPr="0039678A" w:rsidTr="00AD76F5">
        <w:trPr>
          <w:jc w:val="center"/>
        </w:trPr>
        <w:tc>
          <w:tcPr>
            <w:tcW w:w="9752" w:type="dxa"/>
            <w:gridSpan w:val="2"/>
          </w:tcPr>
          <w:p w:rsidR="00F45FAE" w:rsidRPr="0039678A" w:rsidRDefault="00F45FAE" w:rsidP="00AD76F5">
            <w:pPr>
              <w:keepNext/>
            </w:pP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ColumnHeading"/>
              <w:keepNext/>
            </w:pPr>
            <w:r w:rsidRPr="0039678A">
              <w:t>Besedilo, ki ga predlaga Komisija</w:t>
            </w:r>
          </w:p>
        </w:tc>
        <w:tc>
          <w:tcPr>
            <w:tcW w:w="4876" w:type="dxa"/>
            <w:hideMark/>
          </w:tcPr>
          <w:p w:rsidR="00F45FAE" w:rsidRPr="0039678A" w:rsidRDefault="0045195B" w:rsidP="00AD76F5">
            <w:pPr>
              <w:pStyle w:val="ColumnHeading"/>
              <w:keepNext/>
            </w:pPr>
            <w:r>
              <w:t>Sprememba</w:t>
            </w: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</w:pPr>
            <w:r w:rsidRPr="0039678A">
              <w:t>—</w:t>
            </w:r>
            <w:r w:rsidRPr="0039678A">
              <w:tab/>
              <w:t xml:space="preserve">spodbuja Alžirijo, naj razmisli o pristopu k temeljnim konvencijam na področju družinskega prava, ki jih je razvila Haaška konferenca o mednarodnem zasebnem pravu, in začne </w:t>
            </w:r>
            <w:r w:rsidRPr="0039678A">
              <w:rPr>
                <w:b/>
                <w:i/>
              </w:rPr>
              <w:t xml:space="preserve">resno </w:t>
            </w:r>
            <w:r w:rsidRPr="0039678A">
              <w:t xml:space="preserve">analizirati </w:t>
            </w:r>
            <w:r w:rsidRPr="0039678A">
              <w:rPr>
                <w:b/>
                <w:i/>
              </w:rPr>
              <w:t>razloge</w:t>
            </w:r>
            <w:r w:rsidRPr="0039678A">
              <w:t>, ki Alžiriji trenutno preprečujejo, da bi to storila;</w:t>
            </w:r>
          </w:p>
        </w:tc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  <w:rPr>
                <w:szCs w:val="24"/>
              </w:rPr>
            </w:pPr>
            <w:r w:rsidRPr="0039678A">
              <w:t>—</w:t>
            </w:r>
            <w:r w:rsidRPr="0039678A">
              <w:tab/>
              <w:t xml:space="preserve">spodbuja Alžirijo, naj razmisli o pristopu k temeljnim konvencijam na področju družinskega prava, ki jih je razvila Haaška konferenca o mednarodnem zasebnem pravu, in začne analizirati </w:t>
            </w:r>
            <w:r w:rsidRPr="0039678A">
              <w:rPr>
                <w:b/>
                <w:i/>
              </w:rPr>
              <w:t>najprimernejše načine za odpravo ovir</w:t>
            </w:r>
            <w:r w:rsidRPr="0039678A">
              <w:t>, ki Alžiriji trenutno preprečujejo, da bi to storila;</w:t>
            </w:r>
          </w:p>
        </w:tc>
      </w:tr>
    </w:tbl>
    <w:p w:rsidR="00F45FAE" w:rsidRPr="0039678A" w:rsidRDefault="00F45FAE" w:rsidP="00F45FAE">
      <w:pPr>
        <w:rPr>
          <w:szCs w:val="24"/>
        </w:rPr>
      </w:pPr>
    </w:p>
    <w:p w:rsidR="00F45FAE" w:rsidRPr="0039678A" w:rsidRDefault="0045195B" w:rsidP="00F45FAE">
      <w:pPr>
        <w:pStyle w:val="AMNumberTabs0"/>
        <w:keepNext/>
      </w:pPr>
      <w:r>
        <w:t>Sprememba</w:t>
      </w:r>
      <w:r w:rsidR="00F45FAE" w:rsidRPr="0039678A">
        <w:tab/>
      </w:r>
      <w:r w:rsidR="00F45FAE" w:rsidRPr="0039678A">
        <w:tab/>
        <w:t>5</w:t>
      </w:r>
    </w:p>
    <w:p w:rsidR="00F45FAE" w:rsidRPr="0039678A" w:rsidRDefault="00F45FAE" w:rsidP="00F45FAE">
      <w:pPr>
        <w:pStyle w:val="NormalBold12b"/>
        <w:keepNext/>
      </w:pPr>
      <w:r w:rsidRPr="0039678A">
        <w:t>Predlog sklepa</w:t>
      </w:r>
    </w:p>
    <w:p w:rsidR="00F45FAE" w:rsidRPr="0039678A" w:rsidRDefault="00F45FAE" w:rsidP="00F45FAE">
      <w:pPr>
        <w:pStyle w:val="NormalBold"/>
      </w:pPr>
      <w:r w:rsidRPr="0039678A">
        <w:t>Člen 1 – odstavek 1 – alinea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FAE" w:rsidRPr="0039678A" w:rsidTr="00AD76F5">
        <w:trPr>
          <w:jc w:val="center"/>
        </w:trPr>
        <w:tc>
          <w:tcPr>
            <w:tcW w:w="9752" w:type="dxa"/>
            <w:gridSpan w:val="2"/>
          </w:tcPr>
          <w:p w:rsidR="00F45FAE" w:rsidRPr="0039678A" w:rsidRDefault="00F45FAE" w:rsidP="00AD76F5">
            <w:pPr>
              <w:keepNext/>
            </w:pP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ColumnHeading"/>
              <w:keepNext/>
            </w:pPr>
            <w:r w:rsidRPr="0039678A">
              <w:t>Besedilo, ki ga predlaga Komisija</w:t>
            </w:r>
          </w:p>
        </w:tc>
        <w:tc>
          <w:tcPr>
            <w:tcW w:w="4876" w:type="dxa"/>
            <w:hideMark/>
          </w:tcPr>
          <w:p w:rsidR="00F45FAE" w:rsidRPr="0039678A" w:rsidRDefault="0045195B" w:rsidP="00AD76F5">
            <w:pPr>
              <w:pStyle w:val="ColumnHeading"/>
              <w:keepNext/>
            </w:pPr>
            <w:r>
              <w:t>Sprememba</w:t>
            </w: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</w:pPr>
            <w:r w:rsidRPr="0039678A">
              <w:t>—</w:t>
            </w:r>
            <w:r w:rsidRPr="0039678A">
              <w:tab/>
              <w:t xml:space="preserve">obvesti Alžirijo, da je po zaključku pogajanj potrebno pooblastilo Sveta Evropske unije, preden lahko </w:t>
            </w:r>
            <w:r w:rsidRPr="0039678A">
              <w:rPr>
                <w:b/>
                <w:i/>
              </w:rPr>
              <w:t>pogodbenici skleneta</w:t>
            </w:r>
            <w:r w:rsidRPr="0039678A">
              <w:t xml:space="preserve"> sporazum;</w:t>
            </w:r>
          </w:p>
        </w:tc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  <w:rPr>
                <w:szCs w:val="24"/>
              </w:rPr>
            </w:pPr>
            <w:r w:rsidRPr="0039678A">
              <w:t>—</w:t>
            </w:r>
            <w:r w:rsidRPr="0039678A">
              <w:tab/>
              <w:t xml:space="preserve">obvesti Alžirijo, da je po zaključku pogajanj potrebno pooblastilo Sveta Evropske unije, preden lahko </w:t>
            </w:r>
            <w:r w:rsidRPr="0039678A">
              <w:rPr>
                <w:b/>
                <w:i/>
              </w:rPr>
              <w:t>Francija sklene</w:t>
            </w:r>
            <w:r w:rsidRPr="0039678A">
              <w:t xml:space="preserve"> sporazum;</w:t>
            </w:r>
          </w:p>
        </w:tc>
      </w:tr>
    </w:tbl>
    <w:p w:rsidR="00F45FAE" w:rsidRPr="0039678A" w:rsidRDefault="00F45FAE" w:rsidP="00F45FAE">
      <w:pPr>
        <w:rPr>
          <w:szCs w:val="24"/>
        </w:rPr>
      </w:pPr>
    </w:p>
    <w:p w:rsidR="00F45FAE" w:rsidRPr="0039678A" w:rsidRDefault="0045195B" w:rsidP="00F45FAE">
      <w:pPr>
        <w:pStyle w:val="AMNumberTabs0"/>
        <w:keepNext/>
      </w:pPr>
      <w:r>
        <w:t>Sprememba</w:t>
      </w:r>
      <w:r w:rsidR="00F45FAE" w:rsidRPr="0039678A">
        <w:tab/>
      </w:r>
      <w:r w:rsidR="00F45FAE" w:rsidRPr="0039678A">
        <w:tab/>
        <w:t>6</w:t>
      </w:r>
    </w:p>
    <w:p w:rsidR="00F45FAE" w:rsidRPr="0039678A" w:rsidRDefault="00F45FAE" w:rsidP="00F45FAE">
      <w:pPr>
        <w:pStyle w:val="NormalBold12b"/>
        <w:keepNext/>
      </w:pPr>
      <w:r w:rsidRPr="0039678A">
        <w:t>Predlog sklepa</w:t>
      </w:r>
    </w:p>
    <w:p w:rsidR="00F45FAE" w:rsidRPr="0039678A" w:rsidRDefault="00F45FAE" w:rsidP="00F45FAE">
      <w:pPr>
        <w:pStyle w:val="NormalBold"/>
      </w:pPr>
      <w:r w:rsidRPr="0039678A">
        <w:t>Člen 1 – odstavek 1 – alinea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FAE" w:rsidRPr="0039678A" w:rsidTr="00AD76F5">
        <w:trPr>
          <w:jc w:val="center"/>
        </w:trPr>
        <w:tc>
          <w:tcPr>
            <w:tcW w:w="9752" w:type="dxa"/>
            <w:gridSpan w:val="2"/>
          </w:tcPr>
          <w:p w:rsidR="00F45FAE" w:rsidRPr="0039678A" w:rsidRDefault="00F45FAE" w:rsidP="00AD76F5">
            <w:pPr>
              <w:keepNext/>
            </w:pP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ColumnHeading"/>
              <w:keepNext/>
            </w:pPr>
            <w:r w:rsidRPr="0039678A">
              <w:t>Besedilo, ki ga predlaga Komisija</w:t>
            </w:r>
          </w:p>
        </w:tc>
        <w:tc>
          <w:tcPr>
            <w:tcW w:w="4876" w:type="dxa"/>
            <w:hideMark/>
          </w:tcPr>
          <w:p w:rsidR="00F45FAE" w:rsidRPr="0039678A" w:rsidRDefault="0045195B" w:rsidP="00AD76F5">
            <w:pPr>
              <w:pStyle w:val="ColumnHeading"/>
              <w:keepNext/>
            </w:pPr>
            <w:r>
              <w:t>Sprememba</w:t>
            </w: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</w:pPr>
            <w:r w:rsidRPr="0039678A">
              <w:t>—</w:t>
            </w:r>
            <w:r w:rsidRPr="0039678A">
              <w:tab/>
              <w:t>obvesti Alžirijo, da lahko pooblastilo Sveta Evropske unije za sklenitev sporazuma na predlog Komisije določa, da ima lahko sporazum omejeno časovno veljavnost</w:t>
            </w:r>
            <w:r w:rsidRPr="0039678A">
              <w:rPr>
                <w:b/>
                <w:i/>
              </w:rPr>
              <w:t xml:space="preserve"> (na primer pet let) in ga bo morda treba pozneje ponovno preučiti</w:t>
            </w:r>
            <w:r w:rsidRPr="0039678A">
              <w:t>;</w:t>
            </w:r>
          </w:p>
        </w:tc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  <w:rPr>
                <w:szCs w:val="24"/>
              </w:rPr>
            </w:pPr>
            <w:r w:rsidRPr="0039678A">
              <w:t>—</w:t>
            </w:r>
            <w:r w:rsidRPr="0039678A">
              <w:tab/>
              <w:t>obvesti Alžirijo, da lahko pooblastilo Sveta Evropske unije za sklenitev sporazuma na predlog Komisije določa, da ima lahko sporazum omejeno časovno veljavnost</w:t>
            </w:r>
            <w:r w:rsidRPr="0039678A">
              <w:rPr>
                <w:b/>
                <w:i/>
              </w:rPr>
              <w:t>, po možnosti s sistemom tihega podaljševanja, ki se navede v sklepu Evropskega parlamenta in Sveta o sklenitvi sporazuma</w:t>
            </w:r>
            <w:r w:rsidRPr="0039678A">
              <w:t>;</w:t>
            </w:r>
          </w:p>
        </w:tc>
      </w:tr>
    </w:tbl>
    <w:p w:rsidR="00F45FAE" w:rsidRPr="0039678A" w:rsidRDefault="00F45FAE" w:rsidP="00F45FAE">
      <w:pPr>
        <w:rPr>
          <w:szCs w:val="24"/>
        </w:rPr>
      </w:pPr>
    </w:p>
    <w:p w:rsidR="00F45FAE" w:rsidRPr="0039678A" w:rsidRDefault="0045195B" w:rsidP="00F45FAE">
      <w:pPr>
        <w:pStyle w:val="AMNumberTabs0"/>
        <w:keepNext/>
      </w:pPr>
      <w:r>
        <w:lastRenderedPageBreak/>
        <w:t>Sprememba</w:t>
      </w:r>
      <w:r w:rsidR="00F45FAE" w:rsidRPr="0039678A">
        <w:tab/>
      </w:r>
      <w:r w:rsidR="00F45FAE" w:rsidRPr="0039678A">
        <w:tab/>
        <w:t>7</w:t>
      </w:r>
    </w:p>
    <w:p w:rsidR="00F45FAE" w:rsidRPr="0039678A" w:rsidRDefault="00F45FAE" w:rsidP="00F45FAE">
      <w:pPr>
        <w:pStyle w:val="NormalBold12b"/>
        <w:keepNext/>
      </w:pPr>
      <w:r w:rsidRPr="0039678A">
        <w:t>Predlog sklepa</w:t>
      </w:r>
    </w:p>
    <w:p w:rsidR="00F45FAE" w:rsidRPr="0039678A" w:rsidRDefault="00F45FAE" w:rsidP="00F45FAE">
      <w:pPr>
        <w:pStyle w:val="NormalBold"/>
      </w:pPr>
      <w:r w:rsidRPr="0039678A">
        <w:t>Člen 1 – odstavek 1 – alinea 4 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FAE" w:rsidRPr="0039678A" w:rsidTr="00AD76F5">
        <w:trPr>
          <w:jc w:val="center"/>
        </w:trPr>
        <w:tc>
          <w:tcPr>
            <w:tcW w:w="9752" w:type="dxa"/>
            <w:gridSpan w:val="2"/>
          </w:tcPr>
          <w:p w:rsidR="00F45FAE" w:rsidRPr="0039678A" w:rsidRDefault="00F45FAE" w:rsidP="00AD76F5">
            <w:pPr>
              <w:keepNext/>
            </w:pP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ColumnHeading"/>
              <w:keepNext/>
            </w:pPr>
            <w:r w:rsidRPr="0039678A">
              <w:t>Besedilo, ki ga predlaga Komisija</w:t>
            </w:r>
          </w:p>
        </w:tc>
        <w:tc>
          <w:tcPr>
            <w:tcW w:w="4876" w:type="dxa"/>
            <w:hideMark/>
          </w:tcPr>
          <w:p w:rsidR="00F45FAE" w:rsidRPr="0039678A" w:rsidRDefault="0045195B" w:rsidP="00AD76F5">
            <w:pPr>
              <w:pStyle w:val="ColumnHeading"/>
              <w:keepNext/>
            </w:pPr>
            <w:r>
              <w:t>Sprememba</w:t>
            </w: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</w:tcPr>
          <w:p w:rsidR="00F45FAE" w:rsidRPr="0039678A" w:rsidRDefault="00F45FAE" w:rsidP="00AD76F5">
            <w:pPr>
              <w:pStyle w:val="Normal6"/>
            </w:pPr>
          </w:p>
        </w:tc>
        <w:tc>
          <w:tcPr>
            <w:tcW w:w="4876" w:type="dxa"/>
            <w:hideMark/>
          </w:tcPr>
          <w:p w:rsidR="00F45FAE" w:rsidRPr="0039678A" w:rsidRDefault="0007342C" w:rsidP="00AD76F5">
            <w:pPr>
              <w:pStyle w:val="Normal6"/>
              <w:rPr>
                <w:szCs w:val="24"/>
              </w:rPr>
            </w:pPr>
            <w:r w:rsidRPr="0039678A">
              <w:t>—</w:t>
            </w:r>
            <w:r w:rsidR="00F45FAE" w:rsidRPr="0039678A">
              <w:rPr>
                <w:b/>
                <w:i/>
              </w:rPr>
              <w:tab/>
              <w:t>vstavi določbo, da bo sporazum v primeru poznejše sklenitve sporazuma med Unijo ali Unijo in njenimi državami članicami na eni strani ter Alžirijo na drugi strani ali pristopa Alžirije k ustreznim haaškim konvencijam v celoti ali deloma odpovedan oziroma da bodo njegove zadevne določbe takoj nadomeščene;</w:t>
            </w:r>
          </w:p>
        </w:tc>
      </w:tr>
    </w:tbl>
    <w:p w:rsidR="00F45FAE" w:rsidRPr="0039678A" w:rsidRDefault="00F45FAE" w:rsidP="00F45FAE">
      <w:pPr>
        <w:rPr>
          <w:szCs w:val="24"/>
        </w:rPr>
      </w:pPr>
    </w:p>
    <w:p w:rsidR="00F45FAE" w:rsidRPr="0039678A" w:rsidRDefault="0045195B" w:rsidP="00F45FAE">
      <w:pPr>
        <w:pStyle w:val="AMNumberTabs0"/>
        <w:keepNext/>
      </w:pPr>
      <w:r>
        <w:t>Sprememba</w:t>
      </w:r>
      <w:r w:rsidR="00F45FAE" w:rsidRPr="0039678A">
        <w:tab/>
      </w:r>
      <w:r w:rsidR="00F45FAE" w:rsidRPr="0039678A">
        <w:tab/>
        <w:t>8</w:t>
      </w:r>
    </w:p>
    <w:p w:rsidR="00F45FAE" w:rsidRPr="0039678A" w:rsidRDefault="00F45FAE" w:rsidP="00F45FAE">
      <w:pPr>
        <w:pStyle w:val="NormalBold12b"/>
        <w:keepNext/>
      </w:pPr>
      <w:r w:rsidRPr="0039678A">
        <w:t>Predlog sklepa</w:t>
      </w:r>
    </w:p>
    <w:p w:rsidR="00F45FAE" w:rsidRPr="0039678A" w:rsidRDefault="00F45FAE" w:rsidP="00F45FAE">
      <w:pPr>
        <w:pStyle w:val="NormalBold"/>
      </w:pPr>
      <w:r w:rsidRPr="0039678A">
        <w:t>Člen 1 – odstavek 1 – alinea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FAE" w:rsidRPr="0039678A" w:rsidTr="00AD76F5">
        <w:trPr>
          <w:jc w:val="center"/>
        </w:trPr>
        <w:tc>
          <w:tcPr>
            <w:tcW w:w="9752" w:type="dxa"/>
            <w:gridSpan w:val="2"/>
          </w:tcPr>
          <w:p w:rsidR="00F45FAE" w:rsidRPr="0039678A" w:rsidRDefault="00F45FAE" w:rsidP="00AD76F5">
            <w:pPr>
              <w:keepNext/>
            </w:pP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ColumnHeading"/>
              <w:keepNext/>
            </w:pPr>
            <w:r w:rsidRPr="0039678A">
              <w:t>Besedilo, ki ga predlaga Komisija</w:t>
            </w:r>
          </w:p>
        </w:tc>
        <w:tc>
          <w:tcPr>
            <w:tcW w:w="4876" w:type="dxa"/>
            <w:hideMark/>
          </w:tcPr>
          <w:p w:rsidR="00F45FAE" w:rsidRPr="0039678A" w:rsidRDefault="0045195B" w:rsidP="00AD76F5">
            <w:pPr>
              <w:pStyle w:val="ColumnHeading"/>
              <w:keepNext/>
            </w:pPr>
            <w:r>
              <w:t>Sprememba</w:t>
            </w: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</w:pPr>
            <w:r w:rsidRPr="0039678A">
              <w:t>—</w:t>
            </w:r>
            <w:r w:rsidRPr="0039678A">
              <w:tab/>
              <w:t>vstavi določbo, v skladu s katero odločbe, priznane v Franciji na podlagi tega sporazuma, pozneje ne morejo krožiti v drugih državah članicah EU;</w:t>
            </w:r>
          </w:p>
        </w:tc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  <w:rPr>
                <w:szCs w:val="24"/>
              </w:rPr>
            </w:pPr>
            <w:r w:rsidRPr="0039678A">
              <w:t>—</w:t>
            </w:r>
            <w:r w:rsidRPr="0039678A">
              <w:tab/>
              <w:t>vstavi določbo, v skladu s katero odločbe, priznane v Franciji na podlagi tega sporazuma, pozneje ne morejo krožiti v drugih državah članicah EU</w:t>
            </w:r>
            <w:r w:rsidRPr="0039678A">
              <w:rPr>
                <w:b/>
                <w:i/>
              </w:rPr>
              <w:t xml:space="preserve"> na podlagi prava Unije</w:t>
            </w:r>
            <w:r w:rsidRPr="0039678A">
              <w:t>;</w:t>
            </w:r>
          </w:p>
        </w:tc>
      </w:tr>
    </w:tbl>
    <w:p w:rsidR="00F45FAE" w:rsidRPr="0039678A" w:rsidRDefault="00F45FAE" w:rsidP="00F45FAE">
      <w:pPr>
        <w:rPr>
          <w:szCs w:val="24"/>
        </w:rPr>
      </w:pPr>
    </w:p>
    <w:p w:rsidR="00F45FAE" w:rsidRPr="0039678A" w:rsidRDefault="0045195B" w:rsidP="00F45FAE">
      <w:pPr>
        <w:pStyle w:val="AMNumberTabs0"/>
        <w:keepNext/>
      </w:pPr>
      <w:r>
        <w:t>Sprememba</w:t>
      </w:r>
      <w:r w:rsidR="00F45FAE" w:rsidRPr="0039678A">
        <w:tab/>
      </w:r>
      <w:r w:rsidR="00F45FAE" w:rsidRPr="0039678A">
        <w:tab/>
        <w:t>9</w:t>
      </w:r>
    </w:p>
    <w:p w:rsidR="00F45FAE" w:rsidRPr="0039678A" w:rsidRDefault="00F45FAE" w:rsidP="00F45FAE">
      <w:pPr>
        <w:pStyle w:val="NormalBold12b"/>
        <w:keepNext/>
      </w:pPr>
      <w:r w:rsidRPr="0039678A">
        <w:t>Predlog sklepa</w:t>
      </w:r>
    </w:p>
    <w:p w:rsidR="00F45FAE" w:rsidRPr="0039678A" w:rsidRDefault="00F45FAE" w:rsidP="00F45FAE">
      <w:pPr>
        <w:pStyle w:val="NormalBold"/>
      </w:pPr>
      <w:r w:rsidRPr="0039678A">
        <w:t>Člen 1 – odstavek 1 – alinea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45FAE" w:rsidRPr="0039678A" w:rsidTr="00AD76F5">
        <w:trPr>
          <w:jc w:val="center"/>
        </w:trPr>
        <w:tc>
          <w:tcPr>
            <w:tcW w:w="9752" w:type="dxa"/>
            <w:gridSpan w:val="2"/>
          </w:tcPr>
          <w:p w:rsidR="00F45FAE" w:rsidRPr="0039678A" w:rsidRDefault="00F45FAE" w:rsidP="00AD76F5">
            <w:pPr>
              <w:keepNext/>
            </w:pP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ColumnHeading"/>
              <w:keepNext/>
            </w:pPr>
            <w:r w:rsidRPr="0039678A">
              <w:t>Besedilo, ki ga predlaga Komisija</w:t>
            </w:r>
          </w:p>
        </w:tc>
        <w:tc>
          <w:tcPr>
            <w:tcW w:w="4876" w:type="dxa"/>
            <w:hideMark/>
          </w:tcPr>
          <w:p w:rsidR="00F45FAE" w:rsidRPr="0039678A" w:rsidRDefault="0045195B" w:rsidP="00AD76F5">
            <w:pPr>
              <w:pStyle w:val="ColumnHeading"/>
              <w:keepNext/>
            </w:pPr>
            <w:r>
              <w:t>Sprememba</w:t>
            </w:r>
          </w:p>
        </w:tc>
      </w:tr>
      <w:tr w:rsidR="00F45FAE" w:rsidRPr="0039678A" w:rsidTr="00AD76F5">
        <w:trPr>
          <w:jc w:val="center"/>
        </w:trPr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</w:pPr>
            <w:r w:rsidRPr="0039678A">
              <w:t>—</w:t>
            </w:r>
            <w:r w:rsidRPr="0039678A">
              <w:tab/>
              <w:t xml:space="preserve">zagotovi, da so določbe </w:t>
            </w:r>
            <w:r w:rsidRPr="0039678A">
              <w:rPr>
                <w:b/>
                <w:i/>
              </w:rPr>
              <w:t>o pravici do zavrnitve vročitve pisanj usklajene</w:t>
            </w:r>
            <w:r w:rsidRPr="0039678A">
              <w:t xml:space="preserve"> z </w:t>
            </w:r>
            <w:r w:rsidRPr="0039678A">
              <w:rPr>
                <w:b/>
                <w:i/>
              </w:rPr>
              <w:t>določbami člena 12(3) prenovljene uredbe o vročanju pisanj</w:t>
            </w:r>
            <w:r w:rsidRPr="0039678A">
              <w:t xml:space="preserve">, </w:t>
            </w:r>
            <w:r w:rsidRPr="0039678A">
              <w:rPr>
                <w:b/>
                <w:i/>
              </w:rPr>
              <w:t>kar pomeni, da lahko naslovnik zavrne vročitev pisanj bodisi ob vročitvi bodisi v dveh tednih po vročitvi</w:t>
            </w:r>
            <w:r w:rsidRPr="0039678A">
              <w:t>;</w:t>
            </w:r>
          </w:p>
        </w:tc>
        <w:tc>
          <w:tcPr>
            <w:tcW w:w="4876" w:type="dxa"/>
            <w:hideMark/>
          </w:tcPr>
          <w:p w:rsidR="00F45FAE" w:rsidRPr="0039678A" w:rsidRDefault="00F45FAE" w:rsidP="00AD76F5">
            <w:pPr>
              <w:pStyle w:val="Normal6"/>
              <w:rPr>
                <w:szCs w:val="24"/>
              </w:rPr>
            </w:pPr>
            <w:r w:rsidRPr="0039678A">
              <w:t>—</w:t>
            </w:r>
            <w:r w:rsidRPr="0039678A">
              <w:tab/>
              <w:t xml:space="preserve">zagotovi, da so določbe </w:t>
            </w:r>
            <w:r w:rsidRPr="0039678A">
              <w:rPr>
                <w:b/>
                <w:i/>
              </w:rPr>
              <w:t>sporazuma, ki je bil dosežen v pogajanjih</w:t>
            </w:r>
            <w:r w:rsidRPr="0039678A">
              <w:t xml:space="preserve"> z </w:t>
            </w:r>
            <w:r w:rsidRPr="0039678A">
              <w:rPr>
                <w:b/>
                <w:i/>
              </w:rPr>
              <w:t>Alžirijo</w:t>
            </w:r>
            <w:r w:rsidRPr="0039678A">
              <w:t xml:space="preserve">, </w:t>
            </w:r>
            <w:r w:rsidRPr="0039678A">
              <w:rPr>
                <w:b/>
                <w:i/>
              </w:rPr>
              <w:t>v skladu z ustreznim pravnim redom Unije in haaškimi konvencijami</w:t>
            </w:r>
            <w:r w:rsidRPr="0039678A">
              <w:t>;</w:t>
            </w:r>
          </w:p>
        </w:tc>
      </w:tr>
    </w:tbl>
    <w:p w:rsidR="00F45FAE" w:rsidRPr="0039678A" w:rsidRDefault="00F45FAE" w:rsidP="0007342C"/>
    <w:sectPr w:rsidR="00F45FAE" w:rsidRPr="0039678A" w:rsidSect="0039678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3E2" w:rsidRPr="0039678A" w:rsidRDefault="005B13E2">
      <w:r w:rsidRPr="0039678A">
        <w:separator/>
      </w:r>
    </w:p>
  </w:endnote>
  <w:endnote w:type="continuationSeparator" w:id="0">
    <w:p w:rsidR="005B13E2" w:rsidRPr="0039678A" w:rsidRDefault="005B13E2">
      <w:r w:rsidRPr="003967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3E2" w:rsidRPr="0039678A" w:rsidRDefault="005B13E2">
      <w:r w:rsidRPr="0039678A">
        <w:separator/>
      </w:r>
    </w:p>
  </w:footnote>
  <w:footnote w:type="continuationSeparator" w:id="0">
    <w:p w:rsidR="005B13E2" w:rsidRPr="0039678A" w:rsidRDefault="005B13E2">
      <w:r w:rsidRPr="0039678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SL"/>
    <w:docVar w:name="dvnumam" w:val="9"/>
    <w:docVar w:name="dvpe" w:val="751.709"/>
    <w:docVar w:name="dvrapporteur" w:val="Poročevalka: "/>
    <w:docVar w:name="dvstar" w:val="*"/>
    <w:docVar w:name="dvtitre" w:val="Zakonodajna resolucija Evropskega parlamenta z dne … 2023 o predlogu sklepa Sveta o pooblastilu Franciji za pogajanja o dvostranskem sporazumu z Alžirijo o zadevah v zvezi s pravosodnim sodelovanjem v zadevah družinskega prava(COM(2023)0064 – C9-0026/2023 – 2023/0027(CNS))"/>
  </w:docVars>
  <w:rsids>
    <w:rsidRoot w:val="005B13E2"/>
    <w:rsid w:val="00002272"/>
    <w:rsid w:val="00064002"/>
    <w:rsid w:val="000677B9"/>
    <w:rsid w:val="0007342C"/>
    <w:rsid w:val="000831BA"/>
    <w:rsid w:val="000A42CC"/>
    <w:rsid w:val="000E7DD9"/>
    <w:rsid w:val="000F08F2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78A"/>
    <w:rsid w:val="003E15D4"/>
    <w:rsid w:val="00411CCE"/>
    <w:rsid w:val="0041666E"/>
    <w:rsid w:val="00421060"/>
    <w:rsid w:val="0045195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13E2"/>
    <w:rsid w:val="005C2568"/>
    <w:rsid w:val="006037C0"/>
    <w:rsid w:val="00616983"/>
    <w:rsid w:val="006631B6"/>
    <w:rsid w:val="006740E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0CD"/>
    <w:rsid w:val="00C23CD4"/>
    <w:rsid w:val="00C47F7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FAE"/>
    <w:rsid w:val="00F5134D"/>
    <w:rsid w:val="00F74202"/>
    <w:rsid w:val="00F80ED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57617E"/>
  <w15:chartTrackingRefBased/>
  <w15:docId w15:val="{D48CC5CC-D4B6-42F1-80E4-242D5BF41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45FAE"/>
    <w:pPr>
      <w:spacing w:before="480" w:after="240"/>
    </w:pPr>
  </w:style>
  <w:style w:type="paragraph" w:customStyle="1" w:styleId="Normal6a">
    <w:name w:val="Normal6a"/>
    <w:basedOn w:val="Normal"/>
    <w:rsid w:val="00F45FAE"/>
    <w:pPr>
      <w:spacing w:after="120"/>
    </w:pPr>
  </w:style>
  <w:style w:type="paragraph" w:customStyle="1" w:styleId="NormalBold">
    <w:name w:val="NormalBold"/>
    <w:basedOn w:val="Normal"/>
    <w:link w:val="NormalBoldChar"/>
    <w:rsid w:val="00F45FAE"/>
    <w:rPr>
      <w:b/>
    </w:rPr>
  </w:style>
  <w:style w:type="paragraph" w:customStyle="1" w:styleId="NormalHanging12a">
    <w:name w:val="NormalHanging12a"/>
    <w:basedOn w:val="Normal"/>
    <w:rsid w:val="00F45FA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F45FA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45F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45FAE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F45FAE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F45FA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45FAE"/>
    <w:rPr>
      <w:b/>
      <w:sz w:val="24"/>
      <w:lang w:val="sl-SI"/>
    </w:rPr>
  </w:style>
  <w:style w:type="paragraph" w:customStyle="1" w:styleId="ColumnHeading">
    <w:name w:val="ColumnHeading"/>
    <w:basedOn w:val="Normal"/>
    <w:rsid w:val="00F45FA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45FA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A1C3B-1184-4282-8C86-A205FE74B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947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2023-12-12T10:43:00Z</dcterms:created>
  <dcterms:modified xsi:type="dcterms:W3CDTF">2023-12-12T10:43:00Z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