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0A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0A16" w:rsidRDefault="00FC3D66" w:rsidP="0010095E">
            <w:pPr>
              <w:pStyle w:val="EPName"/>
            </w:pPr>
            <w:r w:rsidRPr="00DF0A16">
              <w:t>Europski parlament</w:t>
            </w:r>
          </w:p>
          <w:p w:rsidR="00751A4A" w:rsidRPr="00DF0A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0A1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F0A16" w:rsidRDefault="00187494" w:rsidP="0010095E">
            <w:pPr>
              <w:pStyle w:val="EPLogo"/>
            </w:pPr>
            <w:r w:rsidRPr="00DF0A1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0A16" w:rsidRDefault="00D058B8" w:rsidP="004C5D52">
      <w:pPr>
        <w:pStyle w:val="LineTop"/>
      </w:pPr>
    </w:p>
    <w:p w:rsidR="00680577" w:rsidRPr="00DF0A16" w:rsidRDefault="00FC3D66" w:rsidP="00680577">
      <w:pPr>
        <w:pStyle w:val="EPBodyTA1"/>
      </w:pPr>
      <w:r w:rsidRPr="00DF0A16">
        <w:t>USVOJENI TEKSTOVI</w:t>
      </w:r>
    </w:p>
    <w:p w:rsidR="00D058B8" w:rsidRPr="00DF0A16" w:rsidRDefault="00D058B8" w:rsidP="00D058B8">
      <w:pPr>
        <w:pStyle w:val="LineBottom"/>
      </w:pPr>
    </w:p>
    <w:p w:rsidR="00FC3D66" w:rsidRPr="00DF0A16" w:rsidRDefault="00FC3D66" w:rsidP="00FC3D66">
      <w:pPr>
        <w:pStyle w:val="ATHeading1"/>
      </w:pPr>
      <w:bookmarkStart w:id="0" w:name="TANumber"/>
      <w:r w:rsidRPr="00DF0A16">
        <w:t>P9_TA(2023)0</w:t>
      </w:r>
      <w:r w:rsidR="00DF0A16" w:rsidRPr="00DF0A16">
        <w:t>455</w:t>
      </w:r>
      <w:bookmarkEnd w:id="0"/>
    </w:p>
    <w:p w:rsidR="00FC3D66" w:rsidRPr="00DF0A16" w:rsidRDefault="00FC3D66" w:rsidP="00FC3D66">
      <w:pPr>
        <w:pStyle w:val="ATHeading2"/>
      </w:pPr>
      <w:bookmarkStart w:id="1" w:name="title"/>
      <w:r w:rsidRPr="00DF0A16">
        <w:t>Europski izbori 2024.</w:t>
      </w:r>
      <w:bookmarkEnd w:id="1"/>
    </w:p>
    <w:p w:rsidR="00FC3D66" w:rsidRPr="00DF0A16" w:rsidRDefault="00FC3D66" w:rsidP="00FC3D66">
      <w:pPr>
        <w:rPr>
          <w:i/>
          <w:vanish/>
        </w:rPr>
      </w:pPr>
      <w:r w:rsidRPr="00DF0A16">
        <w:rPr>
          <w:i/>
        </w:rPr>
        <w:fldChar w:fldCharType="begin"/>
      </w:r>
      <w:r w:rsidRPr="00DF0A16">
        <w:rPr>
          <w:i/>
        </w:rPr>
        <w:instrText xml:space="preserve"> TC"(</w:instrText>
      </w:r>
      <w:bookmarkStart w:id="2" w:name="DocNumber"/>
      <w:r w:rsidRPr="00DF0A16">
        <w:rPr>
          <w:i/>
        </w:rPr>
        <w:instrText>A9-0332/2023</w:instrText>
      </w:r>
      <w:bookmarkEnd w:id="2"/>
      <w:r w:rsidRPr="00DF0A16">
        <w:rPr>
          <w:i/>
        </w:rPr>
        <w:instrText xml:space="preserve"> - Izvjestitelji: Sven Simon, </w:instrText>
      </w:r>
      <w:proofErr w:type="spellStart"/>
      <w:r w:rsidRPr="00DF0A16">
        <w:rPr>
          <w:i/>
        </w:rPr>
        <w:instrText>Domènec</w:instrText>
      </w:r>
      <w:proofErr w:type="spellEnd"/>
      <w:r w:rsidRPr="00DF0A16">
        <w:rPr>
          <w:i/>
        </w:rPr>
        <w:instrText xml:space="preserve"> </w:instrText>
      </w:r>
      <w:proofErr w:type="spellStart"/>
      <w:r w:rsidRPr="00DF0A16">
        <w:rPr>
          <w:i/>
        </w:rPr>
        <w:instrText>Ruiz</w:instrText>
      </w:r>
      <w:proofErr w:type="spellEnd"/>
      <w:r w:rsidRPr="00DF0A16">
        <w:rPr>
          <w:i/>
        </w:rPr>
        <w:instrText xml:space="preserve"> </w:instrText>
      </w:r>
      <w:proofErr w:type="spellStart"/>
      <w:r w:rsidRPr="00DF0A16">
        <w:rPr>
          <w:i/>
        </w:rPr>
        <w:instrText>Devesa</w:instrText>
      </w:r>
      <w:proofErr w:type="spellEnd"/>
      <w:r w:rsidRPr="00DF0A16">
        <w:rPr>
          <w:i/>
        </w:rPr>
        <w:instrText xml:space="preserve"> )"\l3 \n&gt; \* MERGEFORMAT </w:instrText>
      </w:r>
      <w:r w:rsidRPr="00DF0A16">
        <w:rPr>
          <w:i/>
        </w:rPr>
        <w:fldChar w:fldCharType="end"/>
      </w:r>
    </w:p>
    <w:p w:rsidR="00FC3D66" w:rsidRPr="00DF0A16" w:rsidRDefault="00FC3D66" w:rsidP="00FC3D66">
      <w:pPr>
        <w:rPr>
          <w:vanish/>
        </w:rPr>
      </w:pPr>
      <w:bookmarkStart w:id="3" w:name="Commission"/>
      <w:r w:rsidRPr="00DF0A16">
        <w:rPr>
          <w:vanish/>
        </w:rPr>
        <w:t>Odbor za ustavna pitanja</w:t>
      </w:r>
      <w:bookmarkEnd w:id="3"/>
    </w:p>
    <w:p w:rsidR="00FC3D66" w:rsidRPr="00DF0A16" w:rsidRDefault="00FC3D66" w:rsidP="00FC3D66">
      <w:pPr>
        <w:rPr>
          <w:vanish/>
        </w:rPr>
      </w:pPr>
      <w:bookmarkStart w:id="4" w:name="PE"/>
      <w:r w:rsidRPr="00DF0A16">
        <w:rPr>
          <w:vanish/>
        </w:rPr>
        <w:t>PE751.801</w:t>
      </w:r>
      <w:bookmarkEnd w:id="4"/>
    </w:p>
    <w:p w:rsidR="00FC3D66" w:rsidRPr="00DF0A16" w:rsidRDefault="00FC3D66" w:rsidP="00FC3D66">
      <w:pPr>
        <w:pStyle w:val="ATHeading3"/>
      </w:pPr>
      <w:bookmarkStart w:id="5" w:name="Sujet"/>
      <w:r w:rsidRPr="00DF0A16">
        <w:t>Rezolu</w:t>
      </w:r>
      <w:r w:rsidR="009C3656" w:rsidRPr="00DF0A16">
        <w:t>cija Europskog parlamenta od 1</w:t>
      </w:r>
      <w:r w:rsidR="00DF0A16" w:rsidRPr="00DF0A16">
        <w:t>2</w:t>
      </w:r>
      <w:r w:rsidRPr="00DF0A16">
        <w:t xml:space="preserve">. </w:t>
      </w:r>
      <w:r w:rsidR="009C3656" w:rsidRPr="00DF0A16">
        <w:t xml:space="preserve">prosinca </w:t>
      </w:r>
      <w:r w:rsidRPr="00DF0A16">
        <w:t>2023. o europskim izborima 2024.</w:t>
      </w:r>
      <w:bookmarkEnd w:id="5"/>
      <w:r w:rsidRPr="00DF0A16">
        <w:t xml:space="preserve"> </w:t>
      </w:r>
      <w:bookmarkStart w:id="6" w:name="References"/>
      <w:r w:rsidRPr="00DF0A16">
        <w:t>(2023/2016(INI))</w:t>
      </w:r>
      <w:bookmarkEnd w:id="6"/>
    </w:p>
    <w:p w:rsidR="001B36C0" w:rsidRPr="00DF0A16" w:rsidRDefault="001B36C0" w:rsidP="001B36C0">
      <w:pPr>
        <w:pStyle w:val="EPComma"/>
      </w:pPr>
      <w:bookmarkStart w:id="7" w:name="TextBodyBegin"/>
      <w:bookmarkEnd w:id="7"/>
      <w:r w:rsidRPr="00DF0A16">
        <w:rPr>
          <w:rStyle w:val="Italic"/>
        </w:rPr>
        <w:t>Europski parlament</w:t>
      </w:r>
      <w:r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Ugovor o Europskoj uniji (UEU), a posebno njegove članke 10. i 14. te članak 17. stavak 7.,</w:t>
      </w:r>
    </w:p>
    <w:p w:rsidR="00A859C6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Ugovor o funkcioniranju Europske unije (UFEU), a posebno njegove članke 20. i 22.,</w:t>
      </w:r>
    </w:p>
    <w:p w:rsidR="001B36C0" w:rsidRPr="00DF0A16" w:rsidRDefault="00A859C6" w:rsidP="001B36C0">
      <w:pPr>
        <w:pStyle w:val="NormalHanging12a"/>
      </w:pPr>
      <w:r w:rsidRPr="00DF0A16">
        <w:t>–</w:t>
      </w:r>
      <w:r w:rsidR="001B36C0" w:rsidRPr="00DF0A16">
        <w:tab/>
        <w:t>uzimajući u obzir Direktivu Vijeća 93/109/EZ od 6. prosinca 1993. o utvrđivanju detaljnih aranžmana za ostvarivanje aktivnog i pasivnog biračkog prava na izborima za Europski parlament za građane Unije koji borave u državi članici čiji nisu državljani</w:t>
      </w:r>
      <w:r w:rsidR="001B36C0" w:rsidRPr="00DF0A16">
        <w:rPr>
          <w:rStyle w:val="FootnoteReference"/>
        </w:rPr>
        <w:footnoteReference w:id="1"/>
      </w:r>
      <w:r w:rsidR="001B36C0"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izvješće svojeg Odbora za ustavna pitanja od 28. travnja 2011. o prijedlogu za izmjenu Akta od 20. rujna 1976. o izboru zastupnika u Europski parlament neposrednim općim izborima,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svoju Rezoluciju od 4. srpnja 2013. o unapređenju praktičnih rješenja za održavanje izbora za Europski parlament 2014.</w:t>
      </w:r>
      <w:r w:rsidRPr="00DF0A16">
        <w:rPr>
          <w:rStyle w:val="FootnoteReference"/>
        </w:rPr>
        <w:footnoteReference w:id="2"/>
      </w:r>
      <w:r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Uredbu (EU, Euratom) 2018/673 Europskog parlamenta i Vijeća od 3. svibnja 2018. o izmjeni Uredbe (EU, Euratom) br. 1141/2014 o statutu i financiranju europskih političkih stranaka i europskih političkih zaklada</w:t>
      </w:r>
      <w:r w:rsidRPr="00DF0A16">
        <w:rPr>
          <w:rStyle w:val="FootnoteReference"/>
        </w:rPr>
        <w:footnoteReference w:id="3"/>
      </w:r>
      <w:r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Odluku Vijeća (EU, Euratom) 2018/994 od 13. srpnja 2018. o izmjeni Akta o izboru članova Europskog parlamenta neposrednim općim izborima, priloženog Odluci Vijeća 76/787/EZUČ, EEZ, Euratom od 20. rujna 1976.</w:t>
      </w:r>
      <w:r w:rsidRPr="00DF0A16">
        <w:rPr>
          <w:rStyle w:val="FootnoteReference"/>
        </w:rPr>
        <w:footnoteReference w:id="4"/>
      </w:r>
      <w:r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lastRenderedPageBreak/>
        <w:t>–</w:t>
      </w:r>
      <w:r w:rsidRPr="00DF0A16">
        <w:tab/>
        <w:t>uzimajući u obzir svoju Rezoluciju od 26. studenoga 2020. o analizi europskih izbora</w:t>
      </w:r>
      <w:r w:rsidRPr="00DF0A16">
        <w:rPr>
          <w:rStyle w:val="FootnoteReference"/>
        </w:rPr>
        <w:footnoteReference w:id="5"/>
      </w:r>
      <w:r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Komunikaciju Komisije od 3. prosinca 2020. o akcijskom planu za europsku demokraciju (COM(2020)0790),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svoje stajalište od 3. svibnja 2022. o Prijedlogu uredbe Vijeća o izboru članova Europskog parlamenta neposrednim općim izborima, stavljanju izvan snage Odluke Vijeća (76/787/EZUČ, EEZ, Euratom) i Akta o izboru članova Europskog parlamenta neposrednim općim izborima priloženog toj Odluci</w:t>
      </w:r>
      <w:r w:rsidRPr="00DF0A16">
        <w:rPr>
          <w:rStyle w:val="FootnoteReference"/>
        </w:rPr>
        <w:footnoteReference w:id="6"/>
      </w:r>
      <w:r w:rsidRPr="00DF0A16">
        <w:t>,</w:t>
      </w:r>
    </w:p>
    <w:p w:rsidR="00F10F26" w:rsidRPr="00F10F26" w:rsidRDefault="001B36C0" w:rsidP="001E687A">
      <w:pPr>
        <w:pStyle w:val="NormalHanging12a"/>
      </w:pPr>
      <w:r w:rsidRPr="00DF0A16">
        <w:t>–</w:t>
      </w:r>
      <w:r w:rsidRPr="00DF0A16">
        <w:tab/>
        <w:t>uzimajući u obzir amandmane koje je donio Europski parlament 15. rujna 2022. o Prijedlogu uredbe Europskog parlamenta i Vijeća o statutu i financiranju europskih političkih stranaka i europskih političkih zaklada</w:t>
      </w:r>
      <w:r w:rsidRPr="00DF0A16">
        <w:rPr>
          <w:rStyle w:val="FootnoteReference"/>
        </w:rPr>
        <w:footnoteReference w:id="7"/>
      </w:r>
      <w:r w:rsidRPr="00DF0A16">
        <w:t>,</w:t>
      </w:r>
    </w:p>
    <w:p w:rsidR="001E687A" w:rsidRDefault="001B36C0" w:rsidP="001E687A">
      <w:pPr>
        <w:pStyle w:val="NormalHanging12a"/>
      </w:pPr>
      <w:r w:rsidRPr="00DF0A16">
        <w:t>–</w:t>
      </w:r>
      <w:r w:rsidRPr="00DF0A16">
        <w:tab/>
        <w:t>uzimajući u obzir amandmane koje je donio Europski parlament 2. veljače 2023. o Prijedlogu uredbe Europskog parlamenta i Vijeća o transparentnosti i ciljanju u političkom oglašavanju</w:t>
      </w:r>
      <w:r w:rsidRPr="00DF0A16">
        <w:rPr>
          <w:rStyle w:val="FootnoteReference"/>
        </w:rPr>
        <w:footnoteReference w:id="8"/>
      </w:r>
      <w:r w:rsidRPr="00DF0A16">
        <w:t>,</w:t>
      </w:r>
    </w:p>
    <w:p w:rsidR="001B36C0" w:rsidRPr="00DF0A16" w:rsidRDefault="001E687A" w:rsidP="001E687A">
      <w:pPr>
        <w:pStyle w:val="NormalHanging12a"/>
      </w:pPr>
      <w:r w:rsidRPr="009F372F">
        <w:rPr>
          <w:snapToGrid/>
          <w:szCs w:val="24"/>
        </w:rPr>
        <w:t>–</w:t>
      </w:r>
      <w:r w:rsidRPr="00F10F26">
        <w:tab/>
      </w:r>
      <w:r w:rsidRPr="009F372F">
        <w:rPr>
          <w:snapToGrid/>
          <w:szCs w:val="24"/>
        </w:rPr>
        <w:t>uzimajući u obzir svoju Rezoluciju od 14. rujna 2023. o parlamentarizmu, europskom građanstvu i demokraciji</w:t>
      </w:r>
      <w:r>
        <w:rPr>
          <w:rStyle w:val="FootnoteReference"/>
        </w:rPr>
        <w:footnoteReference w:id="9"/>
      </w:r>
      <w:r w:rsidRPr="009F372F">
        <w:rPr>
          <w:snapToGrid/>
          <w:szCs w:val="24"/>
        </w:rPr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Odluku Europskog vijeća (EU) 2023/2061 od 22. rujna 2023. o utvrđivanju sastava Europskog parlamenta</w:t>
      </w:r>
      <w:r w:rsidRPr="00DF0A16">
        <w:rPr>
          <w:rStyle w:val="FootnoteReference"/>
        </w:rPr>
        <w:footnoteReference w:id="10"/>
      </w:r>
      <w:r w:rsidRPr="00DF0A16">
        <w:t>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članak 54. Poslovnika,</w:t>
      </w:r>
    </w:p>
    <w:p w:rsidR="001B36C0" w:rsidRPr="00DF0A16" w:rsidRDefault="001B36C0" w:rsidP="001B36C0">
      <w:pPr>
        <w:pStyle w:val="NormalHanging12a"/>
      </w:pPr>
      <w:r w:rsidRPr="00DF0A16">
        <w:t>–</w:t>
      </w:r>
      <w:r w:rsidRPr="00DF0A16">
        <w:tab/>
        <w:t>uzimajući u obzir izvješće Odbora za ustavna pitanja (A9</w:t>
      </w:r>
      <w:r w:rsidRPr="00DF0A16">
        <w:noBreakHyphen/>
        <w:t>0332/2023),</w:t>
      </w:r>
    </w:p>
    <w:p w:rsidR="001B36C0" w:rsidRPr="00DF0A16" w:rsidRDefault="001B36C0" w:rsidP="001B36C0">
      <w:pPr>
        <w:pStyle w:val="NormalHanging12a"/>
      </w:pPr>
      <w:r w:rsidRPr="00DF0A16">
        <w:t>A.</w:t>
      </w:r>
      <w:r w:rsidRPr="00DF0A16">
        <w:tab/>
        <w:t>budući da je na europske izbore 2019. izašlo 50,66 % birača (povećanje od osam postotnih bodova u usporedbi s 2014.), što je najveći odaziv na izbore za Europski parlament u posljednjih 20 godina, čime je poslana pozitivna poruka da europski građani pokazuju sve veći interes za zbivanja na razini EU-a i da smatraju da zakonodavstvo EU-a utječe na njihov svakodnevni život; budući da je 19 država članica zabilježilo povećan odaziv birača, uz znatna povećanja u odnosu na 2014. zabilježena u Poljskoj, Rumunjskoj, Španjolskoj, Austriji, Mađarskoj, Njemačkoj, Slovačkoj i Češkoj;</w:t>
      </w:r>
    </w:p>
    <w:p w:rsidR="001B36C0" w:rsidRPr="00DF0A16" w:rsidRDefault="001B36C0" w:rsidP="001B36C0">
      <w:pPr>
        <w:pStyle w:val="NormalHanging12a"/>
      </w:pPr>
      <w:r w:rsidRPr="00DF0A16">
        <w:t>B.</w:t>
      </w:r>
      <w:r w:rsidRPr="00DF0A16">
        <w:tab/>
        <w:t xml:space="preserve">budući da je Odluka Vijeća iz 2018. o izmjeni Akta o izboru članova Europskog parlamenta neposrednim općim izborima sadržavala neka poboljšanja kao što je dodavanje logotipa europskih političkih stranaka na glasačke listiće za izbore za Europski parlament; budući da tu odluku tek trebaju ratificirati sve države članice; budući da </w:t>
      </w:r>
      <w:r w:rsidR="00A859C6" w:rsidRPr="00DF0A16">
        <w:t xml:space="preserve">bi se predloženim </w:t>
      </w:r>
      <w:r w:rsidRPr="00DF0A16">
        <w:t>Europski izborni</w:t>
      </w:r>
      <w:r w:rsidR="00A859C6" w:rsidRPr="00DF0A16">
        <w:t>m</w:t>
      </w:r>
      <w:r w:rsidRPr="00DF0A16">
        <w:t xml:space="preserve"> zakon</w:t>
      </w:r>
      <w:r w:rsidR="00A859C6" w:rsidRPr="00DF0A16">
        <w:t>om</w:t>
      </w:r>
      <w:r w:rsidRPr="00DF0A16">
        <w:t xml:space="preserve"> koji je Europski parlament usvojio 3. svibnja 2022.</w:t>
      </w:r>
      <w:r w:rsidR="00A859C6" w:rsidRPr="00DF0A16">
        <w:t>,</w:t>
      </w:r>
      <w:r w:rsidRPr="00DF0A16">
        <w:t xml:space="preserve"> </w:t>
      </w:r>
      <w:r w:rsidR="00A859C6" w:rsidRPr="00DF0A16">
        <w:t xml:space="preserve">koji </w:t>
      </w:r>
      <w:r w:rsidRPr="00DF0A16">
        <w:t>sadržava važna poboljšanja, riješio trenutačni problem rascjepkanosti u 27 različitih izbornih sustava te bi s pomoću njega izborna pravila postala modernija i ujednačenija unutar EU-a;</w:t>
      </w:r>
    </w:p>
    <w:p w:rsidR="001B36C0" w:rsidRPr="00DF0A16" w:rsidRDefault="001B36C0" w:rsidP="001B36C0">
      <w:pPr>
        <w:pStyle w:val="NormalHanging12a"/>
      </w:pPr>
      <w:r w:rsidRPr="00DF0A16">
        <w:lastRenderedPageBreak/>
        <w:t>C.</w:t>
      </w:r>
      <w:r w:rsidRPr="00DF0A16">
        <w:tab/>
        <w:t>budući da bi sustav vodećih kandidata mog</w:t>
      </w:r>
      <w:r w:rsidR="001E687A">
        <w:t>ao</w:t>
      </w:r>
      <w:r w:rsidRPr="00DF0A16">
        <w:t xml:space="preserve"> potaknuti europsku javnu raspravu i osnažiti europske političke stranke;</w:t>
      </w:r>
    </w:p>
    <w:p w:rsidR="001B36C0" w:rsidRPr="00DF0A16" w:rsidRDefault="001B36C0" w:rsidP="001B36C0">
      <w:pPr>
        <w:pStyle w:val="Normal6"/>
        <w:ind w:left="567" w:hanging="567"/>
      </w:pPr>
      <w:r w:rsidRPr="00DF0A16">
        <w:t>D.</w:t>
      </w:r>
      <w:r w:rsidRPr="00DF0A16">
        <w:tab/>
        <w:t>budući da europski izbori 2019. nisu rezultirali izborom predsjednika Komisije putem sustava vodećih kandidata; budući da je činjenica da europski izborni zakon nije reformiran predstavljala dodatnu prepreku uspješnoj provedbi postupka vodećih kandidata; budući da je ta neuspješna provedba sustava vodećih kandidata razočarala mnoge glasače i smanjila povjerenje u cijeli proces; budući da se takvo razočaranje mora izbjeći na europskim izborima</w:t>
      </w:r>
      <w:r w:rsidR="00A859C6" w:rsidRPr="00DF0A16">
        <w:t xml:space="preserve"> 2024.</w:t>
      </w:r>
      <w:r w:rsidRPr="00DF0A16">
        <w:t>; budući da izbor predsjednika Komisije ovisi o osiguravanju potpore većine zastupnika u Europskom parlamentu;</w:t>
      </w:r>
    </w:p>
    <w:p w:rsidR="001B36C0" w:rsidRPr="00DF0A16" w:rsidRDefault="001B36C0" w:rsidP="001B36C0">
      <w:pPr>
        <w:pStyle w:val="Normal6"/>
        <w:ind w:left="567" w:hanging="567"/>
      </w:pPr>
      <w:r w:rsidRPr="00DF0A16">
        <w:t>E.</w:t>
      </w:r>
      <w:r w:rsidRPr="00DF0A16">
        <w:tab/>
        <w:t xml:space="preserve">budući da je preduvjet za učinkovitu provedbu sustava vodećih kandidata to da Parlament može imenovati zajedničkog kandidata za predsjednika Komisije prije nego što Europsko vijeće iznese prijedlog; </w:t>
      </w:r>
    </w:p>
    <w:p w:rsidR="001B36C0" w:rsidRPr="00DF0A16" w:rsidRDefault="001B36C0" w:rsidP="001B36C0">
      <w:pPr>
        <w:pStyle w:val="NormalHanging12a"/>
      </w:pPr>
      <w:r w:rsidRPr="00DF0A16">
        <w:t>F.</w:t>
      </w:r>
      <w:r w:rsidRPr="00DF0A16">
        <w:tab/>
        <w:t xml:space="preserve">budući da nekoliko država članica još uvijek nije na odgovarajući način riješilo trajne prepreke i nije provelo odgovarajuće aranžmane za olakšavanje glasovanja građanima s invaliditetom, čime se sprečava smisleno sudjelovanje i zastupljenost tih građana u demokratskim procesima; </w:t>
      </w:r>
    </w:p>
    <w:p w:rsidR="001B36C0" w:rsidRPr="00DF0A16" w:rsidRDefault="001B36C0" w:rsidP="001B36C0">
      <w:pPr>
        <w:pStyle w:val="NormalHanging12a"/>
      </w:pPr>
      <w:r w:rsidRPr="00DF0A16">
        <w:t>G.</w:t>
      </w:r>
      <w:r w:rsidRPr="00DF0A16">
        <w:tab/>
        <w:t>budući da je potpuno ostvarivanje biračkih prava koja su Ugovorima dodijeljena mobilnim građanima na izborima za Europski parlament i dalje otežano neopravdanim preprekama demokratskom sudjelovanju, uključujući nedostatak osviještenosti o primjenjivim uvjetima i pravilima; budući da je Komisija objavila zakonodavni prijedlog kojim se nastoje riješiti neka od tih pitanja;</w:t>
      </w:r>
    </w:p>
    <w:p w:rsidR="001B36C0" w:rsidRPr="00DF0A16" w:rsidRDefault="001B36C0" w:rsidP="001B36C0">
      <w:pPr>
        <w:pStyle w:val="NormalHanging12a"/>
      </w:pPr>
      <w:r w:rsidRPr="00DF0A16">
        <w:t>H.</w:t>
      </w:r>
      <w:r w:rsidRPr="00DF0A16">
        <w:tab/>
        <w:t xml:space="preserve">budući da političke kampanje za europske izbore koje se provode u državama članicama često nisu dovoljno „europski orijentirane”, već njima dominiraju političke rasprave isključivo nacionalne, regionalne i lokalne prirode; budući da političke stranke i kandidati imaju odgovornost na odgovarajući način informirati građane o političkim izazovima na razini EU-a; </w:t>
      </w:r>
    </w:p>
    <w:p w:rsidR="001B36C0" w:rsidRPr="00DF0A16" w:rsidRDefault="001B36C0" w:rsidP="001B36C0">
      <w:pPr>
        <w:pStyle w:val="Normal12a24b"/>
      </w:pPr>
      <w:r w:rsidRPr="00DF0A16">
        <w:rPr>
          <w:rStyle w:val="BoldItalic"/>
        </w:rPr>
        <w:t>Jačanje europske demokracije na izborima</w:t>
      </w:r>
      <w:r w:rsidR="00A859C6" w:rsidRPr="00DF0A16">
        <w:rPr>
          <w:rStyle w:val="BoldItalic"/>
        </w:rPr>
        <w:t xml:space="preserve"> 2024.</w:t>
      </w:r>
    </w:p>
    <w:p w:rsidR="001B36C0" w:rsidRPr="00DF0A16" w:rsidRDefault="001B36C0" w:rsidP="001B36C0">
      <w:pPr>
        <w:pStyle w:val="NormalHanging12a"/>
      </w:pPr>
      <w:r w:rsidRPr="00DF0A16">
        <w:t>1.</w:t>
      </w:r>
      <w:r w:rsidRPr="00DF0A16">
        <w:tab/>
        <w:t>pozdravlja veći odaziv na europskim izborima 2019. i radi na daljnjem povećanju odaziva na europskim izborima 2024.; naglašava da je važno povećati sudjelovanje na izborima; napominje da je potrebno dodatno raditi na povećanju odaziva među mobilnim građanima; žali zbog toga što u Vijeću nije postignut napredak u donošenju novog europskog izbornog zakona koji je Europski parlament usvojio 3. svibnja 2022.; poziva Vijeće da ga što prije odobri; očekuje postizanje kompromisa u Vijeću, uz konsenzus u pogledu cijelog prijedloga Parlamenta;</w:t>
      </w:r>
    </w:p>
    <w:p w:rsidR="001B36C0" w:rsidRPr="00DF0A16" w:rsidRDefault="001B36C0" w:rsidP="001B36C0">
      <w:pPr>
        <w:pStyle w:val="NormalHanging12a"/>
      </w:pPr>
      <w:r w:rsidRPr="00DF0A16">
        <w:t>2.</w:t>
      </w:r>
      <w:r w:rsidRPr="00DF0A16">
        <w:tab/>
        <w:t>naglašava važnu ulogu europskih političkih stranaka i svih relevantnih društvenih dionika u doprinošenju raspravi o pitanjima europske javne politike i stvaranju europske političke svijesti; međutim, žali što europske političke stranke ne mogu u potpunosti sudjelovati u kampanjama za europske izbore zbog ograničenja u postojećim regulatornim okvirima na razini EU-a i na nacionalnoj razini; potiče europske političke stranke da provode vlastite kampanje za europske izbore; poziva nacionalne i europske političke stranke, kao i, prema potrebi, države članice da poduzmu sljedeće mjere: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provode kampanje za europske izbore u skladu s vrijednostima Unije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lastRenderedPageBreak/>
        <w:t>–</w:t>
      </w:r>
      <w:r w:rsidRPr="00DF0A16">
        <w:tab/>
        <w:t>poštuju demokratske standarde i interna pravila o stranačkoj demokraciji kako bi se posebno zajamčilo da se imenovanje kandidata provodi na demokratski način, uključujući vodeće kandidate za predsjednika Europske komisije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sastave manifeste pravodobno prije izbora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poboljšaju vidljivost europskih političkih stranaka u javnim raspravama i medijskim kampanjama, uključujući njihove nazive i/ili logotipe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dosljedno navode svoje europske partnere u svojim javnim komunikacijama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podržavaju isticanje naziva i/ili logotipa europskih političkih stranaka na glasačkim listićima i materijalima u sklopu kampanje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podižu svijest o novim pravilima za europske političke stranke i europske političke zaklade prije njihova službenog stupanja na snagu</w:t>
      </w:r>
      <w:r w:rsidR="00A859C6" w:rsidRPr="00DF0A16">
        <w:t>,</w:t>
      </w:r>
    </w:p>
    <w:p w:rsidR="001B36C0" w:rsidRPr="00DF0A16" w:rsidRDefault="001B36C0" w:rsidP="001B36C0">
      <w:pPr>
        <w:pStyle w:val="NormalHanging12a"/>
        <w:ind w:left="1134"/>
      </w:pPr>
      <w:r w:rsidRPr="00DF0A16">
        <w:t>–</w:t>
      </w:r>
      <w:r w:rsidRPr="00DF0A16">
        <w:tab/>
        <w:t>postignu dogovor o tome kako postupati tijekom postizbornog postupka, uključujući pregovore o predsjednicima institucija Unije;</w:t>
      </w:r>
    </w:p>
    <w:p w:rsidR="001B36C0" w:rsidRPr="00DF0A16" w:rsidRDefault="001B36C0" w:rsidP="001B36C0">
      <w:pPr>
        <w:pStyle w:val="NormalHanging12a"/>
      </w:pPr>
      <w:r w:rsidRPr="00DF0A16">
        <w:t>3.</w:t>
      </w:r>
      <w:r w:rsidRPr="00DF0A16">
        <w:tab/>
        <w:t>podržava akcijski plan za europske kampanje („E-CAP”) koji je sastavilo Tijelo za političke stranke i političke zaklade, posebno u pogledu vidljivosti vodećih kandidata i europskih političkih stranaka; naglašava važnost rada Tijela za europske političke stranke i europske političke zaklade u informiranju građana;</w:t>
      </w:r>
    </w:p>
    <w:p w:rsidR="001B36C0" w:rsidRPr="00DF0A16" w:rsidRDefault="001B36C0" w:rsidP="001B36C0">
      <w:pPr>
        <w:pStyle w:val="NormalHanging12a"/>
      </w:pPr>
      <w:r w:rsidRPr="00DF0A16">
        <w:t>4.</w:t>
      </w:r>
      <w:r w:rsidRPr="00DF0A16">
        <w:tab/>
        <w:t>žali zbog činjenice da na europskim izborima 2019. nije primijenjen sustav vodećih kandidata za izbor predsjednika Europske komisije; nadalje žali zbog toga što Europsko vijeće i Europska komisija od 2019. nisu ostvarili napredak u vezi s tim pitanjem, iako su se obvezali na poboljšanje europske demokracije; smatra da je potrebna jasna i vjerodostojna veza između odabira koji su donijeli birači i izbora predsjednika Komisije; poziva europske političke stranke, nacionalne političke stranke i nacionalne vlade da surađuju kako bi osigurale taj ishod na sljedećim izborima; ističe da izbor predsjednika Komisije ovisi o osiguravanju podrške većine zastupnika u Europskom parlamentu kako bi se izborni rezultati u potpunosti uzeli u obzir, kako je p</w:t>
      </w:r>
      <w:r w:rsidR="00CE4FA4">
        <w:t>redviđeno Ugovorom iz Lisabona;</w:t>
      </w:r>
      <w:bookmarkStart w:id="8" w:name="_GoBack"/>
      <w:bookmarkEnd w:id="8"/>
    </w:p>
    <w:p w:rsidR="001B36C0" w:rsidRPr="00DF0A16" w:rsidRDefault="001B36C0" w:rsidP="001B36C0">
      <w:pPr>
        <w:pStyle w:val="NormalHanging12a"/>
      </w:pPr>
      <w:r w:rsidRPr="00DF0A16">
        <w:t>5.</w:t>
      </w:r>
      <w:r w:rsidRPr="00DF0A16">
        <w:tab/>
        <w:t>poziva Europsko vijeće da europskim građanima pruži sigurnost u pogledu sustava vodećih kandidata i da okonča praksu pregovaranja iza zatvorenih vrata; potiče Europsko vijeće da u tu svrhu započne savjetovanje dovoljno unaprijed s ciljem provedbe načela vodećeg kandidata u svjetlu ishoda europskih izbora;</w:t>
      </w:r>
    </w:p>
    <w:p w:rsidR="001B36C0" w:rsidRPr="00DF0A16" w:rsidRDefault="001B36C0" w:rsidP="001B36C0">
      <w:pPr>
        <w:pStyle w:val="NormalHanging12a"/>
      </w:pPr>
      <w:r w:rsidRPr="00DF0A16">
        <w:t>6.</w:t>
      </w:r>
      <w:r w:rsidRPr="00DF0A16">
        <w:tab/>
        <w:t xml:space="preserve">očekuje od svih europskih političkih stranaka da pravodobno predlože svoje kandidate za mjesto predsjednika Komisije, a najkasnije 12 tjedana prije dana održavanja izbora; </w:t>
      </w:r>
    </w:p>
    <w:p w:rsidR="001B36C0" w:rsidRPr="00DF0A16" w:rsidRDefault="001B36C0" w:rsidP="001B36C0">
      <w:pPr>
        <w:pStyle w:val="NormalHanging12a"/>
      </w:pPr>
      <w:r w:rsidRPr="00DF0A16">
        <w:t>7.</w:t>
      </w:r>
      <w:r w:rsidRPr="00DF0A16">
        <w:tab/>
        <w:t xml:space="preserve">poziva na donošenje </w:t>
      </w:r>
      <w:proofErr w:type="spellStart"/>
      <w:r w:rsidRPr="00DF0A16">
        <w:t>međuinstitucijskog</w:t>
      </w:r>
      <w:proofErr w:type="spellEnd"/>
      <w:r w:rsidRPr="00DF0A16">
        <w:t xml:space="preserve"> sporazuma između Parlamenta i Europskog vijeća o sustavu vodećih kandidata u okviru članka 17. stavka 7. UEU-a; traži od predsjednice Europskog parlamenta da odmah započne s radom na pripremi takvog sporazuma; smatra da bi vodeći kandidati te predsjednici europskih političkih stranaka i njihovih klubova zastupnika trebali pokrenuti pregovore odmah nakon europskih izbora 2024. kako bi se u ime Europskog parlamenta dogovorili o zajedničkom kandidatu za predsjednika Komisije prije nego što Europsko vijeće iznese svoj prijedlog;</w:t>
      </w:r>
    </w:p>
    <w:p w:rsidR="001B36C0" w:rsidRPr="00DF0A16" w:rsidRDefault="001B36C0" w:rsidP="001B36C0">
      <w:pPr>
        <w:pStyle w:val="NormalHanging12a"/>
      </w:pPr>
      <w:r w:rsidRPr="00DF0A16">
        <w:lastRenderedPageBreak/>
        <w:t>8.</w:t>
      </w:r>
      <w:r w:rsidRPr="00DF0A16">
        <w:tab/>
        <w:t>smatra da vodeći kandidat europske političke stranke koja je dobila najveći udio mjesta na izborima za Europski parlament mora prvotno voditi pregovore kako bi se utvrdio zajednički kandidat s najvećom većinom, a kasnije, prema potrebi, isto trebaju činiti drugi vodeći kandidati, razmjerno udjelu mjesta koje su dobile njihove europske političke stranke; predlaže da predsjednik Europskog parlamenta, ako je to potrebno, bude na raspolaganju za usmjeravanje tog procesa;</w:t>
      </w:r>
    </w:p>
    <w:p w:rsidR="001B36C0" w:rsidRPr="00DF0A16" w:rsidRDefault="001B36C0" w:rsidP="001B36C0">
      <w:pPr>
        <w:pStyle w:val="NormalHanging12a"/>
      </w:pPr>
      <w:r w:rsidRPr="00DF0A16">
        <w:t>9.</w:t>
      </w:r>
      <w:r w:rsidRPr="00DF0A16">
        <w:tab/>
        <w:t>naglašava da će predsjednik Europskog parlamenta biti ovlašten Europskom vijeću priopćiti ime zajedničkog kandidata Parlamenta za mjesto predsjednika Europske komisije;</w:t>
      </w:r>
    </w:p>
    <w:p w:rsidR="001B36C0" w:rsidRPr="00DF0A16" w:rsidRDefault="001B36C0" w:rsidP="001B36C0">
      <w:pPr>
        <w:pStyle w:val="NormalHanging12a"/>
      </w:pPr>
      <w:r w:rsidRPr="00DF0A16">
        <w:t>10.</w:t>
      </w:r>
      <w:r w:rsidRPr="00DF0A16">
        <w:tab/>
        <w:t>preporučuje da, u slučaju da ne postoji zajednički kandidat Europskog parlamenta za mjesto predsjednika Komisije, predsjednik Europskog vijeća započne savjetovanje s predsjednikom Europskog parlamenta, vodećim kandidatima, predsjednicima europskih političkih stranaka i njihovim klubovima zastupnika, prije nego što Europsko vijeće iznese svoj prijedlog Europskom parlamentu;</w:t>
      </w:r>
    </w:p>
    <w:p w:rsidR="001B36C0" w:rsidRPr="00DF0A16" w:rsidRDefault="001B36C0" w:rsidP="001B36C0">
      <w:pPr>
        <w:pStyle w:val="NormalHanging12a"/>
      </w:pPr>
      <w:r w:rsidRPr="00DF0A16">
        <w:t>11.</w:t>
      </w:r>
      <w:r w:rsidRPr="00DF0A16">
        <w:tab/>
        <w:t>u tom kontekstu smatra da bi Europsko vijeće trebalo pričekati s iznošenjem svojeg prijedloga za predsjednika Europske komisije dok Europski parlament ne predstavi zajedničkog kandidata, u skladu s odgovarajućim savjetovanjima iz članka 17. stavka 7. UEU-a i načelom lojalne suradnje;</w:t>
      </w:r>
    </w:p>
    <w:p w:rsidR="001B36C0" w:rsidRPr="00DF0A16" w:rsidRDefault="001B36C0" w:rsidP="001B36C0">
      <w:pPr>
        <w:pStyle w:val="NormalHanging12a"/>
      </w:pPr>
      <w:r w:rsidRPr="00DF0A16">
        <w:t>12.</w:t>
      </w:r>
      <w:r w:rsidRPr="00DF0A16">
        <w:tab/>
        <w:t>podsjeća na to da Europski parlament ima ovlast da izabere svojeg predsjednika;</w:t>
      </w:r>
    </w:p>
    <w:p w:rsidR="001B36C0" w:rsidRPr="00DF0A16" w:rsidRDefault="001B36C0" w:rsidP="001B36C0">
      <w:pPr>
        <w:pStyle w:val="NormalHanging12a"/>
      </w:pPr>
      <w:r w:rsidRPr="00DF0A16">
        <w:t>13.</w:t>
      </w:r>
      <w:r w:rsidRPr="00DF0A16">
        <w:tab/>
        <w:t>očekuju da europske političke stranke i njihovi klubovi zastupnika donesu „sporazum za parlamentarni saziv” za zakonodavno razdoblje 2024. – 2029. kako bi se osigurala većina u Parlamentu prije imenovanja Komisije, kao temelj za njezin program rada i kako bi se europskim biračima zajamčilo dosljedno postupanje u skladu s ishodom izbora; svaki kandidat za predsjednika Europske komisije mora obećati da će poštovati taj „sporazum za parlamentarni saziv” kako bi dobio većinsku potporu Parlamenta; napominje da je za provedbu takvog sporazuma ključna široka politička potpora;</w:t>
      </w:r>
    </w:p>
    <w:p w:rsidR="001B36C0" w:rsidRPr="00DF0A16" w:rsidRDefault="001B36C0" w:rsidP="001B36C0">
      <w:pPr>
        <w:pStyle w:val="NormalHanging12a"/>
      </w:pPr>
      <w:r w:rsidRPr="00DF0A16">
        <w:t>14.</w:t>
      </w:r>
      <w:r w:rsidRPr="00DF0A16">
        <w:tab/>
        <w:t>smatra da bi uspostava jedinstvenog zajedničkog europskog dana glasovanja dovela do dosljednijih paneuropskih izbora;</w:t>
      </w:r>
    </w:p>
    <w:p w:rsidR="001B36C0" w:rsidRPr="00DF0A16" w:rsidRDefault="001B36C0" w:rsidP="001B36C0">
      <w:pPr>
        <w:pStyle w:val="NormalHanging12a"/>
      </w:pPr>
      <w:r w:rsidRPr="00DF0A16">
        <w:t>15.</w:t>
      </w:r>
      <w:r w:rsidRPr="00DF0A16">
        <w:tab/>
        <w:t>podsjeća na odgovornost političkog nadzora koja je Parlamentu dodijeljena Ugovorima; naglašava da odgovornost Komisije prema Parlamentu predstavlja važno načelo unutarnje demokratske kontrole; podsjeća da su saslušanja kandidata za povjerenike i Kolegija povjerenika ključan korak prema daljnjoj demokratizaciji postupka donošenja odluka u EU-u te da ta saslušanja dobivaju na važnosti kao sredstvo kojim Parlament može preuzeti veću ulogu u utvrđivanju programa na razini EU-a;</w:t>
      </w:r>
    </w:p>
    <w:p w:rsidR="001B36C0" w:rsidRPr="00DF0A16" w:rsidRDefault="001B36C0" w:rsidP="001B36C0">
      <w:pPr>
        <w:pStyle w:val="Normal12a24b"/>
      </w:pPr>
      <w:r w:rsidRPr="00DF0A16">
        <w:rPr>
          <w:rStyle w:val="BoldItalic"/>
        </w:rPr>
        <w:t>Sudjelovanje i pravo glasovanja građana</w:t>
      </w:r>
    </w:p>
    <w:p w:rsidR="001B36C0" w:rsidRPr="00DF0A16" w:rsidRDefault="001B36C0" w:rsidP="001B36C0">
      <w:pPr>
        <w:pStyle w:val="NormalHanging12a"/>
      </w:pPr>
      <w:r w:rsidRPr="00DF0A16">
        <w:t>16.</w:t>
      </w:r>
      <w:r w:rsidRPr="00DF0A16">
        <w:tab/>
        <w:t>smatra da je ključno svim građanima Unije koji imaju aktivno i pasivno biračko pravo, uključujući mobilne građane Unije, građane s invaliditetom i građane u situaciji beskućništva, zajamčiti mogućnost ostvarivanja tog prava;</w:t>
      </w:r>
    </w:p>
    <w:p w:rsidR="001B36C0" w:rsidRPr="00DF0A16" w:rsidRDefault="001B36C0" w:rsidP="001B36C0">
      <w:pPr>
        <w:pStyle w:val="NormalHanging12a"/>
      </w:pPr>
      <w:r w:rsidRPr="00DF0A16">
        <w:t>17.</w:t>
      </w:r>
      <w:r w:rsidRPr="00DF0A16">
        <w:tab/>
        <w:t xml:space="preserve">poziva države članice da zajamče pristupačnost izbora uvođenjem mjera kojima bi se osigurali pristup informacijama te pristupačni načini glasovanja, primjerice, upotrebom pomoćnih tehnologija, formata i tehnika kao što su </w:t>
      </w:r>
      <w:proofErr w:type="spellStart"/>
      <w:r w:rsidRPr="00DF0A16">
        <w:t>Brailleovo</w:t>
      </w:r>
      <w:proofErr w:type="spellEnd"/>
      <w:r w:rsidRPr="00DF0A16">
        <w:t xml:space="preserve"> pismo, QR kodovi, veliki font, zvučne informacije, taktilni sadržaji, lako čitljive informacije i komunikacija na </w:t>
      </w:r>
      <w:r w:rsidRPr="00DF0A16">
        <w:lastRenderedPageBreak/>
        <w:t>znakovnom jeziku; smatra da su kampanje za podizanje javne svijesti ključne za povećanje odaziva birača i poziva države članice da ulože sve napore u tom pogledu te da u to uključe i organizacije civilnog društva;</w:t>
      </w:r>
    </w:p>
    <w:p w:rsidR="001B36C0" w:rsidRDefault="001B36C0" w:rsidP="001B36C0">
      <w:pPr>
        <w:pStyle w:val="NormalHanging12a"/>
      </w:pPr>
      <w:r w:rsidRPr="00DF0A16">
        <w:t>18.</w:t>
      </w:r>
      <w:r w:rsidRPr="00DF0A16">
        <w:tab/>
        <w:t>smatra da je pristup informacijama o izbornoj kampanji nužan uvjet za poboljšanje sudjelovanja građana na izborima; poziva države članice da potiču svoje nacionalne medije da pokrivaju izbore kako bi se europskim građanima omogućilo da ostvare svoje biračko pravo i da si mogu predočiti europsku dimenziju svojeg izbora, među ostalim i u ruralnim područjima;</w:t>
      </w:r>
    </w:p>
    <w:p w:rsidR="002745EF" w:rsidRPr="002745EF" w:rsidRDefault="002745EF" w:rsidP="001B36C0">
      <w:pPr>
        <w:pStyle w:val="NormalHanging12a"/>
      </w:pPr>
      <w:r w:rsidRPr="002745EF">
        <w:t>19.</w:t>
      </w:r>
      <w:r w:rsidRPr="002745EF">
        <w:tab/>
      </w:r>
      <w:r w:rsidRPr="00EA2694">
        <w:t>smatra da institucionalna informativna kampanja Parlamenta doprinosi, u suradnji s organizacijama civilnog društva, raspravi o pitanjima europske javne politike i stvaranju europske političke svijesti o parlamentarnoj demokraciji te da služi kao potpora izbornoj kampanji koju vode sve europske političke stranke; pozdravlja koordinirane napore svih institucija EU-a u tom pogledu;</w:t>
      </w:r>
    </w:p>
    <w:p w:rsidR="001B36C0" w:rsidRPr="00DF0A16" w:rsidRDefault="00795D8D" w:rsidP="001B36C0">
      <w:pPr>
        <w:pStyle w:val="NormalHanging12a"/>
      </w:pPr>
      <w:r>
        <w:t>20</w:t>
      </w:r>
      <w:r w:rsidR="001B36C0" w:rsidRPr="00DF0A16">
        <w:t>.</w:t>
      </w:r>
      <w:r w:rsidR="001B36C0" w:rsidRPr="00DF0A16">
        <w:tab/>
        <w:t>ponovno poziva države članice da građanima Unije koji žive ili rade u trećoj zemlji daju pravo glasa na izborima za Europski parlament; poziva države članice da surađuju s Europskim parlamentom i Europskom službom za vanjsko djelovanje kako bi informirale građane Unije u trećim zemljama o europskim izborima i olakšale njihovo sudjelovanje na tim izborima;</w:t>
      </w:r>
      <w:r w:rsidR="002745EF">
        <w:t xml:space="preserve"> </w:t>
      </w:r>
      <w:r w:rsidR="002745EF" w:rsidRPr="00EA2694">
        <w:t>poziva Visokog predstavnika Unije za vanjske poslove i sigurnosnu politiku da potakne ministre vanjskih poslova država članica da razmjenjuju najbolje prakse u pogledu informativnih kampanji i da olakšaju mogućnosti za glasovanje iz inozemstva, uključujući uspostavu pristupačnih birališta izvan EU-a i primjenu poštanskih ili drugih oblika glasovanja na daljinu;</w:t>
      </w:r>
    </w:p>
    <w:p w:rsidR="001B36C0" w:rsidRPr="00DF0A16" w:rsidRDefault="00795D8D" w:rsidP="001B36C0">
      <w:pPr>
        <w:pStyle w:val="NormalHanging12a"/>
      </w:pPr>
      <w:r>
        <w:t>21</w:t>
      </w:r>
      <w:r w:rsidR="001B36C0" w:rsidRPr="00DF0A16">
        <w:t>.</w:t>
      </w:r>
      <w:r w:rsidR="001B36C0" w:rsidRPr="00DF0A16">
        <w:tab/>
        <w:t>žali zbog toga što inovacije koje su Komisija i Parlament predložili neće stupiti na snagu na vrijeme za izbore 2024. jer u Vijeću nije postignut napredak u pogledu Komisijina Prijedloga direktive Vijeća o utvrđivanju detaljnih aranžmana za ostvarivanje aktivnog i pasivnog biračkog prava na izborima za Europski parlament za mobilne građane Unije;</w:t>
      </w:r>
    </w:p>
    <w:p w:rsidR="001B36C0" w:rsidRPr="00DF0A16" w:rsidRDefault="00795D8D" w:rsidP="001B36C0">
      <w:pPr>
        <w:pStyle w:val="NormalHanging12a"/>
      </w:pPr>
      <w:r>
        <w:t>22</w:t>
      </w:r>
      <w:r w:rsidR="001B36C0" w:rsidRPr="00DF0A16">
        <w:t>.</w:t>
      </w:r>
      <w:r w:rsidR="001B36C0" w:rsidRPr="00DF0A16">
        <w:tab/>
        <w:t>potiče uvođenje glasovanja poštom kako bi se osiguralo da nemogućnost odlaska na birališta na dan izbora građane Unije neće spriječiti da ostvare svoje biračko pravo; nadalje, zalaže se za uvođenje komplementarnih alata za olakšavanje glasovanja, kao što su fizičko glasovanje unaprijed i glasovanje putem punomoći, kao i elektroničko i internetsko glasovanje;</w:t>
      </w:r>
    </w:p>
    <w:p w:rsidR="001B36C0" w:rsidRPr="00DF0A16" w:rsidRDefault="00795D8D" w:rsidP="001B36C0">
      <w:pPr>
        <w:pStyle w:val="NormalHanging12a"/>
      </w:pPr>
      <w:r>
        <w:t>23</w:t>
      </w:r>
      <w:r w:rsidR="001B36C0" w:rsidRPr="00DF0A16">
        <w:t>.</w:t>
      </w:r>
      <w:r w:rsidR="001B36C0" w:rsidRPr="00DF0A16">
        <w:tab/>
        <w:t>smatra da je rodna ravnopravnost ključan element za poboljšanje zastupljenosti na izborima; pozdravlja napredak prema rodno uravnoteženom Parlamentu nakon europskih izbora 2019., ali ističe postojeće razlike među državama članicama u pogledu razine zastupljenosti žena; u tom pogledu potiče provedbu odredbi o novom europskom izbornom zakonu koje je Parlament donio 3. svibnja 2022.;</w:t>
      </w:r>
    </w:p>
    <w:p w:rsidR="001B36C0" w:rsidRPr="00DF0A16" w:rsidRDefault="00795D8D" w:rsidP="001B36C0">
      <w:pPr>
        <w:pStyle w:val="NormalHanging12a"/>
      </w:pPr>
      <w:r>
        <w:t>24</w:t>
      </w:r>
      <w:r w:rsidR="001B36C0" w:rsidRPr="00DF0A16">
        <w:t>.</w:t>
      </w:r>
      <w:r w:rsidR="001B36C0" w:rsidRPr="00DF0A16">
        <w:tab/>
        <w:t>smatra da bi države članice trebale razmotriti usklađivanje i snižavanje minimalne dobi za glasanje te minimalne dobi za kandidiranje, kako je navedeno u prijedlogu izbornog zakona i zaključcima Konferencije o budućnosti Europe;</w:t>
      </w:r>
    </w:p>
    <w:p w:rsidR="001B36C0" w:rsidRPr="00DF0A16" w:rsidRDefault="001B36C0" w:rsidP="001B36C0">
      <w:pPr>
        <w:pStyle w:val="NormalHanging12a"/>
        <w:rPr>
          <w:rStyle w:val="BoldItalic"/>
        </w:rPr>
      </w:pPr>
      <w:r w:rsidRPr="00DF0A16">
        <w:rPr>
          <w:rStyle w:val="BoldItalic"/>
        </w:rPr>
        <w:t xml:space="preserve">Institucijska otpornost </w:t>
      </w:r>
    </w:p>
    <w:p w:rsidR="001B36C0" w:rsidRPr="00DF0A16" w:rsidRDefault="00795D8D" w:rsidP="001B36C0">
      <w:pPr>
        <w:pStyle w:val="NormalHanging12a"/>
      </w:pPr>
      <w:r>
        <w:lastRenderedPageBreak/>
        <w:t>25</w:t>
      </w:r>
      <w:r w:rsidR="001B36C0" w:rsidRPr="00DF0A16">
        <w:t>.</w:t>
      </w:r>
      <w:r w:rsidR="001B36C0" w:rsidRPr="00DF0A16">
        <w:tab/>
        <w:t>smatra da dezinformiranje i vanjsko upletanje predstavljaju ozbiljan napad na integritet izbornog postupka i na europsku demokraciju; naglašava da digitalne platforme imaju ključnu ulogu u borbi protiv dezinformiranja;</w:t>
      </w:r>
    </w:p>
    <w:p w:rsidR="001B36C0" w:rsidRPr="00DF0A16" w:rsidRDefault="00795D8D" w:rsidP="001B36C0">
      <w:pPr>
        <w:pStyle w:val="NormalHanging12a"/>
      </w:pPr>
      <w:r>
        <w:t>26</w:t>
      </w:r>
      <w:r w:rsidR="001B36C0" w:rsidRPr="00DF0A16">
        <w:t>.</w:t>
      </w:r>
      <w:r w:rsidR="001B36C0" w:rsidRPr="00DF0A16">
        <w:tab/>
        <w:t>prima na znanje napore koje su institucije EU-a uložile u borbu protiv dezinformiranja i vanjskog upletanja, kao što su Kodeks dobre prakse u suzbijanju dezinformacija iz 2022. i sustav brzog uzbunjivanja; ističe, međutim, potrebu za snažnijim zaštitnim mjerama i mjerama protiv dezinformiranja te protiv unutarnjeg i vanjskog upletanja u izborni proces; obvezuje se da će pojačati napore u borbi protiv pokušaja vanjskog upletanja unutar Europskog parlamenta;</w:t>
      </w:r>
    </w:p>
    <w:p w:rsidR="001B36C0" w:rsidRPr="00DF0A16" w:rsidRDefault="00795D8D" w:rsidP="001B36C0">
      <w:pPr>
        <w:pStyle w:val="NormalHanging12a"/>
      </w:pPr>
      <w:r>
        <w:t>27</w:t>
      </w:r>
      <w:r w:rsidR="001B36C0" w:rsidRPr="00DF0A16">
        <w:t>.</w:t>
      </w:r>
      <w:r w:rsidR="001B36C0" w:rsidRPr="00DF0A16">
        <w:tab/>
        <w:t xml:space="preserve">skreće pozornost na tekuće </w:t>
      </w:r>
      <w:proofErr w:type="spellStart"/>
      <w:r w:rsidR="001B36C0" w:rsidRPr="00DF0A16">
        <w:t>međuinstitucijske</w:t>
      </w:r>
      <w:proofErr w:type="spellEnd"/>
      <w:r w:rsidR="001B36C0" w:rsidRPr="00DF0A16">
        <w:t xml:space="preserve"> pregovore o prijedlozima uredbi Europskog parlamenta i Vijeća o europskim političkim strankama i zakladama</w:t>
      </w:r>
      <w:r w:rsidR="001E687A">
        <w:t xml:space="preserve">; </w:t>
      </w:r>
      <w:r w:rsidR="001B36C0" w:rsidRPr="00DF0A16">
        <w:t xml:space="preserve">poziva Komisiju i Vijeće da nastave </w:t>
      </w:r>
      <w:r w:rsidR="002745EF" w:rsidRPr="00EA2694">
        <w:t>s međuinstitucionalnim pregovorima</w:t>
      </w:r>
      <w:r w:rsidR="001B36C0" w:rsidRPr="00DF0A16">
        <w:t xml:space="preserve"> u duhu iskrene suradnje</w:t>
      </w:r>
      <w:r w:rsidR="002745EF" w:rsidRPr="00EA2694">
        <w:t xml:space="preserve">; pozdravlja dogovor </w:t>
      </w:r>
      <w:proofErr w:type="spellStart"/>
      <w:r w:rsidR="002745EF" w:rsidRPr="00EA2694">
        <w:t>suzakonodavaca</w:t>
      </w:r>
      <w:proofErr w:type="spellEnd"/>
      <w:r w:rsidR="002745EF" w:rsidRPr="00EA2694">
        <w:t xml:space="preserve"> o Uredbi Europskog parlamenta i Vijeća o transparentnosti i ciljanju u političkom oglašavanju; pozdravlja provedivost nekih njezinih odredbi, kao što su one o nediskriminaciji, uoči izbora</w:t>
      </w:r>
      <w:r w:rsidR="002745EF" w:rsidRPr="00FD6984">
        <w:t xml:space="preserve"> </w:t>
      </w:r>
      <w:r w:rsidR="001B36C0" w:rsidRPr="00DF0A16">
        <w:t xml:space="preserve">2024.; </w:t>
      </w:r>
      <w:r w:rsidR="002745EF" w:rsidRPr="00EA2694">
        <w:t>poziva države članice da u potpunosti provedu ostale odredbe Uredbe nakon što one stupe na snagu;</w:t>
      </w:r>
    </w:p>
    <w:p w:rsidR="001B36C0" w:rsidRPr="00DF0A16" w:rsidRDefault="00795D8D" w:rsidP="001B36C0">
      <w:pPr>
        <w:pStyle w:val="NormalHanging12a"/>
      </w:pPr>
      <w:r>
        <w:t>28</w:t>
      </w:r>
      <w:r w:rsidR="001B36C0" w:rsidRPr="00DF0A16">
        <w:t>.</w:t>
      </w:r>
      <w:r w:rsidR="001B36C0" w:rsidRPr="00DF0A16">
        <w:tab/>
        <w:t>podsjeća da je Parlament donio rezoluciju i trenutačno radi na prijedlozima za izmjenu Ugovorâ, među ostalim kako bi se povećao demokratski legitimitet EU-a i kako bi se omogućilo odgovarajuće daljnje postupanje u vezi s prijedlozima usvojenima na Konferenciji o budućnosti Europe; konstatira da su izbori 2024. jedinstvena prilika za pokretanje rasprave na razini EU-a o reformi Unije na temelju prijedloga za reformu Ugovorâ koje je iznio Parlament; poziva Europsko vijeće da žurno usvoji stajalište o organizaciji konvencije nakon što Parlament usvoji svoje prijedloge; ponavlja svoju potporu reformi Ugovorâ u tom kontekstu;</w:t>
      </w:r>
    </w:p>
    <w:p w:rsidR="001B36C0" w:rsidRDefault="00795D8D" w:rsidP="001B36C0">
      <w:pPr>
        <w:pStyle w:val="NormalHanging12a"/>
      </w:pPr>
      <w:r>
        <w:t>29</w:t>
      </w:r>
      <w:r w:rsidR="001B36C0" w:rsidRPr="00DF0A16">
        <w:t>.</w:t>
      </w:r>
      <w:r w:rsidR="001B36C0" w:rsidRPr="00DF0A16">
        <w:tab/>
        <w:t xml:space="preserve">poziva na reformu Ugovorâ </w:t>
      </w:r>
      <w:r w:rsidR="001E687A">
        <w:t xml:space="preserve">te </w:t>
      </w:r>
      <w:r w:rsidR="001B36C0" w:rsidRPr="00DF0A16">
        <w:t>potiče Vijeće i, u konačnici, Europsko vijeće da djeluju u skladu s njegovim prijedlogom o aktivaciji članka 48. UEU-a kako bi se uspostavila konvencija;</w:t>
      </w:r>
    </w:p>
    <w:p w:rsidR="00F10F26" w:rsidRPr="00F10F26" w:rsidRDefault="00F10F26" w:rsidP="001B36C0">
      <w:pPr>
        <w:pStyle w:val="NormalHanging12a"/>
      </w:pPr>
      <w:r w:rsidRPr="00F10F26">
        <w:t>30.</w:t>
      </w:r>
      <w:r w:rsidRPr="00F10F26">
        <w:tab/>
      </w:r>
      <w:r w:rsidRPr="00EA2694">
        <w:t>ističe potrebu za jačanjem povjerenja biračkog tijela u izborne postupke osiguravanjem da svi izbori budu slobodni i pošteni; u tom pogledu napominje da je OESS od 6. do 9. studenoga 2023. proveo misiju za procjenu potreba u četirima državama članicama kako bi razmotrio pripremu misije za promatranje europskih izbora; predlaže predsjedništvu Vijeća da potakne države članice da OESS-u pošalju poziv za promatranje europskih izbora i da u potpunosti iskoriste tu mogućnost;</w:t>
      </w:r>
    </w:p>
    <w:p w:rsidR="001B36C0" w:rsidRPr="00DF0A16" w:rsidRDefault="00795D8D" w:rsidP="001B36C0">
      <w:pPr>
        <w:pStyle w:val="NormalHanging12a"/>
      </w:pPr>
      <w:r>
        <w:t>31</w:t>
      </w:r>
      <w:r w:rsidR="001B36C0" w:rsidRPr="00DF0A16">
        <w:t>.</w:t>
      </w:r>
      <w:r w:rsidR="001B36C0" w:rsidRPr="00DF0A16">
        <w:tab/>
        <w:t>traži od svojeg Odbora za ustavna pitanja da ispita bi li se neke odredbe i preporuke iz ove Rezolucije mogle uključiti u Poslovnik Parlamenta;</w:t>
      </w:r>
    </w:p>
    <w:p w:rsidR="001B36C0" w:rsidRPr="00DF0A16" w:rsidRDefault="001B36C0" w:rsidP="001B36C0">
      <w:pPr>
        <w:pStyle w:val="NormalCenter12a"/>
      </w:pPr>
      <w:r w:rsidRPr="00DF0A16">
        <w:t>°</w:t>
      </w:r>
    </w:p>
    <w:p w:rsidR="001B36C0" w:rsidRPr="00DF0A16" w:rsidRDefault="001B36C0" w:rsidP="001B36C0">
      <w:pPr>
        <w:pStyle w:val="NormalCenter12a"/>
      </w:pPr>
      <w:r w:rsidRPr="00DF0A16">
        <w:t>°</w:t>
      </w:r>
      <w:r w:rsidRPr="00DF0A16">
        <w:tab/>
        <w:t>°</w:t>
      </w:r>
    </w:p>
    <w:p w:rsidR="001B36C0" w:rsidRPr="00DF0A16" w:rsidRDefault="00795D8D" w:rsidP="001B36C0">
      <w:pPr>
        <w:pStyle w:val="NormalHanging12a"/>
      </w:pPr>
      <w:r>
        <w:t>32</w:t>
      </w:r>
      <w:r w:rsidR="001B36C0" w:rsidRPr="00DF0A16">
        <w:t>.</w:t>
      </w:r>
      <w:r w:rsidR="001B36C0" w:rsidRPr="00DF0A16">
        <w:tab/>
        <w:t>nalaže svojoj predsjednici da ovu Rezoluciju proslijedi Vijeću i Komisiji.</w:t>
      </w:r>
    </w:p>
    <w:p w:rsidR="001B36C0" w:rsidRPr="00DF0A16" w:rsidRDefault="001B36C0" w:rsidP="001B36C0"/>
    <w:sectPr w:rsidR="001B36C0" w:rsidRPr="00DF0A16" w:rsidSect="00953DC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D66" w:rsidRPr="00953DC5" w:rsidRDefault="00FC3D66">
      <w:r w:rsidRPr="00953DC5">
        <w:separator/>
      </w:r>
    </w:p>
  </w:endnote>
  <w:endnote w:type="continuationSeparator" w:id="0">
    <w:p w:rsidR="00FC3D66" w:rsidRPr="00953DC5" w:rsidRDefault="00FC3D66">
      <w:r w:rsidRPr="00953D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D66" w:rsidRPr="00953DC5" w:rsidRDefault="00FC3D66">
      <w:r w:rsidRPr="00953DC5">
        <w:separator/>
      </w:r>
    </w:p>
  </w:footnote>
  <w:footnote w:type="continuationSeparator" w:id="0">
    <w:p w:rsidR="00FC3D66" w:rsidRPr="00953DC5" w:rsidRDefault="00FC3D66">
      <w:r w:rsidRPr="00953DC5">
        <w:continuationSeparator/>
      </w:r>
    </w:p>
  </w:footnote>
  <w:footnote w:id="1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Pr="009C3656">
        <w:rPr>
          <w:sz w:val="24"/>
          <w:lang w:val="hr-HR"/>
        </w:rPr>
        <w:t>SL L 329, 30.12.1993., str. 34.</w:t>
      </w:r>
    </w:p>
  </w:footnote>
  <w:footnote w:id="2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Pr="009C3656">
        <w:rPr>
          <w:sz w:val="24"/>
          <w:lang w:val="hr-HR"/>
        </w:rPr>
        <w:t>SL C 75, 26.2.2016</w:t>
      </w:r>
      <w:r w:rsidR="009C3656">
        <w:rPr>
          <w:sz w:val="24"/>
          <w:lang w:val="hr-HR"/>
        </w:rPr>
        <w:t>.</w:t>
      </w:r>
      <w:r w:rsidRPr="009C3656">
        <w:rPr>
          <w:sz w:val="24"/>
          <w:lang w:val="hr-HR"/>
        </w:rPr>
        <w:t>, str. 109.</w:t>
      </w:r>
    </w:p>
  </w:footnote>
  <w:footnote w:id="3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hyperlink r:id="rId1" w:history="1">
        <w:r w:rsidRPr="009C3656">
          <w:rPr>
            <w:sz w:val="24"/>
            <w:lang w:val="hr-HR"/>
          </w:rPr>
          <w:t>SL L 114 I, 4.5.2018., str. 1.</w:t>
        </w:r>
      </w:hyperlink>
    </w:p>
  </w:footnote>
  <w:footnote w:id="4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="009C3656">
        <w:rPr>
          <w:sz w:val="24"/>
          <w:lang w:val="hr-HR"/>
        </w:rPr>
        <w:t>SL L 178, 16.7.</w:t>
      </w:r>
      <w:r w:rsidRPr="009C3656">
        <w:rPr>
          <w:sz w:val="24"/>
          <w:lang w:val="hr-HR"/>
        </w:rPr>
        <w:t>2018., str. 1.</w:t>
      </w:r>
    </w:p>
  </w:footnote>
  <w:footnote w:id="5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hyperlink r:id="rId2" w:history="1">
        <w:r w:rsidRPr="009C3656">
          <w:rPr>
            <w:sz w:val="24"/>
            <w:lang w:val="hr-HR"/>
          </w:rPr>
          <w:t>SL C 425, 20.10.2021., str. 98.</w:t>
        </w:r>
      </w:hyperlink>
    </w:p>
  </w:footnote>
  <w:footnote w:id="6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Pr="009C3656">
        <w:rPr>
          <w:sz w:val="24"/>
          <w:lang w:val="hr-HR"/>
        </w:rPr>
        <w:t>SL C 465, 6.12.2022., str. 171.</w:t>
      </w:r>
    </w:p>
  </w:footnote>
  <w:footnote w:id="7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Pr="009C3656">
        <w:rPr>
          <w:sz w:val="24"/>
          <w:lang w:val="hr-HR"/>
        </w:rPr>
        <w:t>SL C 125, 5.4.2023</w:t>
      </w:r>
      <w:r w:rsidR="009C3656">
        <w:rPr>
          <w:sz w:val="24"/>
          <w:lang w:val="hr-HR"/>
        </w:rPr>
        <w:t>.</w:t>
      </w:r>
      <w:r w:rsidRPr="009C3656">
        <w:rPr>
          <w:sz w:val="24"/>
          <w:lang w:val="hr-HR"/>
        </w:rPr>
        <w:t>, str. 485.</w:t>
      </w:r>
    </w:p>
  </w:footnote>
  <w:footnote w:id="8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Pr="009C3656">
        <w:rPr>
          <w:sz w:val="24"/>
          <w:lang w:val="hr-HR"/>
        </w:rPr>
        <w:t>SL C 267, 28.7.2023., str. 36.</w:t>
      </w:r>
    </w:p>
  </w:footnote>
  <w:footnote w:id="9">
    <w:p w:rsidR="001E687A" w:rsidRPr="009F372F" w:rsidRDefault="001E687A" w:rsidP="001E687A">
      <w:pPr>
        <w:pStyle w:val="FootnoteText"/>
        <w:ind w:left="567" w:hanging="567"/>
        <w:rPr>
          <w:sz w:val="24"/>
          <w:szCs w:val="24"/>
          <w:lang w:val="hr-HR"/>
        </w:rPr>
      </w:pPr>
      <w:r w:rsidRPr="009F372F">
        <w:rPr>
          <w:rStyle w:val="FootnoteReference"/>
          <w:sz w:val="24"/>
          <w:szCs w:val="24"/>
          <w:lang w:val="hr-HR"/>
        </w:rPr>
        <w:footnoteRef/>
      </w:r>
      <w:r w:rsidRPr="009F372F">
        <w:rPr>
          <w:sz w:val="24"/>
          <w:szCs w:val="24"/>
          <w:lang w:val="hr-HR"/>
        </w:rPr>
        <w:tab/>
        <w:t>Usvojeni tekstovi, P9_TA(2023)0330.</w:t>
      </w:r>
    </w:p>
  </w:footnote>
  <w:footnote w:id="10">
    <w:p w:rsidR="001B36C0" w:rsidRPr="009C3656" w:rsidRDefault="001B36C0" w:rsidP="00953DC5">
      <w:pPr>
        <w:pStyle w:val="FootnoteText"/>
        <w:ind w:left="567" w:hanging="567"/>
        <w:rPr>
          <w:sz w:val="24"/>
          <w:lang w:val="hr-HR"/>
        </w:rPr>
      </w:pPr>
      <w:r w:rsidRPr="009C3656">
        <w:rPr>
          <w:rStyle w:val="FootnoteReference"/>
          <w:sz w:val="24"/>
          <w:lang w:val="hr-HR"/>
        </w:rPr>
        <w:footnoteRef/>
      </w:r>
      <w:r w:rsidR="00953DC5" w:rsidRPr="009C3656">
        <w:rPr>
          <w:sz w:val="24"/>
          <w:lang w:val="hr-HR"/>
        </w:rPr>
        <w:t xml:space="preserve"> </w:t>
      </w:r>
      <w:r w:rsidR="00953DC5" w:rsidRPr="009C3656">
        <w:rPr>
          <w:sz w:val="24"/>
          <w:lang w:val="hr-HR"/>
        </w:rPr>
        <w:tab/>
      </w:r>
      <w:r w:rsidRPr="009C3656">
        <w:rPr>
          <w:sz w:val="24"/>
          <w:lang w:val="hr-HR"/>
        </w:rPr>
        <w:t>SL L 238, 27.9.2023., str. 114.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2/2023"/>
    <w:docVar w:name="dvlangue" w:val="HR"/>
    <w:docVar w:name="dvnumam" w:val="0"/>
    <w:docVar w:name="dvpe" w:val="751.801"/>
    <w:docVar w:name="dvrapporteur" w:val="Izvjestitelji: "/>
    <w:docVar w:name="dvtitre" w:val="Rezolucija Europskog parlamenta od .... 2023. o europskim izborima 2024.(2023/2016(INI))"/>
  </w:docVars>
  <w:rsids>
    <w:rsidRoot w:val="00FC3D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6C0"/>
    <w:rsid w:val="001E687A"/>
    <w:rsid w:val="001F32AE"/>
    <w:rsid w:val="002745E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D8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DC5"/>
    <w:rsid w:val="00981893"/>
    <w:rsid w:val="009C3656"/>
    <w:rsid w:val="00A1687D"/>
    <w:rsid w:val="00A43E52"/>
    <w:rsid w:val="00A4678D"/>
    <w:rsid w:val="00A778C7"/>
    <w:rsid w:val="00A859C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FA4"/>
    <w:rsid w:val="00CF071A"/>
    <w:rsid w:val="00D058B8"/>
    <w:rsid w:val="00D56C11"/>
    <w:rsid w:val="00D834A0"/>
    <w:rsid w:val="00D872DF"/>
    <w:rsid w:val="00D91E21"/>
    <w:rsid w:val="00DA7FCD"/>
    <w:rsid w:val="00DF0A16"/>
    <w:rsid w:val="00E365E1"/>
    <w:rsid w:val="00E820A4"/>
    <w:rsid w:val="00EA2694"/>
    <w:rsid w:val="00EB006A"/>
    <w:rsid w:val="00EB4772"/>
    <w:rsid w:val="00ED169E"/>
    <w:rsid w:val="00ED4235"/>
    <w:rsid w:val="00F04346"/>
    <w:rsid w:val="00F075DC"/>
    <w:rsid w:val="00F10F26"/>
    <w:rsid w:val="00F149E9"/>
    <w:rsid w:val="00F5134D"/>
    <w:rsid w:val="00F74202"/>
    <w:rsid w:val="00F87713"/>
    <w:rsid w:val="00FB4360"/>
    <w:rsid w:val="00FC3D6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C62C7"/>
  <w15:chartTrackingRefBased/>
  <w15:docId w15:val="{C3A0BB31-3819-4AE6-82AF-E6090730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36C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B36C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B36C0"/>
    <w:pPr>
      <w:spacing w:after="240"/>
      <w:jc w:val="center"/>
    </w:pPr>
  </w:style>
  <w:style w:type="character" w:customStyle="1" w:styleId="BoldItalic">
    <w:name w:val="BoldItalic"/>
    <w:uiPriority w:val="1"/>
    <w:rsid w:val="001B36C0"/>
    <w:rPr>
      <w:b/>
      <w:i/>
      <w:u w:val="none"/>
    </w:rPr>
  </w:style>
  <w:style w:type="character" w:customStyle="1" w:styleId="Italic">
    <w:name w:val="Italic"/>
    <w:uiPriority w:val="1"/>
    <w:rsid w:val="001B36C0"/>
    <w:rPr>
      <w:i/>
    </w:rPr>
  </w:style>
  <w:style w:type="paragraph" w:customStyle="1" w:styleId="Normal12a24b">
    <w:name w:val="Normal12a24b"/>
    <w:basedOn w:val="Normal"/>
    <w:rsid w:val="001B36C0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B36C0"/>
    <w:rPr>
      <w:snapToGrid w:val="0"/>
      <w:sz w:val="24"/>
      <w:lang w:val="hr-HR" w:eastAsia="en-US"/>
    </w:rPr>
  </w:style>
  <w:style w:type="character" w:customStyle="1" w:styleId="Normal6Char">
    <w:name w:val="Normal6 Char"/>
    <w:link w:val="Normal6"/>
    <w:locked/>
    <w:rsid w:val="001B36C0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1B36C0"/>
    <w:pPr>
      <w:spacing w:after="120"/>
    </w:pPr>
  </w:style>
  <w:style w:type="paragraph" w:styleId="BalloonText">
    <w:name w:val="Balloon Text"/>
    <w:basedOn w:val="Normal"/>
    <w:link w:val="BalloonTextChar"/>
    <w:rsid w:val="002745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45EF"/>
    <w:rPr>
      <w:rFonts w:ascii="Segoe UI" w:hAnsi="Segoe UI" w:cs="Segoe UI"/>
      <w:sz w:val="18"/>
      <w:szCs w:val="18"/>
      <w:lang w:val="hr-HR"/>
    </w:rPr>
  </w:style>
  <w:style w:type="paragraph" w:customStyle="1" w:styleId="Normal6a">
    <w:name w:val="Normal6a"/>
    <w:basedOn w:val="Normal"/>
    <w:rsid w:val="00F10F26"/>
    <w:pPr>
      <w:spacing w:after="12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HR/TXT/HTML/?uri=CELEX:52020IP0327" TargetMode="External"/><Relationship Id="rId1" Type="http://schemas.openxmlformats.org/officeDocument/2006/relationships/hyperlink" Target="https://eur-lex.europa.eu/legal-content/HR/TXT/HTML/?uri=CELEX:32018R0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BC3D7-4B8E-47B7-B030-61FF3D47B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2702</Words>
  <Characters>16669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2024-04-15T12:13:00Z</dcterms:created>
  <dcterms:modified xsi:type="dcterms:W3CDTF">2024-04-15T12:13:00Z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P9_TA(2023)0455_</vt:lpwstr>
  </property>
  <property fmtid="{D5CDD505-2E9C-101B-9397-08002B2CF9AE}" pid="4" name="&lt;Type&gt;">
    <vt:lpwstr>RR</vt:lpwstr>
  </property>
</Properties>
</file>