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5F787C" w:rsidTr="0010095E">
        <w:trPr>
          <w:trHeight w:hRule="exact" w:val="1418"/>
        </w:trPr>
        <w:tc>
          <w:tcPr>
            <w:tcW w:w="6804" w:type="dxa"/>
            <w:shd w:val="clear" w:color="auto" w:fill="auto"/>
            <w:vAlign w:val="center"/>
          </w:tcPr>
          <w:p w:rsidR="00751A4A" w:rsidRPr="005F787C" w:rsidRDefault="001B13FE" w:rsidP="0010095E">
            <w:pPr>
              <w:pStyle w:val="EPName"/>
            </w:pPr>
            <w:r w:rsidRPr="005F787C">
              <w:t>Europos Parlamentas</w:t>
            </w:r>
          </w:p>
          <w:p w:rsidR="00751A4A" w:rsidRPr="005F787C" w:rsidRDefault="00817416" w:rsidP="00756632">
            <w:pPr>
              <w:pStyle w:val="EPTerm"/>
              <w:rPr>
                <w:rStyle w:val="HideTWBExt"/>
                <w:noProof w:val="0"/>
                <w:vanish w:val="0"/>
                <w:color w:val="auto"/>
              </w:rPr>
            </w:pPr>
            <w:r w:rsidRPr="005F787C">
              <w:t>2019-2024</w:t>
            </w:r>
          </w:p>
        </w:tc>
        <w:tc>
          <w:tcPr>
            <w:tcW w:w="2268" w:type="dxa"/>
            <w:shd w:val="clear" w:color="auto" w:fill="auto"/>
          </w:tcPr>
          <w:p w:rsidR="00751A4A" w:rsidRPr="005F787C" w:rsidRDefault="00187494" w:rsidP="0010095E">
            <w:pPr>
              <w:pStyle w:val="EPLogo"/>
            </w:pPr>
            <w:r w:rsidRPr="005F787C">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5F787C" w:rsidRDefault="00D058B8" w:rsidP="004C5D52">
      <w:pPr>
        <w:pStyle w:val="LineTop"/>
      </w:pPr>
    </w:p>
    <w:p w:rsidR="00680577" w:rsidRPr="005F787C" w:rsidRDefault="001B13FE" w:rsidP="00680577">
      <w:pPr>
        <w:pStyle w:val="EPBodyTA1"/>
      </w:pPr>
      <w:r w:rsidRPr="005F787C">
        <w:t>PRIIMTI TEKSTAI</w:t>
      </w:r>
    </w:p>
    <w:p w:rsidR="00D058B8" w:rsidRPr="005F787C" w:rsidRDefault="00D058B8" w:rsidP="00D058B8">
      <w:pPr>
        <w:pStyle w:val="LineBottom"/>
      </w:pPr>
    </w:p>
    <w:p w:rsidR="001B13FE" w:rsidRPr="005F787C" w:rsidRDefault="001B13FE" w:rsidP="001B13FE">
      <w:pPr>
        <w:pStyle w:val="ATHeading1"/>
      </w:pPr>
      <w:bookmarkStart w:id="0" w:name="TANumber"/>
      <w:r w:rsidRPr="005F787C">
        <w:t>P9_TA(2023)0</w:t>
      </w:r>
      <w:r w:rsidR="00250ECE">
        <w:t>455</w:t>
      </w:r>
      <w:bookmarkEnd w:id="0"/>
    </w:p>
    <w:p w:rsidR="001B13FE" w:rsidRPr="005F787C" w:rsidRDefault="00AC3156" w:rsidP="001B13FE">
      <w:pPr>
        <w:pStyle w:val="ATHeading2"/>
      </w:pPr>
      <w:bookmarkStart w:id="1" w:name="title"/>
      <w:r w:rsidRPr="00AC3156">
        <w:t>2024 m. Europos Parlamento rinkimai</w:t>
      </w:r>
      <w:bookmarkEnd w:id="1"/>
    </w:p>
    <w:p w:rsidR="001B13FE" w:rsidRPr="005F787C" w:rsidRDefault="001B13FE" w:rsidP="001B13FE">
      <w:pPr>
        <w:rPr>
          <w:i/>
          <w:vanish/>
        </w:rPr>
      </w:pPr>
      <w:r w:rsidRPr="005F787C">
        <w:rPr>
          <w:i/>
        </w:rPr>
        <w:fldChar w:fldCharType="begin"/>
      </w:r>
      <w:r w:rsidRPr="005F787C">
        <w:rPr>
          <w:i/>
        </w:rPr>
        <w:instrText xml:space="preserve"> TC"(</w:instrText>
      </w:r>
      <w:bookmarkStart w:id="2" w:name="DocNumber"/>
      <w:r w:rsidRPr="005F787C">
        <w:rPr>
          <w:i/>
        </w:rPr>
        <w:instrText>A9-0332/2023</w:instrText>
      </w:r>
      <w:bookmarkEnd w:id="2"/>
      <w:r w:rsidRPr="005F787C">
        <w:rPr>
          <w:i/>
        </w:rPr>
        <w:instrText xml:space="preserve"> - Pranešėjai: </w:instrText>
      </w:r>
      <w:proofErr w:type="spellStart"/>
      <w:r w:rsidRPr="005F787C">
        <w:rPr>
          <w:i/>
        </w:rPr>
        <w:instrText>Sven</w:instrText>
      </w:r>
      <w:proofErr w:type="spellEnd"/>
      <w:r w:rsidRPr="005F787C">
        <w:rPr>
          <w:i/>
        </w:rPr>
        <w:instrText xml:space="preserve"> Simon, </w:instrText>
      </w:r>
      <w:proofErr w:type="spellStart"/>
      <w:r w:rsidRPr="005F787C">
        <w:rPr>
          <w:i/>
        </w:rPr>
        <w:instrText>Domènec</w:instrText>
      </w:r>
      <w:proofErr w:type="spellEnd"/>
      <w:r w:rsidRPr="005F787C">
        <w:rPr>
          <w:i/>
        </w:rPr>
        <w:instrText xml:space="preserve"> </w:instrText>
      </w:r>
      <w:proofErr w:type="spellStart"/>
      <w:r w:rsidRPr="005F787C">
        <w:rPr>
          <w:i/>
        </w:rPr>
        <w:instrText>Ruiz</w:instrText>
      </w:r>
      <w:proofErr w:type="spellEnd"/>
      <w:r w:rsidRPr="005F787C">
        <w:rPr>
          <w:i/>
        </w:rPr>
        <w:instrText xml:space="preserve"> </w:instrText>
      </w:r>
      <w:proofErr w:type="spellStart"/>
      <w:r w:rsidRPr="005F787C">
        <w:rPr>
          <w:i/>
        </w:rPr>
        <w:instrText>Devesa</w:instrText>
      </w:r>
      <w:proofErr w:type="spellEnd"/>
      <w:r w:rsidRPr="005F787C">
        <w:rPr>
          <w:i/>
        </w:rPr>
        <w:instrText xml:space="preserve">)"\l3 \n&gt; \* MERGEFORMAT </w:instrText>
      </w:r>
      <w:r w:rsidRPr="005F787C">
        <w:rPr>
          <w:i/>
        </w:rPr>
        <w:fldChar w:fldCharType="end"/>
      </w:r>
    </w:p>
    <w:p w:rsidR="001B13FE" w:rsidRPr="005F787C" w:rsidRDefault="001B13FE" w:rsidP="001B13FE">
      <w:pPr>
        <w:rPr>
          <w:vanish/>
        </w:rPr>
      </w:pPr>
      <w:bookmarkStart w:id="3" w:name="Commission"/>
      <w:r w:rsidRPr="005F787C">
        <w:rPr>
          <w:vanish/>
        </w:rPr>
        <w:t>Konstitucinių reikalų komitetas</w:t>
      </w:r>
      <w:bookmarkEnd w:id="3"/>
    </w:p>
    <w:p w:rsidR="001B13FE" w:rsidRPr="005F787C" w:rsidRDefault="001B13FE" w:rsidP="001B13FE">
      <w:pPr>
        <w:rPr>
          <w:vanish/>
        </w:rPr>
      </w:pPr>
      <w:bookmarkStart w:id="4" w:name="PE"/>
      <w:r w:rsidRPr="005F787C">
        <w:rPr>
          <w:vanish/>
        </w:rPr>
        <w:t>PE751.801</w:t>
      </w:r>
      <w:bookmarkEnd w:id="4"/>
    </w:p>
    <w:p w:rsidR="001B13FE" w:rsidRPr="005F787C" w:rsidRDefault="00AC3156" w:rsidP="00250ECE">
      <w:pPr>
        <w:pStyle w:val="ATHeading3"/>
      </w:pPr>
      <w:bookmarkStart w:id="5" w:name="Sujet"/>
      <w:r>
        <w:t xml:space="preserve">2023 m. </w:t>
      </w:r>
      <w:r w:rsidR="005527EA">
        <w:t>gruodžio</w:t>
      </w:r>
      <w:r>
        <w:t xml:space="preserve"> </w:t>
      </w:r>
      <w:r w:rsidR="00532F41">
        <w:t>1</w:t>
      </w:r>
      <w:r w:rsidR="00250ECE">
        <w:t>2</w:t>
      </w:r>
      <w:r>
        <w:t xml:space="preserve"> d. </w:t>
      </w:r>
      <w:r w:rsidR="001B13FE" w:rsidRPr="005F787C">
        <w:t>Europos Parlamento rezoliucija dėl 2024 m. Europos Parlamento rinkimų</w:t>
      </w:r>
      <w:bookmarkEnd w:id="5"/>
      <w:r w:rsidR="001B13FE" w:rsidRPr="005F787C">
        <w:t xml:space="preserve"> </w:t>
      </w:r>
      <w:bookmarkStart w:id="6" w:name="References"/>
      <w:r w:rsidR="001B13FE" w:rsidRPr="005F787C">
        <w:t>(2023/2016(INI))</w:t>
      </w:r>
      <w:bookmarkEnd w:id="6"/>
    </w:p>
    <w:p w:rsidR="00F37FDC" w:rsidRPr="005F787C" w:rsidRDefault="00F37FDC" w:rsidP="00F37FDC">
      <w:pPr>
        <w:pStyle w:val="EPComma"/>
      </w:pPr>
      <w:bookmarkStart w:id="7" w:name="TextBodyBegin"/>
      <w:bookmarkEnd w:id="7"/>
      <w:r w:rsidRPr="005F787C">
        <w:rPr>
          <w:rStyle w:val="Italic"/>
        </w:rPr>
        <w:t>Europos Parlamentas</w:t>
      </w:r>
      <w:r w:rsidRPr="005F787C">
        <w:t>,</w:t>
      </w:r>
    </w:p>
    <w:p w:rsidR="00F37FDC" w:rsidRPr="005F787C" w:rsidRDefault="00F37FDC" w:rsidP="00F37FDC">
      <w:pPr>
        <w:pStyle w:val="NormalHanging12a"/>
      </w:pPr>
      <w:r w:rsidRPr="005F787C">
        <w:t>–</w:t>
      </w:r>
      <w:r w:rsidRPr="005F787C">
        <w:tab/>
        <w:t>atsižvelgdamas į Europos Sąjungos sutartį (ES sutartis), ypač į jos 10 ir14 straipsnius ir 17 straipsnio 7 dalį,</w:t>
      </w:r>
    </w:p>
    <w:p w:rsidR="00396E99" w:rsidRDefault="00F37FDC" w:rsidP="00F37FDC">
      <w:pPr>
        <w:pStyle w:val="NormalHanging12a"/>
      </w:pPr>
      <w:r w:rsidRPr="005F787C">
        <w:t>–</w:t>
      </w:r>
      <w:r w:rsidRPr="005F787C">
        <w:tab/>
        <w:t>atsižvelgdamas į Sutartį dėl Europos Sąjungos veikimo (SESV), ypač į jos 20 ir 22 straipsnius,</w:t>
      </w:r>
    </w:p>
    <w:p w:rsidR="00F37FDC" w:rsidRPr="005F787C" w:rsidRDefault="00F37FDC" w:rsidP="00F37FDC">
      <w:pPr>
        <w:pStyle w:val="NormalHanging12a"/>
      </w:pPr>
      <w:r w:rsidRPr="005F787C">
        <w:t>–</w:t>
      </w:r>
      <w:r w:rsidRPr="005F787C">
        <w:tab/>
        <w:t>atsižvelgdamas į 1993 m. gruodžio 6 d. Tarybos direktyvą 93/109/EB, nustatančią išsamias priemones Sąjungos piliečiams, gyvenantiems valstybėje narėje ir nesantiems šios valstybės piliečiais, naudotis balsavimo teise ir būti kandidatais per Europos Parlamento rinkimus</w:t>
      </w:r>
      <w:r w:rsidRPr="005F787C">
        <w:rPr>
          <w:rStyle w:val="FootnoteReference"/>
        </w:rPr>
        <w:footnoteReference w:id="1"/>
      </w:r>
      <w:r w:rsidRPr="005F787C">
        <w:t>,</w:t>
      </w:r>
    </w:p>
    <w:p w:rsidR="00F37FDC" w:rsidRPr="005F787C" w:rsidRDefault="00F37FDC" w:rsidP="00F37FDC">
      <w:pPr>
        <w:pStyle w:val="NormalHanging12a"/>
      </w:pPr>
      <w:r w:rsidRPr="005F787C">
        <w:t>–</w:t>
      </w:r>
      <w:r w:rsidRPr="005F787C">
        <w:tab/>
        <w:t>atsižvelgdamas į Konstitucinių reikalų komiteto 2011 m. balandžio 28 d. pranešimą dėl pasiūlymo dėl 1976 m. rugsėjo 20 d. Akto dėl Europos Parlamento narių rinkimų remiantis tiesiogine visuotine rinkimų teise dalinio pakeitimo,</w:t>
      </w:r>
    </w:p>
    <w:p w:rsidR="00F37FDC" w:rsidRPr="005F787C" w:rsidRDefault="00F37FDC" w:rsidP="00F37FDC">
      <w:pPr>
        <w:pStyle w:val="NormalHanging12a"/>
      </w:pPr>
      <w:r w:rsidRPr="005F787C">
        <w:t>–</w:t>
      </w:r>
      <w:r w:rsidRPr="005F787C">
        <w:tab/>
        <w:t>atsižvelgdamas į 2013 m. liepos 4 d. rezoliuciją dėl geresnio 2014 m. Europos Parlamento rinkimų organizavimo</w:t>
      </w:r>
      <w:r w:rsidRPr="005F787C">
        <w:rPr>
          <w:rStyle w:val="FootnoteReference"/>
        </w:rPr>
        <w:footnoteReference w:id="2"/>
      </w:r>
      <w:r w:rsidRPr="005F787C">
        <w:t>,</w:t>
      </w:r>
    </w:p>
    <w:p w:rsidR="00F37FDC" w:rsidRPr="005F787C" w:rsidRDefault="00F37FDC" w:rsidP="00F37FDC">
      <w:pPr>
        <w:pStyle w:val="NormalHanging12a"/>
      </w:pPr>
      <w:r w:rsidRPr="005F787C">
        <w:t>–</w:t>
      </w:r>
      <w:r w:rsidRPr="005F787C">
        <w:tab/>
        <w:t>atsižvelgdamas į 2018 m. gegužės 3 d. Europos Parlamento ir Tarybos reglamentą (ES, Euratomas) 2018/673, kuriuo iš dalies keičiamas Europos Parlamento ir Tarybos reglamentas (ES, Euratomas) Nr. 1141/2014 dėl Europos politinių partijų ir Europos politinių fondų statuto ir finansavimo</w:t>
      </w:r>
      <w:r w:rsidRPr="005F787C">
        <w:rPr>
          <w:rStyle w:val="FootnoteReference"/>
        </w:rPr>
        <w:footnoteReference w:id="3"/>
      </w:r>
      <w:r w:rsidRPr="005F787C">
        <w:t>,</w:t>
      </w:r>
    </w:p>
    <w:p w:rsidR="00F37FDC" w:rsidRPr="005F787C" w:rsidRDefault="00F37FDC" w:rsidP="00F37FDC">
      <w:pPr>
        <w:pStyle w:val="NormalHanging12a"/>
      </w:pPr>
      <w:r w:rsidRPr="005F787C">
        <w:t>–</w:t>
      </w:r>
      <w:r w:rsidRPr="005F787C">
        <w:tab/>
        <w:t xml:space="preserve">atsižvelgdamas į 2018 m. liepos 13 d. Tarybos sprendimą (ES, Euratomas) 2018/994, kuriuo iš dalies keičiamas prie 1976 m. rugsėjo 20 d. Tarybos sprendimo 76/787/EAPB, </w:t>
      </w:r>
      <w:r w:rsidRPr="005F787C">
        <w:lastRenderedPageBreak/>
        <w:t>EEB, Euratomas pridėtas Aktas dėl Europos Parlamento narių rinkimų remiantis tiesiogine visuotine rinkimų teise</w:t>
      </w:r>
      <w:r w:rsidRPr="005F787C">
        <w:rPr>
          <w:rStyle w:val="FootnoteReference"/>
        </w:rPr>
        <w:footnoteReference w:id="4"/>
      </w:r>
      <w:r w:rsidRPr="005F787C">
        <w:t>,</w:t>
      </w:r>
    </w:p>
    <w:p w:rsidR="00F37FDC" w:rsidRPr="005F787C" w:rsidRDefault="00F37FDC" w:rsidP="00F37FDC">
      <w:pPr>
        <w:pStyle w:val="NormalHanging12a"/>
      </w:pPr>
      <w:r w:rsidRPr="005F787C">
        <w:t>–</w:t>
      </w:r>
      <w:r w:rsidRPr="005F787C">
        <w:tab/>
        <w:t>atsižvelgdamas į savo 2020 m. lapkričio 26 d. rezoliuciją „EP rinkimų rezultatų apžvalga“</w:t>
      </w:r>
      <w:r w:rsidRPr="005F787C">
        <w:rPr>
          <w:rStyle w:val="FootnoteReference"/>
        </w:rPr>
        <w:footnoteReference w:id="5"/>
      </w:r>
      <w:r w:rsidRPr="005F787C">
        <w:t>,</w:t>
      </w:r>
    </w:p>
    <w:p w:rsidR="00F37FDC" w:rsidRPr="005F787C" w:rsidRDefault="00F37FDC" w:rsidP="00F37FDC">
      <w:pPr>
        <w:pStyle w:val="NormalHanging12a"/>
      </w:pPr>
      <w:r w:rsidRPr="005F787C">
        <w:t>–</w:t>
      </w:r>
      <w:r w:rsidRPr="005F787C">
        <w:tab/>
        <w:t>atsižvelgdamas į 2020 m. gruodžio 3 d. Komisijos komunikatą dėl Europos demokratijos veiksmų plano (COM(2020)0790),</w:t>
      </w:r>
    </w:p>
    <w:p w:rsidR="00F37FDC" w:rsidRPr="005F787C" w:rsidRDefault="00F37FDC" w:rsidP="00F37FDC">
      <w:pPr>
        <w:pStyle w:val="NormalHanging12a"/>
      </w:pPr>
      <w:r w:rsidRPr="005F787C">
        <w:t>–</w:t>
      </w:r>
      <w:r w:rsidRPr="005F787C">
        <w:tab/>
        <w:t>atsižvelgdamas į savo 2022 m. gegužės 3 d. poziciją dėl pasiūlymo dėl Tarybos reglamento dėl Europos Parlamento narių rinkimų remiantis tiesiogine visuotine rinkimų teise, kuriuo panaikinamas Tarybos sprendimas 76/787/EAPB, EEB, Euratomas, ir prie to sprendimo pridėto Akto dėl Europos Parlamento narių rinkimų remiantis tiesiogine visuotine rinkimų teise</w:t>
      </w:r>
      <w:r w:rsidRPr="005F787C">
        <w:rPr>
          <w:rStyle w:val="FootnoteReference"/>
        </w:rPr>
        <w:footnoteReference w:id="6"/>
      </w:r>
      <w:r w:rsidRPr="005F787C">
        <w:t>,</w:t>
      </w:r>
    </w:p>
    <w:p w:rsidR="00F37FDC" w:rsidRPr="005F787C" w:rsidRDefault="00F37FDC" w:rsidP="00F37FDC">
      <w:pPr>
        <w:pStyle w:val="NormalHanging12a"/>
      </w:pPr>
      <w:r w:rsidRPr="005F787C">
        <w:t>–</w:t>
      </w:r>
      <w:r w:rsidRPr="005F787C">
        <w:tab/>
        <w:t>atsižvelgdamas į 2022 m. rugsėjo 15 d. Parlamento priimtus pakeitimus dėl pasiūlymo dėl Europos Parlamento ir Tarybos reglamento dėl Europos politinių partijų ir Europos politinių fondų statuto ir finansavimo</w:t>
      </w:r>
      <w:r w:rsidRPr="005F787C">
        <w:rPr>
          <w:rStyle w:val="FootnoteReference"/>
        </w:rPr>
        <w:footnoteReference w:id="7"/>
      </w:r>
      <w:r w:rsidRPr="005F787C">
        <w:t>,</w:t>
      </w:r>
    </w:p>
    <w:p w:rsidR="00F37FDC" w:rsidRPr="005F787C" w:rsidRDefault="00F37FDC" w:rsidP="00F37FDC">
      <w:pPr>
        <w:pStyle w:val="NormalHanging12a"/>
      </w:pPr>
      <w:r w:rsidRPr="005F787C">
        <w:t>–</w:t>
      </w:r>
      <w:r w:rsidRPr="005F787C">
        <w:tab/>
        <w:t>atsižvelgdamas į 2023 m. vasario 2 d. Parlamento priimtus pakeitimus dėl pasiūlymo dėl Europos Parlamento ir Tarybos reglamento dėl politinės reklamos skaidrumo ir atrankiojo adresavimo</w:t>
      </w:r>
      <w:r w:rsidRPr="005F787C">
        <w:rPr>
          <w:rStyle w:val="FootnoteReference"/>
        </w:rPr>
        <w:footnoteReference w:id="8"/>
      </w:r>
      <w:r w:rsidRPr="005F787C">
        <w:t>,</w:t>
      </w:r>
    </w:p>
    <w:p w:rsidR="0006420B" w:rsidRPr="00396E99" w:rsidRDefault="0006420B" w:rsidP="0006420B">
      <w:pPr>
        <w:pStyle w:val="NormalHanging12a"/>
      </w:pPr>
      <w:r w:rsidRPr="007529C7">
        <w:rPr>
          <w:b/>
          <w:i/>
        </w:rPr>
        <w:t>–</w:t>
      </w:r>
      <w:r w:rsidRPr="007529C7">
        <w:tab/>
      </w:r>
      <w:r w:rsidRPr="00C129C4">
        <w:t>atsižvelgdamas į savo 2023 m. rugsėjo 14 d. rezoliuciją dėl parlamentarizmo, Europos Sąjungos pilietybės ir demokratijos</w:t>
      </w:r>
      <w:r w:rsidRPr="00C129C4">
        <w:rPr>
          <w:rStyle w:val="FootnoteReference"/>
        </w:rPr>
        <w:footnoteReference w:id="9"/>
      </w:r>
      <w:r w:rsidRPr="00C129C4">
        <w:t>,</w:t>
      </w:r>
    </w:p>
    <w:p w:rsidR="00F37FDC" w:rsidRPr="005F787C" w:rsidRDefault="00F37FDC" w:rsidP="00F37FDC">
      <w:pPr>
        <w:pStyle w:val="NormalHanging12a"/>
      </w:pPr>
      <w:r w:rsidRPr="005F787C">
        <w:t>–</w:t>
      </w:r>
      <w:r w:rsidRPr="005F787C">
        <w:tab/>
        <w:t>atsižvelgdamas į 2023 m. rugsėjo 22 d. Europos Vadovų Tarybos sprendimą (ES) 2023/2061, kuriuo nustatoma Europos Parlamento sudėtis</w:t>
      </w:r>
      <w:r w:rsidRPr="005F787C">
        <w:rPr>
          <w:rStyle w:val="FootnoteReference"/>
        </w:rPr>
        <w:footnoteReference w:id="10"/>
      </w:r>
      <w:r w:rsidRPr="005F787C">
        <w:t>,</w:t>
      </w:r>
    </w:p>
    <w:p w:rsidR="00F37FDC" w:rsidRDefault="00F37FDC" w:rsidP="00F37FDC">
      <w:pPr>
        <w:pStyle w:val="NormalHanging12a"/>
      </w:pPr>
      <w:r w:rsidRPr="005F787C">
        <w:t>–</w:t>
      </w:r>
      <w:r w:rsidRPr="005F787C">
        <w:tab/>
        <w:t>atsižvelgdamas į Darbo tvarkos taisyklių 54 straipsnį,</w:t>
      </w:r>
    </w:p>
    <w:p w:rsidR="00F37FDC" w:rsidRPr="005F787C" w:rsidRDefault="00F37FDC" w:rsidP="00F37FDC">
      <w:pPr>
        <w:pStyle w:val="NormalHanging12a"/>
      </w:pPr>
      <w:r w:rsidRPr="005F787C">
        <w:t>–</w:t>
      </w:r>
      <w:r w:rsidRPr="005F787C">
        <w:tab/>
        <w:t>atsižvelgdamas į Konstitucinių reikalų komiteto pranešimą (A9-0332/2023),</w:t>
      </w:r>
    </w:p>
    <w:p w:rsidR="00F37FDC" w:rsidRPr="005F787C" w:rsidRDefault="00F37FDC" w:rsidP="00F37FDC">
      <w:pPr>
        <w:pStyle w:val="NormalHanging12a"/>
      </w:pPr>
      <w:r w:rsidRPr="005F787C">
        <w:t>A.</w:t>
      </w:r>
      <w:r w:rsidRPr="005F787C">
        <w:tab/>
        <w:t>kadangi per 2019 m. Europos Parlamento rinkimus nustatytas didžiausias rinkėjų aktyvumas bent per pastaruosius 20 metų, t. y. 50,66 proc. rinkėjų (palyginti su 2014 m., padidėjo aštuoniais procentiniais punktais), ir tai yra teigiamas ženklas, kad ES piliečiai vis labiau domisi pokyčiais ES lygmeniu ir kad jie mano, jog ES teisės aktai daro poveikį jų kasdienybei; kadangi 19 valstybių narių pranešė apie didėjantį nacionalinį rinkėjų aktyvumą, t. y. palyginti su 2014 m., jis gerokai išaugo Lenkijoje, Rumunijoje, Ispanijoje, Austrijoje, Vengrijoje, Vokietijoje, Slovakijoje ir Čekijoje;</w:t>
      </w:r>
    </w:p>
    <w:p w:rsidR="00F37FDC" w:rsidRPr="005F787C" w:rsidRDefault="00F37FDC" w:rsidP="00F37FDC">
      <w:pPr>
        <w:pStyle w:val="NormalHanging12a"/>
      </w:pPr>
      <w:r w:rsidRPr="005F787C">
        <w:t>B.</w:t>
      </w:r>
      <w:r w:rsidRPr="005F787C">
        <w:tab/>
        <w:t xml:space="preserve">kadangi į 2018 m. Tarybos sprendimą, kuriuo iš dalies keičiamas Aktas dėl Europos Parlamento narių rinkimų remiantis tiesiogine visuotine rinkimų teise, įtraukti tam tikri patobulinimai, pvz., Europos Parlamento rinkimų biuleteniuose pridėti Europos politinių partijų logotipai; kadangi jis dar turi būti ratifikuotas visose valstybėse narėse; </w:t>
      </w:r>
      <w:r w:rsidRPr="005F787C">
        <w:lastRenderedPageBreak/>
        <w:t xml:space="preserve">kadangi </w:t>
      </w:r>
      <w:r w:rsidR="00AC3156">
        <w:t>pasiūlytas</w:t>
      </w:r>
      <w:r w:rsidR="00AC3156" w:rsidRPr="005F787C">
        <w:t xml:space="preserve"> </w:t>
      </w:r>
      <w:r w:rsidRPr="005F787C">
        <w:t>Europos Sąjungos rinkimų teisės akt</w:t>
      </w:r>
      <w:r w:rsidR="00AC3156">
        <w:t xml:space="preserve">as, </w:t>
      </w:r>
      <w:r w:rsidR="00AC3156" w:rsidRPr="005F787C">
        <w:t>Europos Parlamento</w:t>
      </w:r>
      <w:r w:rsidR="00AC3156">
        <w:t xml:space="preserve"> priimtas</w:t>
      </w:r>
      <w:r w:rsidRPr="005F787C">
        <w:t xml:space="preserve"> </w:t>
      </w:r>
      <w:r w:rsidR="00AC3156" w:rsidRPr="005F787C">
        <w:t>2022 m. gegužės 3 d.</w:t>
      </w:r>
      <w:r w:rsidR="00AC3156">
        <w:t>,</w:t>
      </w:r>
      <w:r w:rsidR="00AC3156" w:rsidRPr="005F787C">
        <w:t xml:space="preserve"> </w:t>
      </w:r>
      <w:r w:rsidR="00AC3156">
        <w:t xml:space="preserve">kuriame </w:t>
      </w:r>
      <w:r w:rsidRPr="005F787C">
        <w:t>esama didelių patobulinimų, išspręstų dabartinio susiskaidymo į 27 skirtingas rinkimų sistemas problemą, taip pat padėtų modernizuoti ir suvienodinti rinkimų taisykles Europos Sąjungoje;</w:t>
      </w:r>
    </w:p>
    <w:p w:rsidR="00F37FDC" w:rsidRPr="005F787C" w:rsidRDefault="00F37FDC" w:rsidP="00F37FDC">
      <w:pPr>
        <w:pStyle w:val="NormalHanging12a"/>
      </w:pPr>
      <w:r w:rsidRPr="005F787C">
        <w:t>C.</w:t>
      </w:r>
      <w:r w:rsidRPr="005F787C">
        <w:tab/>
        <w:t>kadangi pagrindinių kandidatų („</w:t>
      </w:r>
      <w:proofErr w:type="spellStart"/>
      <w:r w:rsidRPr="005F787C">
        <w:t>Spitzenkandidaten</w:t>
      </w:r>
      <w:proofErr w:type="spellEnd"/>
      <w:r w:rsidRPr="005F787C">
        <w:t>“) sistema galėtų paskatinti Europos viešas diskusijas ir suteikti galių Europos politinėms partijoms;</w:t>
      </w:r>
    </w:p>
    <w:p w:rsidR="00F37FDC" w:rsidRPr="005F787C" w:rsidRDefault="00F37FDC" w:rsidP="00F37FDC">
      <w:pPr>
        <w:pStyle w:val="Normal6"/>
        <w:ind w:left="567" w:hanging="567"/>
      </w:pPr>
      <w:r w:rsidRPr="005F787C">
        <w:t>D.</w:t>
      </w:r>
      <w:r w:rsidRPr="005F787C">
        <w:tab/>
        <w:t xml:space="preserve">kadangi 2019 m. Europos Parlamento rinkimai nesibaigė Komisijos pirmininko išrinkimu taikant pagrindinių kandidatų sistemą; kadangi Europos rinkimų įstatymo reformos nebuvimas buvo papildoma kliūtis sėkmingam pagrindinio kandidato proceso įgyvendinimui; kadangi dėl to, kad nebuvo įgyvendinta pagrindinių kandidatų sistema, daugelis rinkėjų nusivylė ir sumažėjo jų pasitikėjimas procesu; kadangi reikia, kad per </w:t>
      </w:r>
      <w:r w:rsidR="00AC3156">
        <w:t>2024 m.</w:t>
      </w:r>
      <w:r w:rsidR="00AC3156" w:rsidRPr="005F787C">
        <w:t xml:space="preserve"> </w:t>
      </w:r>
      <w:r w:rsidRPr="005F787C">
        <w:t>Europos Parlamento rinkimus tokio nusivylimo nebūtų; kadangi Komisijos pirmininko rinkimai priklauso nuo Europos Parlamento narių paramos užtikrinimo;</w:t>
      </w:r>
    </w:p>
    <w:p w:rsidR="00F37FDC" w:rsidRPr="005F787C" w:rsidRDefault="00F37FDC" w:rsidP="00F37FDC">
      <w:pPr>
        <w:pStyle w:val="Normal6"/>
        <w:ind w:left="567" w:hanging="567"/>
      </w:pPr>
      <w:r w:rsidRPr="005F787C">
        <w:t>E.</w:t>
      </w:r>
      <w:r w:rsidRPr="005F787C">
        <w:tab/>
        <w:t xml:space="preserve">kadangi siekiant veiksmingai įgyvendinti pagrindinių kandidatų sistemą reikia, kad Parlamentas galėtų nurodyti bendrą kandidatą į Komisijos pirmininko postą prieš Europos Vadovų Tarybos pasiūlymą; </w:t>
      </w:r>
    </w:p>
    <w:p w:rsidR="00F37FDC" w:rsidRPr="005F787C" w:rsidRDefault="00F37FDC" w:rsidP="00F37FDC">
      <w:pPr>
        <w:pStyle w:val="NormalHanging12a"/>
      </w:pPr>
      <w:r w:rsidRPr="005F787C">
        <w:t>F.</w:t>
      </w:r>
      <w:r w:rsidRPr="005F787C">
        <w:tab/>
        <w:t xml:space="preserve">kadangi kelios valstybės narės vis dar tinkamai nepašalino tebesančių kliūčių ir neįgyvendino tinkamų priemonių, kuriomis būtų palengvintas neįgalių piliečių balsavimas, taip užkertant kelią prasmingam šių piliečių dalyvavimui ir atstovavimui jiems demokratiniuose procesuose; </w:t>
      </w:r>
    </w:p>
    <w:p w:rsidR="00F37FDC" w:rsidRPr="005F787C" w:rsidRDefault="00F37FDC" w:rsidP="00F37FDC">
      <w:pPr>
        <w:pStyle w:val="NormalHanging12a"/>
      </w:pPr>
      <w:r w:rsidRPr="005F787C">
        <w:t>G.</w:t>
      </w:r>
      <w:r w:rsidRPr="005F787C">
        <w:tab/>
        <w:t>kadangi visapusiškai naudotis Sutartyse suteiktomis rinkimų teisėmis Europos Parlamento rinkimuose vis dar trukdo nepagrįstos demokratinio dalyvavimo kliūtys, įskaitant nepakankamą informuotumą apie taikomas sąlygas ir taisykles; kadangi Komisija pateikė pasiūlymą dėl teisėkūros procedūra priimamo akto, kuriuo sprendžiami kai kurie iš šių susirūpinimą keliančių klausimų;</w:t>
      </w:r>
    </w:p>
    <w:p w:rsidR="00F37FDC" w:rsidRPr="005F787C" w:rsidRDefault="00F37FDC" w:rsidP="00F37FDC">
      <w:pPr>
        <w:pStyle w:val="NormalHanging12a"/>
      </w:pPr>
      <w:r w:rsidRPr="005F787C">
        <w:t>H.</w:t>
      </w:r>
      <w:r w:rsidRPr="005F787C">
        <w:tab/>
        <w:t xml:space="preserve">kadangi Europos Parlamento rinkimų politinės kampanijos, vykdomos valstybėse narėse, pernelyg dažnai yra nepakankamai „europietiškos“, nes jose dominuoja tik nacionalinio, regioninio ir vietos pobūdžio politinės diskusijos; kadangi politinės partijos ir kandidatai yra atsakingi už tinkamą piliečių informavimą apie politinius iššūkius ES lygmeniu; </w:t>
      </w:r>
    </w:p>
    <w:p w:rsidR="00F37FDC" w:rsidRPr="005F787C" w:rsidRDefault="00F37FDC" w:rsidP="00F37FDC">
      <w:pPr>
        <w:pStyle w:val="Normal12a24b"/>
      </w:pPr>
      <w:r w:rsidRPr="005F787C">
        <w:rPr>
          <w:rStyle w:val="BoldItalic"/>
        </w:rPr>
        <w:t xml:space="preserve">Europos demokratijos stiprinimas per </w:t>
      </w:r>
      <w:r w:rsidR="00AC3156">
        <w:rPr>
          <w:rStyle w:val="BoldItalic"/>
        </w:rPr>
        <w:t>2024 m.</w:t>
      </w:r>
      <w:r w:rsidR="00AC3156" w:rsidRPr="005F787C">
        <w:rPr>
          <w:rStyle w:val="BoldItalic"/>
        </w:rPr>
        <w:t xml:space="preserve"> </w:t>
      </w:r>
      <w:r w:rsidRPr="005F787C">
        <w:rPr>
          <w:rStyle w:val="BoldItalic"/>
        </w:rPr>
        <w:t>rinkimus</w:t>
      </w:r>
    </w:p>
    <w:p w:rsidR="00F37FDC" w:rsidRPr="005F787C" w:rsidRDefault="00F37FDC" w:rsidP="00F37FDC">
      <w:pPr>
        <w:pStyle w:val="NormalHanging12a"/>
      </w:pPr>
      <w:r w:rsidRPr="005F787C">
        <w:t>1.</w:t>
      </w:r>
      <w:r w:rsidRPr="005F787C">
        <w:tab/>
        <w:t>palankiai vertina didesnį rinkėjų aktyvumą 2019 m. Europos Parlamento rinkimuose ir siekia toliau jį didinti 2024 m. Europos Parlamento rinkimuose; pabrėžia aktyvumo rinkimuose didinimo svarbą; pažymi, kad reikia dėti daugiau pastangų siekiant padidinti judžių piliečių aktyvumą; apgailestauja dėl nepakankamos Tarybos pažangos siekiant priimti naują Europos rinkimų įstatymą, kurį Europos Parlamentas patvirtino 2022 m. gegužės 3 d.; ragina, kad Taryba jį greitai patvirtintų; tikisi, kad Taryba pasieks kompromisą ir bendrą sutarimą dėl viso Parlamento pasiūlymo;</w:t>
      </w:r>
    </w:p>
    <w:p w:rsidR="00F37FDC" w:rsidRPr="005F787C" w:rsidRDefault="00F37FDC" w:rsidP="00F37FDC">
      <w:pPr>
        <w:pStyle w:val="NormalHanging12a"/>
      </w:pPr>
      <w:r w:rsidRPr="005F787C">
        <w:t>2.</w:t>
      </w:r>
      <w:r w:rsidRPr="005F787C">
        <w:tab/>
        <w:t xml:space="preserve">pabrėžia svarbų Europos politinių partijų ir visų atitinkamų visuomeninių suinteresuotųjų subjektų vaidmenį prisidedant prie diskusijų Europos viešosios politikos klausimais ir formuojant europinį politinį sąmoningumą; vis dėlto apgailestauja, kad apribojimai pagal dabartines ES ir nacionalines reguliavimo sistemas trukdo Europos politinėms partijoms visapusiškai dalyvauti Europos Parlamento rinkimų kampanijose; ragina Europos politines partijas vykdyti savo rinkimų į Europos Parlamentą </w:t>
      </w:r>
      <w:r w:rsidRPr="005F787C">
        <w:lastRenderedPageBreak/>
        <w:t>kampanijas; ragina nacionalines ir Europos politines partijas, taip pat, kai taikytina, valstybes nares:</w:t>
      </w:r>
    </w:p>
    <w:p w:rsidR="00F37FDC" w:rsidRPr="005F787C" w:rsidRDefault="00F37FDC" w:rsidP="00F37FDC">
      <w:pPr>
        <w:pStyle w:val="NormalHanging12a"/>
        <w:ind w:left="1134"/>
      </w:pPr>
      <w:r w:rsidRPr="005F787C">
        <w:t>–</w:t>
      </w:r>
      <w:r w:rsidRPr="005F787C">
        <w:tab/>
        <w:t>vykdyti Europos rinkimų kampaniją vadovaujantis Sąjungos vertybėmis</w:t>
      </w:r>
      <w:r w:rsidR="00AC3156">
        <w:t>,</w:t>
      </w:r>
    </w:p>
    <w:p w:rsidR="00F37FDC" w:rsidRPr="005F787C" w:rsidRDefault="00F37FDC" w:rsidP="00F37FDC">
      <w:pPr>
        <w:pStyle w:val="NormalHanging12a"/>
        <w:ind w:left="1134"/>
      </w:pPr>
      <w:r w:rsidRPr="005F787C">
        <w:t>–</w:t>
      </w:r>
      <w:r w:rsidRPr="005F787C">
        <w:tab/>
        <w:t>laikytis demokratinių standartų ir partijos vidaus demokratijos taisyklių, siekiant visų pirma užtikrinti, kad kandidatai būtų skiriami demokratiškai, įskaitant pagrindinius kandidatus į Europos Komisijos pirmininko pareigas</w:t>
      </w:r>
      <w:r w:rsidR="00AC3156">
        <w:t>,</w:t>
      </w:r>
    </w:p>
    <w:p w:rsidR="00F37FDC" w:rsidRPr="005F787C" w:rsidRDefault="00F37FDC" w:rsidP="00F37FDC">
      <w:pPr>
        <w:pStyle w:val="NormalHanging12a"/>
        <w:ind w:left="1134"/>
      </w:pPr>
      <w:r w:rsidRPr="005F787C">
        <w:t>–</w:t>
      </w:r>
      <w:r w:rsidRPr="005F787C">
        <w:tab/>
        <w:t>partijų programas parengti likus pakankamai laiko iki rinkimų</w:t>
      </w:r>
      <w:r w:rsidR="00AC3156">
        <w:t>,</w:t>
      </w:r>
    </w:p>
    <w:p w:rsidR="00F37FDC" w:rsidRPr="005F787C" w:rsidRDefault="00F37FDC" w:rsidP="00F37FDC">
      <w:pPr>
        <w:pStyle w:val="NormalHanging12a"/>
        <w:ind w:left="1134"/>
      </w:pPr>
      <w:r w:rsidRPr="005F787C">
        <w:t>–</w:t>
      </w:r>
      <w:r w:rsidRPr="005F787C">
        <w:tab/>
        <w:t>didinti Europos politinių partijų matomumą viešose diskusijose ir žiniasklaidos kampanijose, įskaitant jų pavadinimus ir (arba) logotipus</w:t>
      </w:r>
      <w:r w:rsidR="00AC3156">
        <w:t>,</w:t>
      </w:r>
    </w:p>
    <w:p w:rsidR="00F37FDC" w:rsidRPr="005F787C" w:rsidRDefault="00F37FDC" w:rsidP="00F37FDC">
      <w:pPr>
        <w:pStyle w:val="NormalHanging12a"/>
        <w:ind w:left="1134"/>
      </w:pPr>
      <w:r w:rsidRPr="005F787C">
        <w:t>–</w:t>
      </w:r>
      <w:r w:rsidRPr="005F787C">
        <w:tab/>
        <w:t>savo viešojoje komunikacijoje nuosekliai nurodyti jų Europos lygmens atitikmenis</w:t>
      </w:r>
      <w:r w:rsidR="00AC3156">
        <w:t>,</w:t>
      </w:r>
    </w:p>
    <w:p w:rsidR="00F37FDC" w:rsidRPr="005F787C" w:rsidRDefault="00F37FDC" w:rsidP="00F37FDC">
      <w:pPr>
        <w:pStyle w:val="NormalHanging12a"/>
        <w:ind w:left="1134"/>
      </w:pPr>
      <w:r w:rsidRPr="005F787C">
        <w:t>–</w:t>
      </w:r>
      <w:r w:rsidRPr="005F787C">
        <w:tab/>
        <w:t>remti, kad Europos politinių partijų pavadinimai ir (arba) logotipai būtų matomi balsavimo biuleteniuose ir kampanijos medžiagoje</w:t>
      </w:r>
      <w:r w:rsidR="00AC3156">
        <w:t>,</w:t>
      </w:r>
    </w:p>
    <w:p w:rsidR="00F37FDC" w:rsidRPr="005F787C" w:rsidRDefault="00F37FDC" w:rsidP="00F37FDC">
      <w:pPr>
        <w:pStyle w:val="NormalHanging12a"/>
        <w:ind w:left="1134"/>
      </w:pPr>
      <w:r w:rsidRPr="005F787C">
        <w:t>–</w:t>
      </w:r>
      <w:r w:rsidRPr="005F787C">
        <w:tab/>
        <w:t>didinti informuotumą apie naujai parengtas Europos politinėms partijoms ir Europos politiniams fondams nustatytas taisykles prieš joms oficialiai įsigaliojant</w:t>
      </w:r>
      <w:r w:rsidR="00AC3156">
        <w:t>,</w:t>
      </w:r>
    </w:p>
    <w:p w:rsidR="00F37FDC" w:rsidRPr="005F787C" w:rsidRDefault="00F37FDC" w:rsidP="00F37FDC">
      <w:pPr>
        <w:pStyle w:val="NormalHanging12a"/>
        <w:ind w:left="1134"/>
      </w:pPr>
      <w:r w:rsidRPr="005F787C">
        <w:t>–</w:t>
      </w:r>
      <w:r w:rsidRPr="005F787C">
        <w:tab/>
        <w:t>pasiekti susitarimą dėl tolesnių veiksmų po rinkimų, be kita ko, dėl derybų dėl Sąjungos institucijų pirmininkų;</w:t>
      </w:r>
    </w:p>
    <w:p w:rsidR="00F37FDC" w:rsidRPr="005F787C" w:rsidRDefault="00F37FDC" w:rsidP="00F37FDC">
      <w:pPr>
        <w:pStyle w:val="NormalHanging12a"/>
      </w:pPr>
      <w:r w:rsidRPr="005F787C">
        <w:t>3.</w:t>
      </w:r>
      <w:r w:rsidRPr="005F787C">
        <w:tab/>
        <w:t xml:space="preserve">pritaria </w:t>
      </w:r>
      <w:r w:rsidR="00AC3156">
        <w:t>P</w:t>
      </w:r>
      <w:r w:rsidRPr="005F787C">
        <w:t>olitinių partijų ir politinių fondų institucijos (APPF) parengtam Europos kampanijos veiksmų planui (E-CAP), ypač pagrindinių kandidatų ir Europos politinių partijų matomumo požiūriu; pabrėžia APPF darbo svarbą informuojant piliečius;</w:t>
      </w:r>
    </w:p>
    <w:p w:rsidR="00F37FDC" w:rsidRPr="005F787C" w:rsidRDefault="00F37FDC" w:rsidP="00F37FDC">
      <w:pPr>
        <w:pStyle w:val="NormalHanging12a"/>
      </w:pPr>
      <w:r w:rsidRPr="005F787C">
        <w:t>4.</w:t>
      </w:r>
      <w:r w:rsidRPr="005F787C">
        <w:tab/>
        <w:t xml:space="preserve">apgailestauja dėl to, kad per 2019 m. Europos Parlamento rinkimus nebuvo įgyvendinta pagrindinių kandidatų į Europos Komisijos pirmininko pareigas sistema; taip pat apgailestauja dėl to, kad nuo 2019 m. Europos Vadovų Taryba ir Europos Komisija, įsipareigojusios gerinti Europos demokratiją, nepadarė pažangos šiuo klausimu; mano, kad būtinas aiškus ir patikimas ryšys tarp EP rinkimų rezultatų ir Komisijos pirmininko rinkimų; ragina Europos politines partijas, nacionalines politines partijas ir nacionalines vyriausybes bendradarbiauti siekiant užtikrinti, kad jis būtų užtikrintas per būsimus rinkimus; pažymi, kad Komisijos pirmininko rinkimai priklauso nuo to, ar bus užtikrinta Europos Parlamento narių daugumos parama, taip visapusiškai atsižvelgiant į rinkimų rezultatus, kaip numatyta Lisabonos sutartyje; </w:t>
      </w:r>
    </w:p>
    <w:p w:rsidR="00F37FDC" w:rsidRPr="005F787C" w:rsidRDefault="00F37FDC" w:rsidP="00F37FDC">
      <w:pPr>
        <w:pStyle w:val="NormalHanging12a"/>
      </w:pPr>
      <w:r w:rsidRPr="005F787C">
        <w:t>5.</w:t>
      </w:r>
      <w:r w:rsidRPr="005F787C">
        <w:tab/>
        <w:t>ragina Europos Vadovų Tarybą suteikti ES piliečiams tikrumą dėl pagrindinių kandidatų sistemos ir nutraukti sandorius už uždarų durų; primygtinai ragina Europos Vadovų Tarybą šiuo tikslu pradėti konsultacijas gerokai iš anksto, siekiant įgyvendinti pagrindinio kandidato principą atsižvelgiant į Europos Parlamento rinkimų rezultatus;</w:t>
      </w:r>
    </w:p>
    <w:p w:rsidR="00F37FDC" w:rsidRPr="005F787C" w:rsidRDefault="00F37FDC" w:rsidP="00F37FDC">
      <w:pPr>
        <w:pStyle w:val="NormalHanging12a"/>
      </w:pPr>
      <w:r w:rsidRPr="005F787C">
        <w:t>6.</w:t>
      </w:r>
      <w:r w:rsidRPr="005F787C">
        <w:tab/>
        <w:t xml:space="preserve">tikisi, kad visos Europos politinės partijos savo kandidatus į Komisijos pirmininko pareigas pasiūlys laiku, t. y. likus ne mažiau kaip 12 savaičių iki rinkimų dienos; </w:t>
      </w:r>
    </w:p>
    <w:p w:rsidR="00F37FDC" w:rsidRPr="005F787C" w:rsidRDefault="00F37FDC" w:rsidP="00F37FDC">
      <w:pPr>
        <w:pStyle w:val="NormalHanging12a"/>
      </w:pPr>
      <w:r w:rsidRPr="005F787C">
        <w:t>7.</w:t>
      </w:r>
      <w:r w:rsidRPr="005F787C">
        <w:tab/>
        <w:t xml:space="preserve">ragina Parlamentą ir Europos Vadovų Tarybą pagal ES sutarties 17 straipsnio 7 dalį sudaryti </w:t>
      </w:r>
      <w:proofErr w:type="spellStart"/>
      <w:r w:rsidRPr="005F787C">
        <w:t>tarpinstitucinį</w:t>
      </w:r>
      <w:proofErr w:type="spellEnd"/>
      <w:r w:rsidRPr="005F787C">
        <w:t xml:space="preserve"> susitarimą dėl pagrindinių kandidatų sistemos; prašo Europos Parlamento Pirmininkės nedelsiant pradėti parengiamuosius darbus, kad toks susitarimas būtų sudarytas; mano, jog po 2024 m. Europos Parlamento rinkimų Europos </w:t>
      </w:r>
      <w:r w:rsidRPr="005F787C">
        <w:lastRenderedPageBreak/>
        <w:t>politinės partijų ir atitinkamų jų frakcijų pagrindiniai kandidatai ir pirmininkai turėtų nedelsiant pradėti derybas, kad, prieš Europos Vadovų Tarybai pasiūlant kandidatą, Europos Parlamento vardu susitartų dėl bendro kandidato į Komisijos pirmininkus;</w:t>
      </w:r>
    </w:p>
    <w:p w:rsidR="00F37FDC" w:rsidRPr="005F787C" w:rsidRDefault="00F37FDC" w:rsidP="00F37FDC">
      <w:pPr>
        <w:pStyle w:val="NormalHanging12a"/>
      </w:pPr>
      <w:r w:rsidRPr="005F787C">
        <w:t>8.</w:t>
      </w:r>
      <w:r w:rsidRPr="005F787C">
        <w:tab/>
        <w:t>mano, kad po EP rinkimų daugiausia vietų gavusios Europos politinės partijos pagrindinis kandidatas visų pirma turi vadovauti deryboms siekiant rasti bendrą kandidatą, kurį palaikytų didžioji dauguma narių, ir, jei reikia, tuo pačiu principu kitus pagrindinius kandidatus, atsižvelgiant į proporcinę jų atitinkamų Europos politinių partijų gautą vietų skaičių; siūlo, kad prireikus Europos Parlamento pirmininkas būtų pasirengęs vadovauti šiam procesui;</w:t>
      </w:r>
    </w:p>
    <w:p w:rsidR="00F37FDC" w:rsidRPr="005F787C" w:rsidRDefault="00F37FDC" w:rsidP="00F37FDC">
      <w:pPr>
        <w:pStyle w:val="NormalHanging12a"/>
      </w:pPr>
      <w:r w:rsidRPr="005F787C">
        <w:t>9.</w:t>
      </w:r>
      <w:r w:rsidRPr="005F787C">
        <w:tab/>
        <w:t>pabrėžia, kad Europos Parlamento Pirmininkės prerogatyva bus pranešti Europos Vadovų Tarybai Parlamento bendro kandidato į Europos Komisijos pirmininko pareigas vardą ir pavardę;</w:t>
      </w:r>
    </w:p>
    <w:p w:rsidR="00F37FDC" w:rsidRPr="005F787C" w:rsidRDefault="00F37FDC" w:rsidP="00F37FDC">
      <w:pPr>
        <w:pStyle w:val="NormalHanging12a"/>
      </w:pPr>
      <w:r w:rsidRPr="005F787C">
        <w:t>10.</w:t>
      </w:r>
      <w:r w:rsidRPr="005F787C">
        <w:tab/>
        <w:t>rekomenduoja, kad, nesant bendro Europos Parlamento kandidato į Komisijos pirmininko pareigas, prieš Europos Vadovų Tarybai pateikiant pasiūlymą Europos Parlamentui, Europos Vadovų Tarybos pirmininkas konsultuotųsi su Europos Parlamento Pirmininke, pagrindiniais kandidatais, Europos politinių partijų ir atitinkamų jų frakcijų pirmininkais;</w:t>
      </w:r>
    </w:p>
    <w:p w:rsidR="00F37FDC" w:rsidRPr="005F787C" w:rsidRDefault="00F37FDC" w:rsidP="00F37FDC">
      <w:pPr>
        <w:pStyle w:val="NormalHanging12a"/>
      </w:pPr>
      <w:r w:rsidRPr="005F787C">
        <w:t>11.</w:t>
      </w:r>
      <w:r w:rsidRPr="005F787C">
        <w:tab/>
        <w:t>todėl mano, kad Europos Vadovų Taryba, prieš pateikdama pasiūlymą dėl Europos Komisijos pirmininko, sulauktų, kol Europos Parlamentas nurodys savo bendrą kandidatą, atsižvelgiant į tinkamas konsultacijas, nurodytas ES sutarties 17 straipsnio 7 dalyje, ir lojalaus bendradarbiavimo principą;</w:t>
      </w:r>
    </w:p>
    <w:p w:rsidR="00F37FDC" w:rsidRPr="005F787C" w:rsidRDefault="00F37FDC" w:rsidP="00F37FDC">
      <w:pPr>
        <w:pStyle w:val="NormalHanging12a"/>
      </w:pPr>
      <w:r w:rsidRPr="005F787C">
        <w:t>12.</w:t>
      </w:r>
      <w:r w:rsidRPr="005F787C">
        <w:tab/>
        <w:t>Primena Europos Parlamento prerogatyvą išsirinkti savo pirmininką;</w:t>
      </w:r>
    </w:p>
    <w:p w:rsidR="00F37FDC" w:rsidRPr="005F787C" w:rsidRDefault="00F37FDC" w:rsidP="00F37FDC">
      <w:pPr>
        <w:pStyle w:val="NormalHanging12a"/>
      </w:pPr>
      <w:r w:rsidRPr="005F787C">
        <w:t>13.</w:t>
      </w:r>
      <w:r w:rsidRPr="005F787C">
        <w:tab/>
        <w:t>tikisi, kad Europos politinėms partijos ir jų frakcijos Parlamente priims vadinamąjį kadencijos susitarimą dėl 2024–2029 m. teisėkūros laikotarpio – tai būtų būdas prieš skiriant Komisiją užsitikrinti balsų daugumą Parlamente, kaip savo darbo programos pagrindą ir garantiją Europos rinkėjams, kad bus imamasi nuoseklų veiksmų po rinkimų; kiekvienas kandidatas į Europos Komisiją turi pasirašyti šį kadencijos susitarimą, kad gautų Parlamento daugumos pritarimą; pažymi, kad norint įgyvendinti tokį susitarimą itin svarbi plataus masto politinė parama;</w:t>
      </w:r>
    </w:p>
    <w:p w:rsidR="00F37FDC" w:rsidRPr="005F787C" w:rsidRDefault="00F37FDC" w:rsidP="00F37FDC">
      <w:pPr>
        <w:pStyle w:val="NormalHanging12a"/>
      </w:pPr>
      <w:r w:rsidRPr="005F787C">
        <w:t>14.</w:t>
      </w:r>
      <w:r w:rsidRPr="005F787C">
        <w:tab/>
        <w:t>mano, kad nustačius vieną bendrą Europos balsavimo dieną būtų sukurti nuoseklesni visos Europos rinkimai;</w:t>
      </w:r>
    </w:p>
    <w:p w:rsidR="00F37FDC" w:rsidRPr="005F787C" w:rsidRDefault="00F37FDC" w:rsidP="00F37FDC">
      <w:pPr>
        <w:pStyle w:val="NormalHanging12a"/>
      </w:pPr>
      <w:r w:rsidRPr="005F787C">
        <w:t>15.</w:t>
      </w:r>
      <w:r w:rsidRPr="005F787C">
        <w:tab/>
        <w:t>primena Parlamentui Sutartimis suteiktą atsakomybę už politinę priežiūrą; pabrėžia, kad svarbus vidaus demokratinės kontrolės principas yra Komisijos atskaitomybė Parlamentui; primena, kad paskirtųjų Komisijos narių ir Komisijos narių kolegijos klausymai yra esminis etapas siekiant tolesnės ES sprendimų priėmimo proceso demokratizacijos ir tampa vis svarbesne priemone Parlamentui imtis aktyvesnio vaidmens sudarant darbotvarkę ES lygmeniu;</w:t>
      </w:r>
    </w:p>
    <w:p w:rsidR="00F37FDC" w:rsidRPr="005F787C" w:rsidRDefault="00F37FDC" w:rsidP="00F37FDC">
      <w:pPr>
        <w:pStyle w:val="Normal12a24b"/>
      </w:pPr>
      <w:r w:rsidRPr="005F787C">
        <w:rPr>
          <w:rStyle w:val="BoldItalic"/>
        </w:rPr>
        <w:t>Piliečių dalyvavimas ir balsavimo teisė</w:t>
      </w:r>
    </w:p>
    <w:p w:rsidR="00F37FDC" w:rsidRPr="005F787C" w:rsidRDefault="00F37FDC" w:rsidP="00F37FDC">
      <w:pPr>
        <w:pStyle w:val="NormalHanging12a"/>
      </w:pPr>
      <w:r w:rsidRPr="005F787C">
        <w:t>16.</w:t>
      </w:r>
      <w:r w:rsidRPr="005F787C">
        <w:tab/>
        <w:t>mano, jog labai svarbu užtikrinti, kad visi Sąjungos piliečiai, turintys teisę balsuoti ir būti kandidatais, įskaitant judžius Sąjungos piliečius, neįgalius piliečius ir namų neturinčius piliečius, galėtų naudotis šia teise;</w:t>
      </w:r>
    </w:p>
    <w:p w:rsidR="00F37FDC" w:rsidRPr="005F787C" w:rsidRDefault="00F37FDC" w:rsidP="00F37FDC">
      <w:pPr>
        <w:pStyle w:val="NormalHanging12a"/>
      </w:pPr>
      <w:r w:rsidRPr="005F787C">
        <w:lastRenderedPageBreak/>
        <w:t>17.</w:t>
      </w:r>
      <w:r w:rsidRPr="005F787C">
        <w:tab/>
        <w:t xml:space="preserve">ragina valstybes nares užtikrinti galimybes dalyvauti rinkimuose nustatant priemones, kurių tikslas – užtikrinti prieigą prie informacijos ir prieinamą balsavimo tvarką, pvz., naudojant pagalbines technologijas, formatus ir metodus, pvz., Brailio raštą, QR kodus, stambų šriftą, garsinę informaciją, </w:t>
      </w:r>
      <w:proofErr w:type="spellStart"/>
      <w:r w:rsidRPr="005F787C">
        <w:t>jutiklinius</w:t>
      </w:r>
      <w:proofErr w:type="spellEnd"/>
      <w:r w:rsidRPr="005F787C">
        <w:t xml:space="preserve"> trafaretus, lengvai perskaitomą informaciją ir komunikaciją gestų kalba; mano, kad visuomenės informavimo kampanijos yra labai svarbios didinant rinkėjų aktyvumą, ir ragina valstybes nares dėti visas pastangas šioje srityje, taip pat įtraukiant pilietinės visuomenės organizacijas;</w:t>
      </w:r>
    </w:p>
    <w:p w:rsidR="00F37FDC" w:rsidRDefault="00F37FDC" w:rsidP="00F37FDC">
      <w:pPr>
        <w:pStyle w:val="NormalHanging12a"/>
      </w:pPr>
      <w:r w:rsidRPr="005F787C">
        <w:t>18.</w:t>
      </w:r>
      <w:r w:rsidRPr="005F787C">
        <w:tab/>
        <w:t>mano, kad prieiga prie informacijos apie rinkimų kampaniją yra būtina sąlyga siekiant, kad piliečiai aktyviau dalyvautų rinkimuose; ragina valstybes nares skatinti savo nacionalinę žiniasklaidą informuoti apie rinkimus taip, kad ES piliečiai galėtų pasinaudoti savo teise balsuoti ir suvokti europinį savo pasirinkimo aspektą, taip pat ir kaimo vietovėse;</w:t>
      </w:r>
    </w:p>
    <w:p w:rsidR="00396E99" w:rsidRPr="005F787C" w:rsidRDefault="00396E99" w:rsidP="00F37FDC">
      <w:pPr>
        <w:pStyle w:val="NormalHanging12a"/>
      </w:pPr>
      <w:r w:rsidRPr="00396E99">
        <w:t>1</w:t>
      </w:r>
      <w:r w:rsidR="00014610">
        <w:t>9</w:t>
      </w:r>
      <w:r w:rsidRPr="00396E99">
        <w:t>.</w:t>
      </w:r>
      <w:r w:rsidRPr="00396E99">
        <w:tab/>
        <w:t>mano, kad Parlamento institucinė informavimo kampanija bendradarbiaujant su pilietinės visuomenės organizacijomis prisideda prie diskusijų Europos viešosios politikos klausimais ir Europos politinio sąmoningumo parlamentinės demokratijos klausimu formavimo, be to, ja remiama visų Europos politinių partijų vykdoma rinkimų kampanija; palankiai vertina suderintas visų ES institucijų pastangas šioje srityje;</w:t>
      </w:r>
    </w:p>
    <w:p w:rsidR="00F37FDC" w:rsidRPr="005F787C" w:rsidRDefault="00072CF3" w:rsidP="00F37FDC">
      <w:pPr>
        <w:pStyle w:val="NormalHanging12a"/>
      </w:pPr>
      <w:r>
        <w:t>20</w:t>
      </w:r>
      <w:r w:rsidR="00F37FDC" w:rsidRPr="005F787C">
        <w:t>.</w:t>
      </w:r>
      <w:r w:rsidR="00F37FDC" w:rsidRPr="005F787C">
        <w:tab/>
        <w:t>dar kartą ragina valstybes nares visiems trečiosiose valstybėse gyvenantiems ar dirbantiems Sąjungos piliečiams suteikti teisę balsuoti Europos Parlamento rinkimuose; ragina valstybes nares bendradarbiauti su Europos Parlamentu ir Europos išorės veiksmų tarnyba siekiant informuoti Sąjungos piliečius trečiosiose šalyse apie Europos Parlamento rinkimus ir palengvinti jų dalyvavimą šiuose rinkimuose;</w:t>
      </w:r>
      <w:r w:rsidR="00396E99">
        <w:t xml:space="preserve"> </w:t>
      </w:r>
      <w:r w:rsidR="00396E99" w:rsidRPr="00396E99">
        <w:t>ragina Sąjungos vyriausiąjį įgaliotinį užsienio reikalams ir saugumo politikai skatinti valstybių narių užsienio reikalų ministrus keistis geriausia patirtimi vykdant informavimo kampanijas ir palengvinti balsavimo iš užsienio tvarką, įskaitant prieinamų rinkimų apylinkių už ES ribų sukūrimą ir balsavimo paštu ar kitų nuotolinio balsavimo formų naudojimą;</w:t>
      </w:r>
    </w:p>
    <w:p w:rsidR="00F37FDC" w:rsidRPr="005F787C" w:rsidRDefault="00072CF3" w:rsidP="00F37FDC">
      <w:pPr>
        <w:pStyle w:val="NormalHanging12a"/>
      </w:pPr>
      <w:r>
        <w:t>21</w:t>
      </w:r>
      <w:r w:rsidR="00F37FDC" w:rsidRPr="005F787C">
        <w:t>.</w:t>
      </w:r>
      <w:r w:rsidR="00F37FDC" w:rsidRPr="005F787C">
        <w:tab/>
        <w:t>apgailestauja, kad dėl nepakankamos Tarybos pažangos, susijusios su Komisijos pasiūlymu dėl Tarybos direktyvos, kuria nustatoma išsami judžių Sąjungos piliečių naudojimosi teise balsuoti ir kandidatuoti Europos Parlamento rinkimuose tvarka, bus užkirstas kelias įsigalioti Komisijos ir Parlamento pateiktoms naujovėms iki 2024 m. rinkimų;</w:t>
      </w:r>
    </w:p>
    <w:p w:rsidR="00F37FDC" w:rsidRPr="005F787C" w:rsidRDefault="00072CF3" w:rsidP="00F37FDC">
      <w:pPr>
        <w:pStyle w:val="NormalHanging12a"/>
      </w:pPr>
      <w:r>
        <w:t>22</w:t>
      </w:r>
      <w:r w:rsidR="00F37FDC" w:rsidRPr="005F787C">
        <w:t>.</w:t>
      </w:r>
      <w:r w:rsidR="00F37FDC" w:rsidRPr="005F787C">
        <w:tab/>
        <w:t>skatina įvesti balsavimą paštu siekiant užtikrinti, kad negalėjimas rinkimų dieną atvykti į balsavimo vietą netrukdytų Sąjungos piliečiams pasinaudoti savo balsavimo teise; taip pat pritaria tam, kad būtų nustatytos papildomos priemonės, kuriomis būtų palengvintas balsavimas, pvz., išankstinis fizinis balsavimas ir balsavimas pagal įgaliojimą, taip pat elektroninis balsavimas ir balsavimas internetu;</w:t>
      </w:r>
    </w:p>
    <w:p w:rsidR="00F37FDC" w:rsidRPr="005F787C" w:rsidRDefault="00072CF3" w:rsidP="00F37FDC">
      <w:pPr>
        <w:pStyle w:val="NormalHanging12a"/>
      </w:pPr>
      <w:r>
        <w:t>23</w:t>
      </w:r>
      <w:r w:rsidR="00F37FDC" w:rsidRPr="005F787C">
        <w:t>.</w:t>
      </w:r>
      <w:r w:rsidR="00F37FDC" w:rsidRPr="005F787C">
        <w:tab/>
        <w:t>mano, kad lyčių lygybė yra esminis atstovavimo per rinkimus gerinimo elementas; palankiai vertina pažangą, padarytą siekiant lyčių pusiausvyros Parlamente po 2019 m. Europos Parlamento rinkimų, tačiau atkreipia dėmesį į esamus skirtumus tarp valstybių narių, susijusius su moterų atstovavimo lygiu; atsižvelgdamas į tai, ragina įgyvendinti Parlamento 2022 m. gegužės 3 d. priimtas nuostatas dėl naujos Europos Sąjungos rinkimų teisės;</w:t>
      </w:r>
    </w:p>
    <w:p w:rsidR="00F37FDC" w:rsidRPr="005F787C" w:rsidRDefault="00072CF3" w:rsidP="00F37FDC">
      <w:pPr>
        <w:pStyle w:val="NormalHanging12a"/>
      </w:pPr>
      <w:r>
        <w:t>24</w:t>
      </w:r>
      <w:r w:rsidR="00F37FDC" w:rsidRPr="005F787C">
        <w:t>.</w:t>
      </w:r>
      <w:r w:rsidR="00F37FDC" w:rsidRPr="005F787C">
        <w:tab/>
        <w:t>mano, kad valstybės narės turėtų apsvarstyti galimybę suderinti ir sumažinti balsavimo amžių ir minimalų amžių, nuo kurio galima kandidatuoti, kaip nurodyta pasiūlyme dėl rinkimų teisės ir Konferencijos dėl Europos ateities išvadose;</w:t>
      </w:r>
    </w:p>
    <w:p w:rsidR="00F37FDC" w:rsidRPr="005F787C" w:rsidRDefault="00F37FDC" w:rsidP="00F37FDC">
      <w:pPr>
        <w:pStyle w:val="NormalHanging12a"/>
        <w:rPr>
          <w:rStyle w:val="BoldItalic"/>
        </w:rPr>
      </w:pPr>
      <w:r w:rsidRPr="005F787C">
        <w:rPr>
          <w:rStyle w:val="BoldItalic"/>
        </w:rPr>
        <w:lastRenderedPageBreak/>
        <w:t xml:space="preserve">Institucinis atsparumas </w:t>
      </w:r>
    </w:p>
    <w:p w:rsidR="00F37FDC" w:rsidRPr="005F787C" w:rsidRDefault="008A3533" w:rsidP="00F37FDC">
      <w:pPr>
        <w:pStyle w:val="NormalHanging12a"/>
      </w:pPr>
      <w:r>
        <w:t>25</w:t>
      </w:r>
      <w:r w:rsidR="00F37FDC" w:rsidRPr="005F787C">
        <w:t>.</w:t>
      </w:r>
      <w:r w:rsidR="00F37FDC" w:rsidRPr="005F787C">
        <w:tab/>
        <w:t>mano, kad dezinformacija ir užsienio šalių kišimasis yra rimtas išpuolis prieš rinkimų proceso integralumą ir Europos demokratiją; pabrėžia, kad skaitmeninės platformos atlieka esminį vaidmenį kovojant su dezinformacija;</w:t>
      </w:r>
    </w:p>
    <w:p w:rsidR="00F37FDC" w:rsidRPr="005F787C" w:rsidRDefault="008A3533" w:rsidP="00F37FDC">
      <w:pPr>
        <w:pStyle w:val="NormalHanging12a"/>
      </w:pPr>
      <w:r>
        <w:t>26</w:t>
      </w:r>
      <w:r w:rsidR="00F37FDC" w:rsidRPr="005F787C">
        <w:t>.</w:t>
      </w:r>
      <w:r w:rsidR="00F37FDC" w:rsidRPr="005F787C">
        <w:tab/>
        <w:t>pripažįsta ES institucijų pastangas kovoti su dezinformacija ir užsienio šalių kišimusi, pvz., 2022 m. Kovos su dezinformacija praktikos kodeksą ir Skubių pranešimų sistemą; vis dėlto pabrėžia, kad reikia tvirtesnių apsaugos nuo dezinformacijos ir vidaus bei užsienio kišimosi į rinkimų procesą priemonių; įsipareigoja dėti daugiau pastangų kovojant su užsienio šalių bandymais kištis į Europos Parlamento veiklą;</w:t>
      </w:r>
    </w:p>
    <w:p w:rsidR="00F37FDC" w:rsidRPr="008A3533" w:rsidRDefault="008A3533" w:rsidP="00F37FDC">
      <w:pPr>
        <w:pStyle w:val="NormalHanging12a"/>
      </w:pPr>
      <w:r>
        <w:t>27</w:t>
      </w:r>
      <w:r w:rsidR="00F37FDC" w:rsidRPr="005F787C">
        <w:t>.</w:t>
      </w:r>
      <w:r w:rsidR="00F37FDC" w:rsidRPr="005F787C">
        <w:tab/>
      </w:r>
      <w:r w:rsidR="00396E99" w:rsidRPr="007529C7">
        <w:t xml:space="preserve">atkreipia dėmesį į vykstančias </w:t>
      </w:r>
      <w:proofErr w:type="spellStart"/>
      <w:r w:rsidR="00396E99" w:rsidRPr="007529C7">
        <w:t>tarpinstitucines</w:t>
      </w:r>
      <w:proofErr w:type="spellEnd"/>
      <w:r w:rsidR="00396E99" w:rsidRPr="007529C7">
        <w:t xml:space="preserve"> derybas dėl pasiūlymo dėl Europos Parlamento ir Tarybos reglamento dėl Europos politinių partijų ir fondų</w:t>
      </w:r>
      <w:r>
        <w:t xml:space="preserve">; </w:t>
      </w:r>
      <w:r w:rsidR="00396E99" w:rsidRPr="008A3533">
        <w:t xml:space="preserve">ragina Komisiją ir Tarybą tęsti </w:t>
      </w:r>
      <w:proofErr w:type="spellStart"/>
      <w:r w:rsidR="00396E99" w:rsidRPr="008A3533">
        <w:t>tarpinstitucines</w:t>
      </w:r>
      <w:proofErr w:type="spellEnd"/>
      <w:r w:rsidR="00396E99" w:rsidRPr="008A3533">
        <w:t xml:space="preserve"> derybas vadovaujantis lojalaus bendradarbiavimo principu; palankiai vertina teisėkūros institucijų pasiektą susitarimą dėl Europos Parlamento ir Tarybos reglamento dėl politinės reklamos skaidrumo ir atrankiojo adresavimo; palankiai vertina tai, kad prieš 2024 m. rinkimus gali būti įgyvendintos kai kurios jo nuostatos, pvz., nuostatos dėl nediskriminavimo; ragina valstybes nares visapusiškai įgyvendinti kitas reglamento nuostatas, kai jos įsigalios;</w:t>
      </w:r>
    </w:p>
    <w:p w:rsidR="00F37FDC" w:rsidRPr="005F787C" w:rsidRDefault="008A3533" w:rsidP="00F37FDC">
      <w:pPr>
        <w:pStyle w:val="NormalHanging12a"/>
      </w:pPr>
      <w:r>
        <w:t>28</w:t>
      </w:r>
      <w:r w:rsidR="00F37FDC" w:rsidRPr="005F787C">
        <w:t>.</w:t>
      </w:r>
      <w:r w:rsidR="00F37FDC" w:rsidRPr="005F787C">
        <w:tab/>
        <w:t>primena, kad Parlamentas priėmė rezoliuciją ir šiuo metu rengia pasiūlymus dėl dalinio Sutarčių pakeitimo, be kita ko, siekdamas padidinti ES demokratinį teisėtumą ir sudaryti sąlygas imtis tinkamų tolesnių veiksmų dėl Konferencijoje dėl Europos ateities priimtų pasiūlymų; pažymi, kad 2024 m. rinkimai yra unikali proga pradėti ES masto diskusijas dėl Sąjungos reformos, remiantis Parlamento pateiktais pasiūlymais dėl Sutarčių reformos; ragina Europos Vadovų Tarybą skubiai priimti poziciją dėl konvento sušaukimo po to, kai Parlamentas priims jos pasiūlymus; pakartoja, kad atsižvelgdamas į tai remia Sutarčių reformą;</w:t>
      </w:r>
    </w:p>
    <w:p w:rsidR="00F37FDC" w:rsidRDefault="008A3533" w:rsidP="00F37FDC">
      <w:pPr>
        <w:pStyle w:val="NormalHanging12a"/>
      </w:pPr>
      <w:r>
        <w:t>29</w:t>
      </w:r>
      <w:r w:rsidR="00F37FDC" w:rsidRPr="005F787C">
        <w:t>.</w:t>
      </w:r>
      <w:r w:rsidR="00F37FDC" w:rsidRPr="005F787C">
        <w:tab/>
        <w:t>ragina reformuoti Sutartis; primygtinai ragina Tarybą ir galiausiai Europos Vadovų Tarybą imtis veiksmų dėl savo pasiūlymo pritaikyti ES sutarties 48 straipsnį siekiant sušaukti konventą;</w:t>
      </w:r>
    </w:p>
    <w:p w:rsidR="00396E99" w:rsidRPr="005F787C" w:rsidRDefault="008A3533" w:rsidP="00F37FDC">
      <w:pPr>
        <w:pStyle w:val="NormalHanging12a"/>
      </w:pPr>
      <w:r>
        <w:t>30</w:t>
      </w:r>
      <w:r w:rsidR="00396E99" w:rsidRPr="00396E99">
        <w:t>.</w:t>
      </w:r>
      <w:r w:rsidR="00396E99" w:rsidRPr="00396E99">
        <w:tab/>
        <w:t>pabrėžia, kad reikia stiprinti rinkėjų pasitikėjimą rinkimų procesais užtikrinant, kad visi rinkimai būtų laisvi ir sąžiningi; atsižvelgdamas į tai pažymi, kad 2023 m. lapkričio 6–9 d. ESBO keturiose valstybėse narėse surengė poreikių vertinimo misiją, siekdama išnagrinėti pasirengimą Europos Parlamento rinkimų stebėjimo misijai; siūlo Tarybai pirmininkaujančiai valstybei skatinti valstybes nares siųsti ESBO kvietimus stebėti Europos Parlamento rinkimus ir visapusiškai pasinaudoti šia galimybe;</w:t>
      </w:r>
    </w:p>
    <w:p w:rsidR="00F37FDC" w:rsidRPr="005F787C" w:rsidRDefault="008A3533" w:rsidP="00F37FDC">
      <w:pPr>
        <w:pStyle w:val="NormalHanging12a"/>
      </w:pPr>
      <w:r>
        <w:t>31</w:t>
      </w:r>
      <w:r w:rsidR="00F37FDC" w:rsidRPr="005F787C">
        <w:t>.</w:t>
      </w:r>
      <w:r w:rsidR="00F37FDC" w:rsidRPr="005F787C">
        <w:tab/>
        <w:t>prašo Konstitucinių reikalų komiteto išnagrinėti, ar kai kurios šios rezoliucijos nuostatos ir rekomendacijos galėtų būti įtrauktos į Parlamento darbo tvarkos taisykles;</w:t>
      </w:r>
    </w:p>
    <w:p w:rsidR="00F37FDC" w:rsidRPr="005F787C" w:rsidRDefault="00F37FDC" w:rsidP="00F37FDC">
      <w:pPr>
        <w:pStyle w:val="NormalCenter12a"/>
      </w:pPr>
      <w:r w:rsidRPr="005F787C">
        <w:t>°</w:t>
      </w:r>
    </w:p>
    <w:p w:rsidR="00F37FDC" w:rsidRPr="005F787C" w:rsidRDefault="00F37FDC" w:rsidP="00F37FDC">
      <w:pPr>
        <w:pStyle w:val="NormalCenter12a"/>
      </w:pPr>
      <w:r w:rsidRPr="005F787C">
        <w:t>°</w:t>
      </w:r>
      <w:r w:rsidRPr="005F787C">
        <w:tab/>
        <w:t>°</w:t>
      </w:r>
    </w:p>
    <w:p w:rsidR="00E365E1" w:rsidRPr="005F787C" w:rsidRDefault="00F37FDC" w:rsidP="00250ECE">
      <w:pPr>
        <w:ind w:left="567" w:hanging="567"/>
      </w:pPr>
      <w:r w:rsidRPr="005F787C">
        <w:t>3</w:t>
      </w:r>
      <w:r w:rsidR="008A3533">
        <w:t>2</w:t>
      </w:r>
      <w:r w:rsidRPr="005F787C">
        <w:t>.</w:t>
      </w:r>
      <w:r w:rsidRPr="005F787C">
        <w:tab/>
        <w:t>paveda Pirmininkei perduoti šią rezoliuciją Tarybai ir Komisijai.</w:t>
      </w:r>
      <w:bookmarkStart w:id="9" w:name="TextBodyEnd"/>
      <w:bookmarkEnd w:id="9"/>
    </w:p>
    <w:sectPr w:rsidR="00E365E1" w:rsidRPr="005F787C" w:rsidSect="005F787C">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B13FE" w:rsidRPr="005F787C" w:rsidRDefault="001B13FE">
      <w:r w:rsidRPr="005F787C">
        <w:separator/>
      </w:r>
    </w:p>
  </w:endnote>
  <w:endnote w:type="continuationSeparator" w:id="0">
    <w:p w:rsidR="001B13FE" w:rsidRPr="005F787C" w:rsidRDefault="001B13FE">
      <w:r w:rsidRPr="005F787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B13FE" w:rsidRPr="005F787C" w:rsidRDefault="001B13FE">
      <w:r w:rsidRPr="005F787C">
        <w:separator/>
      </w:r>
    </w:p>
  </w:footnote>
  <w:footnote w:type="continuationSeparator" w:id="0">
    <w:p w:rsidR="001B13FE" w:rsidRPr="005F787C" w:rsidRDefault="001B13FE">
      <w:r w:rsidRPr="005F787C">
        <w:continuationSeparator/>
      </w:r>
    </w:p>
  </w:footnote>
  <w:footnote w:id="1">
    <w:p w:rsidR="00F37FDC" w:rsidRPr="005F787C" w:rsidRDefault="00F37FDC" w:rsidP="005F787C">
      <w:pPr>
        <w:pStyle w:val="FootnoteText"/>
        <w:ind w:left="567" w:hanging="567"/>
        <w:rPr>
          <w:sz w:val="24"/>
          <w:lang w:val="lt-LT"/>
        </w:rPr>
      </w:pPr>
      <w:r w:rsidRPr="005F787C">
        <w:rPr>
          <w:rStyle w:val="FootnoteReference"/>
          <w:sz w:val="24"/>
          <w:lang w:val="lt-LT"/>
        </w:rPr>
        <w:footnoteRef/>
      </w:r>
      <w:r w:rsidR="005F787C" w:rsidRPr="005F787C">
        <w:rPr>
          <w:sz w:val="24"/>
          <w:lang w:val="lt-LT"/>
        </w:rPr>
        <w:t xml:space="preserve"> </w:t>
      </w:r>
      <w:r w:rsidR="005F787C" w:rsidRPr="005F787C">
        <w:rPr>
          <w:sz w:val="24"/>
          <w:lang w:val="lt-LT"/>
        </w:rPr>
        <w:tab/>
      </w:r>
      <w:r w:rsidRPr="005F787C">
        <w:rPr>
          <w:sz w:val="24"/>
          <w:lang w:val="lt-LT"/>
        </w:rPr>
        <w:t>OL L 329, 1993 12 30, p. 34.</w:t>
      </w:r>
    </w:p>
  </w:footnote>
  <w:footnote w:id="2">
    <w:p w:rsidR="00F37FDC" w:rsidRPr="005F787C" w:rsidRDefault="00F37FDC" w:rsidP="005F787C">
      <w:pPr>
        <w:pStyle w:val="FootnoteText"/>
        <w:ind w:left="567" w:hanging="567"/>
        <w:rPr>
          <w:sz w:val="24"/>
          <w:lang w:val="lt-LT"/>
        </w:rPr>
      </w:pPr>
      <w:r w:rsidRPr="005F787C">
        <w:rPr>
          <w:rStyle w:val="FootnoteReference"/>
          <w:sz w:val="24"/>
          <w:lang w:val="lt-LT"/>
        </w:rPr>
        <w:footnoteRef/>
      </w:r>
      <w:r w:rsidR="005F787C" w:rsidRPr="005F787C">
        <w:rPr>
          <w:sz w:val="24"/>
          <w:lang w:val="lt-LT"/>
        </w:rPr>
        <w:t xml:space="preserve"> </w:t>
      </w:r>
      <w:r w:rsidR="005F787C" w:rsidRPr="005F787C">
        <w:rPr>
          <w:sz w:val="24"/>
          <w:lang w:val="lt-LT"/>
        </w:rPr>
        <w:tab/>
      </w:r>
      <w:r w:rsidRPr="005F787C">
        <w:rPr>
          <w:sz w:val="24"/>
          <w:lang w:val="lt-LT"/>
        </w:rPr>
        <w:t>OL C 75, 2016 2 26, p. 109.</w:t>
      </w:r>
    </w:p>
  </w:footnote>
  <w:footnote w:id="3">
    <w:p w:rsidR="00F37FDC" w:rsidRPr="00250ECE" w:rsidRDefault="00F37FDC" w:rsidP="005F787C">
      <w:pPr>
        <w:pStyle w:val="FootnoteText"/>
        <w:ind w:left="567" w:hanging="567"/>
        <w:rPr>
          <w:sz w:val="24"/>
          <w:lang w:val="lt-LT"/>
        </w:rPr>
      </w:pPr>
      <w:r w:rsidRPr="005F787C">
        <w:rPr>
          <w:rStyle w:val="FootnoteReference"/>
          <w:sz w:val="24"/>
          <w:lang w:val="lt-LT"/>
        </w:rPr>
        <w:footnoteRef/>
      </w:r>
      <w:r w:rsidR="005F787C" w:rsidRPr="005F787C">
        <w:rPr>
          <w:sz w:val="24"/>
          <w:lang w:val="lt-LT"/>
        </w:rPr>
        <w:t xml:space="preserve"> </w:t>
      </w:r>
      <w:r w:rsidR="005F787C" w:rsidRPr="005F787C">
        <w:rPr>
          <w:sz w:val="24"/>
          <w:lang w:val="lt-LT"/>
        </w:rPr>
        <w:tab/>
      </w:r>
      <w:hyperlink r:id="rId1" w:history="1">
        <w:r w:rsidRPr="00250ECE">
          <w:rPr>
            <w:sz w:val="24"/>
            <w:lang w:val="lt-LT"/>
          </w:rPr>
          <w:t>OL L 114 I, 2018 5 4, p. 1.</w:t>
        </w:r>
      </w:hyperlink>
    </w:p>
  </w:footnote>
  <w:footnote w:id="4">
    <w:p w:rsidR="00F37FDC" w:rsidRPr="005F787C" w:rsidRDefault="00F37FDC" w:rsidP="005F787C">
      <w:pPr>
        <w:pStyle w:val="FootnoteText"/>
        <w:ind w:left="567" w:hanging="567"/>
        <w:rPr>
          <w:sz w:val="24"/>
          <w:lang w:val="lt-LT"/>
        </w:rPr>
      </w:pPr>
      <w:r w:rsidRPr="005F787C">
        <w:rPr>
          <w:rStyle w:val="FootnoteReference"/>
          <w:sz w:val="24"/>
          <w:lang w:val="lt-LT"/>
        </w:rPr>
        <w:footnoteRef/>
      </w:r>
      <w:r w:rsidR="005F787C" w:rsidRPr="005F787C">
        <w:rPr>
          <w:sz w:val="24"/>
          <w:lang w:val="lt-LT"/>
        </w:rPr>
        <w:t xml:space="preserve"> </w:t>
      </w:r>
      <w:r w:rsidR="005F787C" w:rsidRPr="005F787C">
        <w:rPr>
          <w:sz w:val="24"/>
          <w:lang w:val="lt-LT"/>
        </w:rPr>
        <w:tab/>
      </w:r>
      <w:r w:rsidRPr="005F787C">
        <w:rPr>
          <w:sz w:val="24"/>
          <w:lang w:val="lt-LT"/>
        </w:rPr>
        <w:t>OL L 178, 2018 7 16, p. 1.</w:t>
      </w:r>
    </w:p>
  </w:footnote>
  <w:footnote w:id="5">
    <w:p w:rsidR="00F37FDC" w:rsidRPr="00250ECE" w:rsidRDefault="00F37FDC" w:rsidP="005F787C">
      <w:pPr>
        <w:pStyle w:val="FootnoteText"/>
        <w:ind w:left="567" w:hanging="567"/>
        <w:rPr>
          <w:sz w:val="24"/>
          <w:lang w:val="lt-LT"/>
        </w:rPr>
      </w:pPr>
      <w:r w:rsidRPr="005F787C">
        <w:rPr>
          <w:rStyle w:val="FootnoteReference"/>
          <w:sz w:val="24"/>
          <w:lang w:val="lt-LT"/>
        </w:rPr>
        <w:footnoteRef/>
      </w:r>
      <w:r w:rsidR="005F787C" w:rsidRPr="005F787C">
        <w:rPr>
          <w:sz w:val="24"/>
          <w:lang w:val="lt-LT"/>
        </w:rPr>
        <w:t xml:space="preserve"> </w:t>
      </w:r>
      <w:r w:rsidR="005F787C" w:rsidRPr="005F787C">
        <w:rPr>
          <w:sz w:val="24"/>
          <w:lang w:val="lt-LT"/>
        </w:rPr>
        <w:tab/>
      </w:r>
      <w:hyperlink r:id="rId2" w:history="1">
        <w:r w:rsidRPr="00250ECE">
          <w:rPr>
            <w:sz w:val="24"/>
            <w:lang w:val="lt-LT"/>
          </w:rPr>
          <w:t>OL C 425, 2021 10 20, p. 98.</w:t>
        </w:r>
      </w:hyperlink>
    </w:p>
  </w:footnote>
  <w:footnote w:id="6">
    <w:p w:rsidR="00F37FDC" w:rsidRPr="005F787C" w:rsidRDefault="00F37FDC" w:rsidP="005F787C">
      <w:pPr>
        <w:pStyle w:val="FootnoteText"/>
        <w:ind w:left="567" w:hanging="567"/>
        <w:rPr>
          <w:sz w:val="24"/>
          <w:lang w:val="lt-LT"/>
        </w:rPr>
      </w:pPr>
      <w:r w:rsidRPr="005F787C">
        <w:rPr>
          <w:rStyle w:val="FootnoteReference"/>
          <w:sz w:val="24"/>
          <w:lang w:val="lt-LT"/>
        </w:rPr>
        <w:footnoteRef/>
      </w:r>
      <w:r w:rsidR="005F787C" w:rsidRPr="005F787C">
        <w:rPr>
          <w:sz w:val="24"/>
          <w:lang w:val="lt-LT"/>
        </w:rPr>
        <w:t xml:space="preserve"> </w:t>
      </w:r>
      <w:r w:rsidR="005F787C" w:rsidRPr="005F787C">
        <w:rPr>
          <w:sz w:val="24"/>
          <w:lang w:val="lt-LT"/>
        </w:rPr>
        <w:tab/>
      </w:r>
      <w:r w:rsidR="00874C0B">
        <w:rPr>
          <w:sz w:val="24"/>
          <w:lang w:val="lt-LT"/>
        </w:rPr>
        <w:t>OL C</w:t>
      </w:r>
      <w:r w:rsidRPr="005F787C">
        <w:rPr>
          <w:sz w:val="24"/>
          <w:lang w:val="lt-LT"/>
        </w:rPr>
        <w:t> 465, 2022 12 6, p. 171.</w:t>
      </w:r>
    </w:p>
  </w:footnote>
  <w:footnote w:id="7">
    <w:p w:rsidR="00F37FDC" w:rsidRPr="005F787C" w:rsidRDefault="00F37FDC" w:rsidP="005F787C">
      <w:pPr>
        <w:pStyle w:val="FootnoteText"/>
        <w:ind w:left="567" w:hanging="567"/>
        <w:rPr>
          <w:sz w:val="24"/>
          <w:lang w:val="lt-LT"/>
        </w:rPr>
      </w:pPr>
      <w:r w:rsidRPr="005F787C">
        <w:rPr>
          <w:rStyle w:val="FootnoteReference"/>
          <w:sz w:val="24"/>
          <w:lang w:val="lt-LT"/>
        </w:rPr>
        <w:footnoteRef/>
      </w:r>
      <w:r w:rsidR="005F787C" w:rsidRPr="005F787C">
        <w:rPr>
          <w:sz w:val="24"/>
          <w:lang w:val="lt-LT"/>
        </w:rPr>
        <w:t xml:space="preserve"> </w:t>
      </w:r>
      <w:r w:rsidR="005F787C" w:rsidRPr="005F787C">
        <w:rPr>
          <w:sz w:val="24"/>
          <w:lang w:val="lt-LT"/>
        </w:rPr>
        <w:tab/>
      </w:r>
      <w:r w:rsidRPr="005F787C">
        <w:rPr>
          <w:sz w:val="24"/>
          <w:lang w:val="lt-LT"/>
        </w:rPr>
        <w:t>OL C 125, 2023 4 5, p. 485.</w:t>
      </w:r>
    </w:p>
  </w:footnote>
  <w:footnote w:id="8">
    <w:p w:rsidR="00F37FDC" w:rsidRPr="005F787C" w:rsidRDefault="00F37FDC" w:rsidP="005F787C">
      <w:pPr>
        <w:pStyle w:val="FootnoteText"/>
        <w:ind w:left="567" w:hanging="567"/>
        <w:rPr>
          <w:sz w:val="24"/>
          <w:lang w:val="lt-LT"/>
        </w:rPr>
      </w:pPr>
      <w:r w:rsidRPr="005F787C">
        <w:rPr>
          <w:rStyle w:val="FootnoteReference"/>
          <w:sz w:val="24"/>
          <w:lang w:val="lt-LT"/>
        </w:rPr>
        <w:footnoteRef/>
      </w:r>
      <w:r w:rsidR="005F787C" w:rsidRPr="005F787C">
        <w:rPr>
          <w:sz w:val="24"/>
          <w:lang w:val="lt-LT"/>
        </w:rPr>
        <w:t xml:space="preserve"> </w:t>
      </w:r>
      <w:r w:rsidR="005F787C" w:rsidRPr="005F787C">
        <w:rPr>
          <w:sz w:val="24"/>
          <w:lang w:val="lt-LT"/>
        </w:rPr>
        <w:tab/>
      </w:r>
      <w:r w:rsidRPr="005F787C">
        <w:rPr>
          <w:sz w:val="24"/>
          <w:lang w:val="lt-LT"/>
        </w:rPr>
        <w:t>OL C 267, 2023 7 28, p. 36.</w:t>
      </w:r>
    </w:p>
  </w:footnote>
  <w:footnote w:id="9">
    <w:p w:rsidR="0006420B" w:rsidRPr="00C129C4" w:rsidRDefault="0006420B" w:rsidP="0006420B">
      <w:pPr>
        <w:pStyle w:val="FootnoteText"/>
        <w:ind w:left="567" w:hanging="567"/>
        <w:rPr>
          <w:sz w:val="24"/>
          <w:szCs w:val="24"/>
          <w:lang w:val="lt-LT"/>
        </w:rPr>
      </w:pPr>
      <w:r w:rsidRPr="00C129C4">
        <w:rPr>
          <w:rStyle w:val="FootnoteReference"/>
          <w:sz w:val="24"/>
          <w:szCs w:val="24"/>
        </w:rPr>
        <w:footnoteRef/>
      </w:r>
      <w:r w:rsidRPr="00C129C4">
        <w:rPr>
          <w:sz w:val="24"/>
          <w:szCs w:val="24"/>
        </w:rPr>
        <w:t xml:space="preserve"> </w:t>
      </w:r>
      <w:r w:rsidRPr="00C129C4">
        <w:rPr>
          <w:sz w:val="24"/>
          <w:szCs w:val="24"/>
          <w:lang w:val="lt-LT"/>
        </w:rPr>
        <w:tab/>
      </w:r>
      <w:r w:rsidRPr="00C129C4">
        <w:rPr>
          <w:sz w:val="24"/>
          <w:szCs w:val="24"/>
          <w:lang w:val="lt-LT"/>
        </w:rPr>
        <w:t>Priimti tekstai, P9_TA(2023)0330.</w:t>
      </w:r>
    </w:p>
  </w:footnote>
  <w:footnote w:id="10">
    <w:p w:rsidR="00F37FDC" w:rsidRPr="005F787C" w:rsidRDefault="00F37FDC" w:rsidP="005F787C">
      <w:pPr>
        <w:pStyle w:val="FootnoteText"/>
        <w:ind w:left="567" w:hanging="567"/>
        <w:rPr>
          <w:sz w:val="24"/>
          <w:lang w:val="lt-LT"/>
        </w:rPr>
      </w:pPr>
      <w:r w:rsidRPr="005F787C">
        <w:rPr>
          <w:rStyle w:val="FootnoteReference"/>
          <w:sz w:val="24"/>
          <w:lang w:val="lt-LT"/>
        </w:rPr>
        <w:footnoteRef/>
      </w:r>
      <w:r w:rsidR="005F787C" w:rsidRPr="005F787C">
        <w:rPr>
          <w:sz w:val="24"/>
          <w:lang w:val="lt-LT"/>
        </w:rPr>
        <w:t xml:space="preserve"> </w:t>
      </w:r>
      <w:r w:rsidR="005F787C" w:rsidRPr="005F787C">
        <w:rPr>
          <w:sz w:val="24"/>
          <w:lang w:val="lt-LT"/>
        </w:rPr>
        <w:tab/>
      </w:r>
      <w:r w:rsidRPr="005F787C">
        <w:rPr>
          <w:sz w:val="24"/>
          <w:lang w:val="lt-LT"/>
        </w:rPr>
        <w:t>OL L 238, 2023 9 27, p. 114.</w:t>
      </w:r>
      <w:bookmarkStart w:id="8" w:name="_GoBack"/>
      <w:bookmarkEnd w:id="8"/>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332/2023"/>
    <w:docVar w:name="dvlangue" w:val="LT"/>
    <w:docVar w:name="dvnumam" w:val="0"/>
    <w:docVar w:name="dvpe" w:val="751.801"/>
    <w:docVar w:name="dvrapporteur" w:val="Pranešėjai: "/>
    <w:docVar w:name="dvtitre" w:val="Europos Parlamento rezoliucija dėl 2024 m. Europos Parlamento rinkimų(2023/2016(INI))"/>
  </w:docVars>
  <w:rsids>
    <w:rsidRoot w:val="001B13FE"/>
    <w:rsid w:val="00002272"/>
    <w:rsid w:val="00014610"/>
    <w:rsid w:val="00064002"/>
    <w:rsid w:val="0006420B"/>
    <w:rsid w:val="000677B9"/>
    <w:rsid w:val="00072CF3"/>
    <w:rsid w:val="000831BA"/>
    <w:rsid w:val="000A42CC"/>
    <w:rsid w:val="000B5132"/>
    <w:rsid w:val="000E7DD9"/>
    <w:rsid w:val="0010095E"/>
    <w:rsid w:val="00125B37"/>
    <w:rsid w:val="00187494"/>
    <w:rsid w:val="001B13FE"/>
    <w:rsid w:val="001F32AE"/>
    <w:rsid w:val="00250ECE"/>
    <w:rsid w:val="002767FF"/>
    <w:rsid w:val="002B18FE"/>
    <w:rsid w:val="002B5493"/>
    <w:rsid w:val="00343214"/>
    <w:rsid w:val="00361C00"/>
    <w:rsid w:val="00395FA1"/>
    <w:rsid w:val="00396E99"/>
    <w:rsid w:val="003E15D4"/>
    <w:rsid w:val="00411CCE"/>
    <w:rsid w:val="0041666E"/>
    <w:rsid w:val="00421060"/>
    <w:rsid w:val="00471C19"/>
    <w:rsid w:val="004867E3"/>
    <w:rsid w:val="00494A28"/>
    <w:rsid w:val="004C0004"/>
    <w:rsid w:val="004C5D52"/>
    <w:rsid w:val="0050519A"/>
    <w:rsid w:val="005072A1"/>
    <w:rsid w:val="00514517"/>
    <w:rsid w:val="00532F41"/>
    <w:rsid w:val="00545827"/>
    <w:rsid w:val="005527EA"/>
    <w:rsid w:val="00560270"/>
    <w:rsid w:val="005C2568"/>
    <w:rsid w:val="005F787C"/>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74C0B"/>
    <w:rsid w:val="00881A7B"/>
    <w:rsid w:val="008840E5"/>
    <w:rsid w:val="00887B3E"/>
    <w:rsid w:val="008A3533"/>
    <w:rsid w:val="008C2AC6"/>
    <w:rsid w:val="00930C23"/>
    <w:rsid w:val="0093193B"/>
    <w:rsid w:val="009509D8"/>
    <w:rsid w:val="00950B64"/>
    <w:rsid w:val="00981893"/>
    <w:rsid w:val="00A1687D"/>
    <w:rsid w:val="00A43E52"/>
    <w:rsid w:val="00A4678D"/>
    <w:rsid w:val="00A778C7"/>
    <w:rsid w:val="00AB441E"/>
    <w:rsid w:val="00AB6293"/>
    <w:rsid w:val="00AC3156"/>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37FDC"/>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6C0852E"/>
  <w15:chartTrackingRefBased/>
  <w15:docId w15:val="{D4CE856A-F741-4233-A8E8-6B8B20F4D9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lt-L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F37FDC"/>
    <w:pPr>
      <w:spacing w:before="480" w:after="240"/>
    </w:pPr>
    <w:rPr>
      <w:snapToGrid w:val="0"/>
      <w:lang w:eastAsia="en-US"/>
    </w:rPr>
  </w:style>
  <w:style w:type="paragraph" w:customStyle="1" w:styleId="NormalHanging12a">
    <w:name w:val="NormalHanging12a"/>
    <w:basedOn w:val="Normal"/>
    <w:link w:val="NormalHanging12aChar"/>
    <w:rsid w:val="00F37FDC"/>
    <w:pPr>
      <w:widowControl/>
      <w:spacing w:after="240"/>
      <w:ind w:left="567" w:hanging="567"/>
    </w:pPr>
    <w:rPr>
      <w:snapToGrid w:val="0"/>
      <w:lang w:eastAsia="en-US"/>
    </w:rPr>
  </w:style>
  <w:style w:type="paragraph" w:customStyle="1" w:styleId="NormalCenter12a">
    <w:name w:val="NormalCenter12a"/>
    <w:basedOn w:val="Normal"/>
    <w:rsid w:val="00F37FDC"/>
    <w:pPr>
      <w:spacing w:after="240"/>
      <w:jc w:val="center"/>
    </w:pPr>
  </w:style>
  <w:style w:type="character" w:customStyle="1" w:styleId="BoldItalic">
    <w:name w:val="BoldItalic"/>
    <w:uiPriority w:val="1"/>
    <w:rsid w:val="00F37FDC"/>
    <w:rPr>
      <w:b/>
      <w:i/>
      <w:u w:val="none"/>
    </w:rPr>
  </w:style>
  <w:style w:type="character" w:customStyle="1" w:styleId="Italic">
    <w:name w:val="Italic"/>
    <w:uiPriority w:val="1"/>
    <w:rsid w:val="00F37FDC"/>
    <w:rPr>
      <w:i/>
    </w:rPr>
  </w:style>
  <w:style w:type="paragraph" w:customStyle="1" w:styleId="Normal12a24b">
    <w:name w:val="Normal12a24b"/>
    <w:basedOn w:val="Normal"/>
    <w:rsid w:val="00F37FDC"/>
    <w:pPr>
      <w:spacing w:before="360" w:after="240"/>
    </w:pPr>
    <w:rPr>
      <w:snapToGrid w:val="0"/>
      <w:lang w:eastAsia="en-US"/>
    </w:rPr>
  </w:style>
  <w:style w:type="character" w:customStyle="1" w:styleId="Normal6Char">
    <w:name w:val="Normal6 Char"/>
    <w:link w:val="Normal6"/>
    <w:locked/>
    <w:rsid w:val="00F37FDC"/>
    <w:rPr>
      <w:sz w:val="24"/>
      <w:lang w:val="lt-LT"/>
    </w:rPr>
  </w:style>
  <w:style w:type="paragraph" w:customStyle="1" w:styleId="Normal6">
    <w:name w:val="Normal6"/>
    <w:basedOn w:val="Normal"/>
    <w:link w:val="Normal6Char"/>
    <w:rsid w:val="00F37FDC"/>
    <w:pPr>
      <w:spacing w:after="120"/>
    </w:pPr>
  </w:style>
  <w:style w:type="character" w:customStyle="1" w:styleId="NormalHanging12aChar">
    <w:name w:val="NormalHanging12a Char"/>
    <w:basedOn w:val="DefaultParagraphFont"/>
    <w:link w:val="NormalHanging12a"/>
    <w:rsid w:val="00F37FDC"/>
    <w:rPr>
      <w:snapToGrid w:val="0"/>
      <w:sz w:val="24"/>
      <w:lang w:val="lt-LT" w:eastAsia="en-US"/>
    </w:rPr>
  </w:style>
  <w:style w:type="paragraph" w:styleId="BalloonText">
    <w:name w:val="Balloon Text"/>
    <w:basedOn w:val="Normal"/>
    <w:link w:val="BalloonTextChar"/>
    <w:rsid w:val="00AC3156"/>
    <w:rPr>
      <w:rFonts w:ascii="Segoe UI" w:hAnsi="Segoe UI" w:cs="Segoe UI"/>
      <w:sz w:val="18"/>
      <w:szCs w:val="18"/>
    </w:rPr>
  </w:style>
  <w:style w:type="character" w:customStyle="1" w:styleId="BalloonTextChar">
    <w:name w:val="Balloon Text Char"/>
    <w:basedOn w:val="DefaultParagraphFont"/>
    <w:link w:val="BalloonText"/>
    <w:rsid w:val="00AC3156"/>
    <w:rPr>
      <w:rFonts w:ascii="Segoe UI" w:hAnsi="Segoe UI" w:cs="Segoe UI"/>
      <w:sz w:val="18"/>
      <w:szCs w:val="18"/>
      <w:lang w:val="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2" Type="http://schemas.openxmlformats.org/officeDocument/2006/relationships/hyperlink" Target="https://eur-lex.europa.eu/legal-content/LT/TXT/HTML/?uri=CELEX:52020IP0327" TargetMode="External"/><Relationship Id="rId1" Type="http://schemas.openxmlformats.org/officeDocument/2006/relationships/hyperlink" Target="https://eur-lex.europa.eu/legal-content/LT/TXT/HTML/?uri=CELEX:32018R067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7264934-0030-474C-9FDD-2CD7298E2C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2503</Words>
  <Characters>17400</Characters>
  <Application>Microsoft Office Word</Application>
  <DocSecurity>0</DocSecurity>
  <Lines>145</Lines>
  <Paragraphs>39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19864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BINKEVICIUTE Aurelija</dc:creator>
  <cp:keywords/>
  <cp:lastModifiedBy>PUODŽIUKYNAITĖ Justė</cp:lastModifiedBy>
  <cp:revision>2</cp:revision>
  <cp:lastPrinted>2004-11-19T15:42:00Z</cp:lastPrinted>
  <dcterms:created xsi:type="dcterms:W3CDTF">2024-01-24T14:04:00Z</dcterms:created>
  <dcterms:modified xsi:type="dcterms:W3CDTF">2024-01-24T14:04:00Z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A9-0332/2023</vt:lpwstr>
  </property>
  <property fmtid="{D5CDD505-2E9C-101B-9397-08002B2CF9AE}" pid="4" name="&lt;Type&gt;">
    <vt:lpwstr>RR</vt:lpwstr>
  </property>
</Properties>
</file>