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575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25751" w:rsidRDefault="002C3C54" w:rsidP="0010095E">
            <w:pPr>
              <w:pStyle w:val="EPName"/>
            </w:pPr>
            <w:r w:rsidRPr="00225751">
              <w:t>Parlament Europejski</w:t>
            </w:r>
          </w:p>
          <w:p w:rsidR="00751A4A" w:rsidRPr="0022575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575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25751" w:rsidRDefault="00187494" w:rsidP="0010095E">
            <w:pPr>
              <w:pStyle w:val="EPLogo"/>
            </w:pPr>
            <w:r w:rsidRPr="00225751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25751" w:rsidRDefault="00D058B8" w:rsidP="004C5D52">
      <w:pPr>
        <w:pStyle w:val="LineTop"/>
      </w:pPr>
    </w:p>
    <w:p w:rsidR="00680577" w:rsidRPr="00225751" w:rsidRDefault="002C3C54" w:rsidP="00680577">
      <w:pPr>
        <w:pStyle w:val="EPBodyTA1"/>
      </w:pPr>
      <w:r w:rsidRPr="00225751">
        <w:t>TEKSTY PRZYJĘTE</w:t>
      </w:r>
    </w:p>
    <w:p w:rsidR="00D058B8" w:rsidRPr="00225751" w:rsidRDefault="00D058B8" w:rsidP="00D058B8">
      <w:pPr>
        <w:pStyle w:val="LineBottom"/>
      </w:pPr>
    </w:p>
    <w:p w:rsidR="002C3C54" w:rsidRPr="00225751" w:rsidRDefault="002C3C54" w:rsidP="002C3C54">
      <w:pPr>
        <w:pStyle w:val="ATHeading1"/>
      </w:pPr>
      <w:bookmarkStart w:id="0" w:name="TANumber"/>
      <w:r w:rsidRPr="00225751">
        <w:t>P9_TA(2023)</w:t>
      </w:r>
      <w:bookmarkEnd w:id="0"/>
      <w:r w:rsidR="000C390B" w:rsidRPr="00225751">
        <w:t>0</w:t>
      </w:r>
      <w:r w:rsidR="000C390B">
        <w:t>455</w:t>
      </w:r>
    </w:p>
    <w:p w:rsidR="002C3C54" w:rsidRPr="00225751" w:rsidRDefault="002C3C54" w:rsidP="002C3C54">
      <w:pPr>
        <w:pStyle w:val="ATHeading2"/>
      </w:pPr>
      <w:bookmarkStart w:id="1" w:name="title"/>
      <w:r w:rsidRPr="00225751">
        <w:t>Wybory europejskie w 2024 r.</w:t>
      </w:r>
      <w:bookmarkEnd w:id="1"/>
    </w:p>
    <w:p w:rsidR="002C3C54" w:rsidRPr="00225751" w:rsidRDefault="002C3C54" w:rsidP="002C3C54">
      <w:pPr>
        <w:rPr>
          <w:i/>
          <w:vanish/>
        </w:rPr>
      </w:pPr>
      <w:r w:rsidRPr="00225751">
        <w:rPr>
          <w:i/>
        </w:rPr>
        <w:fldChar w:fldCharType="begin"/>
      </w:r>
      <w:r w:rsidRPr="00225751">
        <w:rPr>
          <w:i/>
        </w:rPr>
        <w:instrText xml:space="preserve"> TC"(</w:instrText>
      </w:r>
      <w:bookmarkStart w:id="2" w:name="DocNumber"/>
      <w:r w:rsidRPr="00225751">
        <w:rPr>
          <w:i/>
        </w:rPr>
        <w:instrText>A9-0332/2023</w:instrText>
      </w:r>
      <w:bookmarkEnd w:id="2"/>
      <w:r w:rsidRPr="00225751">
        <w:rPr>
          <w:i/>
        </w:rPr>
        <w:instrText xml:space="preserve"> - Sprawozdawca: Domènec Ruiz Devesa, Sven Simon)"\l3 \n&gt; \* MERGEFORMAT </w:instrText>
      </w:r>
      <w:r w:rsidRPr="00225751">
        <w:rPr>
          <w:i/>
        </w:rPr>
        <w:fldChar w:fldCharType="end"/>
      </w:r>
    </w:p>
    <w:p w:rsidR="002C3C54" w:rsidRPr="00225751" w:rsidRDefault="002C3C54" w:rsidP="002C3C54">
      <w:pPr>
        <w:rPr>
          <w:vanish/>
        </w:rPr>
      </w:pPr>
      <w:bookmarkStart w:id="3" w:name="Commission"/>
      <w:r w:rsidRPr="00225751">
        <w:rPr>
          <w:vanish/>
        </w:rPr>
        <w:t>Komisja Spraw Konstytucyjnych</w:t>
      </w:r>
      <w:bookmarkEnd w:id="3"/>
    </w:p>
    <w:p w:rsidR="002C3C54" w:rsidRPr="00225751" w:rsidRDefault="002C3C54" w:rsidP="002C3C54">
      <w:pPr>
        <w:rPr>
          <w:vanish/>
        </w:rPr>
      </w:pPr>
      <w:bookmarkStart w:id="4" w:name="PE"/>
      <w:r w:rsidRPr="00225751">
        <w:rPr>
          <w:vanish/>
        </w:rPr>
        <w:t>PE751.801</w:t>
      </w:r>
      <w:bookmarkEnd w:id="4"/>
    </w:p>
    <w:p w:rsidR="002C3C54" w:rsidRPr="00225751" w:rsidRDefault="002C3C54" w:rsidP="002C3C54">
      <w:pPr>
        <w:pStyle w:val="ATHeading3"/>
      </w:pPr>
      <w:bookmarkStart w:id="5" w:name="Sujet"/>
      <w:r w:rsidRPr="00225751">
        <w:t xml:space="preserve">Rezolucja Parlamentu Europejskiego z dnia </w:t>
      </w:r>
      <w:r w:rsidR="000C390B">
        <w:t>12</w:t>
      </w:r>
      <w:r w:rsidRPr="00225751">
        <w:t xml:space="preserve"> </w:t>
      </w:r>
      <w:r w:rsidR="00F77588">
        <w:t xml:space="preserve">grudnia </w:t>
      </w:r>
      <w:r w:rsidRPr="00225751">
        <w:t>2023 r. w sprawie wyborów europejskich w 2024 r.</w:t>
      </w:r>
      <w:bookmarkEnd w:id="5"/>
      <w:r w:rsidRPr="00225751">
        <w:t xml:space="preserve"> </w:t>
      </w:r>
      <w:bookmarkStart w:id="6" w:name="References"/>
      <w:r w:rsidRPr="00225751">
        <w:t>(2023/2016(INI))</w:t>
      </w:r>
      <w:bookmarkEnd w:id="6"/>
    </w:p>
    <w:p w:rsidR="0024366D" w:rsidRPr="00225751" w:rsidRDefault="0024366D" w:rsidP="0024366D">
      <w:pPr>
        <w:pStyle w:val="EPComma"/>
      </w:pPr>
      <w:bookmarkStart w:id="7" w:name="TextBodyBegin"/>
      <w:bookmarkEnd w:id="7"/>
      <w:r w:rsidRPr="00225751">
        <w:rPr>
          <w:rStyle w:val="Italic"/>
        </w:rPr>
        <w:t>Parlament Europejski</w:t>
      </w:r>
      <w:r w:rsidRPr="00225751">
        <w:t>,</w:t>
      </w:r>
    </w:p>
    <w:p w:rsidR="0024366D" w:rsidRPr="00225751" w:rsidRDefault="0024366D" w:rsidP="0024366D">
      <w:pPr>
        <w:pStyle w:val="NormalHanging12a"/>
      </w:pPr>
      <w:r w:rsidRPr="00225751">
        <w:t>–</w:t>
      </w:r>
      <w:r w:rsidRPr="00225751">
        <w:tab/>
        <w:t>uwzględniając Traktat o Unii Europejskiej (TUE), w szczególności jego art. 10 i 14 oraz art. 17 ust. 7,</w:t>
      </w:r>
    </w:p>
    <w:p w:rsidR="00F77588" w:rsidRDefault="0024366D" w:rsidP="0024366D">
      <w:pPr>
        <w:pStyle w:val="NormalHanging12a"/>
      </w:pPr>
      <w:r w:rsidRPr="00225751">
        <w:t>–</w:t>
      </w:r>
      <w:r w:rsidRPr="00225751">
        <w:tab/>
        <w:t>uwzględniając Traktat o funkcjonowaniu Unii Europejskiej (TFUE), w szczególności jego art. 20 i 22,</w:t>
      </w:r>
    </w:p>
    <w:p w:rsidR="0024366D" w:rsidRPr="00225751" w:rsidRDefault="0024366D" w:rsidP="0024366D">
      <w:pPr>
        <w:pStyle w:val="NormalHanging12a"/>
      </w:pPr>
      <w:r w:rsidRPr="00225751">
        <w:t>–</w:t>
      </w:r>
      <w:r w:rsidRPr="00225751">
        <w:tab/>
        <w:t>uwzględniając dyrektywę Rady 93/109/WE z dnia 6 grudnia 1993 r. ustanawiającą szczegółowe warunki wykonywania prawa głosowania i kandydowania w wyborach do Parlamentu Europejskiego przez obywateli Unii mających miejsce zamieszkania w państwie członkowskim, którego nie są obywatelami</w:t>
      </w:r>
      <w:r w:rsidRPr="00225751">
        <w:rPr>
          <w:rStyle w:val="FootnoteReference"/>
        </w:rPr>
        <w:footnoteReference w:id="1"/>
      </w:r>
      <w:r w:rsidRPr="00225751">
        <w:t>,</w:t>
      </w:r>
    </w:p>
    <w:p w:rsidR="0024366D" w:rsidRPr="00225751" w:rsidRDefault="0024366D" w:rsidP="0024366D">
      <w:pPr>
        <w:pStyle w:val="NormalHanging12a"/>
      </w:pPr>
      <w:r w:rsidRPr="00225751">
        <w:t>–</w:t>
      </w:r>
      <w:r w:rsidRPr="00225751">
        <w:tab/>
        <w:t>uwzględniając sprawozdanie Komisji Spraw Konstytucyjnych Parlamentu z 28 kwietnia 2011 r. w sprawie wniosku dotyczącego zmiany Aktu dotyczącego wyborów przedstawicieli do Parlamentu Europejskiego w powszechnych wyborach bezpośredn</w:t>
      </w:r>
      <w:r w:rsidR="000371B2">
        <w:t>ich z dnia 20 września 1976 r.</w:t>
      </w:r>
      <w:r w:rsidRPr="00225751">
        <w:t>,</w:t>
      </w:r>
    </w:p>
    <w:p w:rsidR="0024366D" w:rsidRPr="00225751" w:rsidRDefault="0024366D" w:rsidP="0024366D">
      <w:pPr>
        <w:pStyle w:val="NormalHanging12a"/>
      </w:pPr>
      <w:r w:rsidRPr="00225751">
        <w:t>–</w:t>
      </w:r>
      <w:r w:rsidRPr="00225751">
        <w:tab/>
        <w:t>uwzględniając swoją rezolucję z dnia 4 lipca 2013 r. w sprawie usprawnienia organizacji wyborów do Parlamentu Europejskiego w 2014 r.</w:t>
      </w:r>
      <w:r w:rsidRPr="00225751">
        <w:rPr>
          <w:rStyle w:val="FootnoteReference"/>
        </w:rPr>
        <w:footnoteReference w:id="2"/>
      </w:r>
      <w:r w:rsidRPr="00225751">
        <w:t>,</w:t>
      </w:r>
    </w:p>
    <w:p w:rsidR="0024366D" w:rsidRPr="00225751" w:rsidRDefault="0024366D" w:rsidP="0024366D">
      <w:pPr>
        <w:pStyle w:val="NormalHanging12a"/>
      </w:pPr>
      <w:r w:rsidRPr="00225751">
        <w:t>–</w:t>
      </w:r>
      <w:r w:rsidRPr="00225751">
        <w:tab/>
        <w:t>uwzględniając rozporządzenie Parlamentu Europejskiego i Rady (UE, Euratom) 2018/673 z dnia 3 maja 2018 r. zmieniające rozporządzenie (UE, Euratom) nr 1141/2014 w sprawie statusu i finansowania europejskich partii politycznych i europejskich fundacji politycznych</w:t>
      </w:r>
      <w:r w:rsidRPr="00225751">
        <w:rPr>
          <w:rStyle w:val="FootnoteReference"/>
        </w:rPr>
        <w:footnoteReference w:id="3"/>
      </w:r>
      <w:r w:rsidRPr="00225751">
        <w:t>,</w:t>
      </w:r>
    </w:p>
    <w:p w:rsidR="0024366D" w:rsidRPr="00225751" w:rsidRDefault="0024366D" w:rsidP="0024366D">
      <w:pPr>
        <w:pStyle w:val="NormalHanging12a"/>
      </w:pPr>
      <w:r w:rsidRPr="00225751">
        <w:t>–</w:t>
      </w:r>
      <w:r w:rsidRPr="00225751">
        <w:tab/>
        <w:t xml:space="preserve">uwzględniając decyzję Rady (UE, Euratom) 2018/994 z dnia 13 lipca 2018 r. zmieniającą Akt dotyczący wyborów członków Parlamentu Europejskiego </w:t>
      </w:r>
      <w:r w:rsidRPr="00225751">
        <w:lastRenderedPageBreak/>
        <w:t>w powszechnych wyborach bezpośrednich, załączony do decyzji Rady 76/787/EWWiS, EWG, Euratom z dnia 20 września 1976 r.</w:t>
      </w:r>
      <w:r w:rsidRPr="00225751">
        <w:rPr>
          <w:rStyle w:val="FootnoteReference"/>
        </w:rPr>
        <w:footnoteReference w:id="4"/>
      </w:r>
      <w:r w:rsidRPr="00225751">
        <w:t>,</w:t>
      </w:r>
    </w:p>
    <w:p w:rsidR="0024366D" w:rsidRPr="00225751" w:rsidRDefault="0024366D" w:rsidP="0024366D">
      <w:pPr>
        <w:pStyle w:val="NormalHanging12a"/>
      </w:pPr>
      <w:r w:rsidRPr="00225751">
        <w:t>–</w:t>
      </w:r>
      <w:r w:rsidRPr="00225751">
        <w:tab/>
        <w:t>uwzględniając swoją rezolucję z dnia 26 listopada 2020 r. w sprawie oceny wyborów europejskich</w:t>
      </w:r>
      <w:r w:rsidRPr="00225751">
        <w:rPr>
          <w:rStyle w:val="FootnoteReference"/>
        </w:rPr>
        <w:footnoteReference w:id="5"/>
      </w:r>
      <w:r w:rsidRPr="00225751">
        <w:t>,</w:t>
      </w:r>
    </w:p>
    <w:p w:rsidR="0024366D" w:rsidRPr="00225751" w:rsidRDefault="0024366D" w:rsidP="0024366D">
      <w:pPr>
        <w:pStyle w:val="NormalHanging12a"/>
      </w:pPr>
      <w:r w:rsidRPr="00225751">
        <w:t>–</w:t>
      </w:r>
      <w:r w:rsidRPr="00225751">
        <w:tab/>
        <w:t>uwzględniając komunikat Komisji z 3 grudnia 2020 r. w sprawie europejskiego planu działania na rzecz demokracji (COM(2020)0790),</w:t>
      </w:r>
    </w:p>
    <w:p w:rsidR="0024366D" w:rsidRPr="00225751" w:rsidRDefault="0024366D" w:rsidP="0024366D">
      <w:pPr>
        <w:pStyle w:val="NormalHanging12a"/>
      </w:pPr>
      <w:r w:rsidRPr="00225751">
        <w:t>–</w:t>
      </w:r>
      <w:r w:rsidRPr="00225751">
        <w:tab/>
        <w:t>uwzględniając stanowisko Parlamentu z dnia 3 maja 2022 r. w sprawie wniosku dotyczącego rozporządzenia Rady w sprawie wyboru posłów do Parlamentu Europejskiego w powszechnych wyborach bezpośrednich, uchylającego decyzję Rady (76/787/EWWiS, EWG, Euratom) oraz Akt dotyczący wyborów przedstawicieli do Parlamentu Europejskiego w powszechnych wyborach bezpośrednich załączony do tej decyzji</w:t>
      </w:r>
      <w:r w:rsidRPr="00225751">
        <w:rPr>
          <w:rStyle w:val="FootnoteReference"/>
        </w:rPr>
        <w:footnoteReference w:id="6"/>
      </w:r>
      <w:r w:rsidRPr="00225751">
        <w:t>,</w:t>
      </w:r>
    </w:p>
    <w:p w:rsidR="000371B2" w:rsidRPr="00225751" w:rsidRDefault="0024366D" w:rsidP="000371B2">
      <w:pPr>
        <w:pStyle w:val="NormalHanging12a"/>
      </w:pPr>
      <w:r w:rsidRPr="00225751">
        <w:t>–</w:t>
      </w:r>
      <w:r w:rsidRPr="00225751">
        <w:tab/>
        <w:t>uwzględniając poprawki do wniosku dotyczącego rozporządzenia Parlamentu Europejskiego i Rady w sprawie statusu i finansowania europejskich partii politycznych i europejskich fundacji politycznych</w:t>
      </w:r>
      <w:r w:rsidRPr="00225751">
        <w:rPr>
          <w:rStyle w:val="FootnoteReference"/>
        </w:rPr>
        <w:footnoteReference w:id="7"/>
      </w:r>
      <w:r w:rsidRPr="00225751">
        <w:t>, przyjęte przez Parlament Europejski 15 września 2022 r.;</w:t>
      </w:r>
    </w:p>
    <w:p w:rsidR="000371B2" w:rsidRPr="00225751" w:rsidRDefault="000371B2" w:rsidP="000371B2">
      <w:pPr>
        <w:pStyle w:val="NormalHanging12a"/>
      </w:pPr>
      <w:r w:rsidRPr="00225751">
        <w:t>–</w:t>
      </w:r>
      <w:r w:rsidRPr="00225751">
        <w:tab/>
        <w:t>uwzględniając poprawki do wniosku dotyczącego rozporządzenia Parlamentu Europejskiego i Rady w sprawie przejrzystości i targetowania reklamy politycznej</w:t>
      </w:r>
      <w:r w:rsidRPr="00225751">
        <w:rPr>
          <w:rStyle w:val="FootnoteReference"/>
        </w:rPr>
        <w:footnoteReference w:id="8"/>
      </w:r>
      <w:r w:rsidRPr="00225751">
        <w:t>, przyjęte przez Parlament Europejski 2 lutego 2023 r.,</w:t>
      </w:r>
    </w:p>
    <w:p w:rsidR="000371B2" w:rsidRDefault="000C390B" w:rsidP="000371B2">
      <w:pPr>
        <w:pStyle w:val="NormalHanging12a"/>
      </w:pPr>
      <w:bookmarkStart w:id="8" w:name="_GoBack"/>
      <w:bookmarkEnd w:id="8"/>
      <w:r w:rsidRPr="000C390B">
        <w:t>–</w:t>
      </w:r>
      <w:r w:rsidRPr="000C390B">
        <w:tab/>
        <w:t>uwzględniając swoją rezolucję z dnia 14 września 2023 r. w sprawie parlamentaryzmu, obywatels</w:t>
      </w:r>
      <w:r>
        <w:t>twa europejskiego i demokracji</w:t>
      </w:r>
      <w:r>
        <w:rPr>
          <w:rStyle w:val="FootnoteReference"/>
        </w:rPr>
        <w:footnoteReference w:id="9"/>
      </w:r>
      <w:r w:rsidRPr="000C390B">
        <w:t>,</w:t>
      </w:r>
    </w:p>
    <w:p w:rsidR="0024366D" w:rsidRPr="00225751" w:rsidRDefault="0024366D" w:rsidP="000371B2">
      <w:pPr>
        <w:pStyle w:val="NormalHanging12a"/>
      </w:pPr>
      <w:r w:rsidRPr="00225751">
        <w:t>–</w:t>
      </w:r>
      <w:r w:rsidRPr="00225751">
        <w:tab/>
        <w:t>uwzględniając decyzję Rady Europejskiej (UE) 2023/2061 z dnia 22 września 2023 r. w sprawie ustanowienia składu Parlamentu Europejskiego</w:t>
      </w:r>
      <w:r w:rsidRPr="00225751">
        <w:rPr>
          <w:rStyle w:val="FootnoteReference"/>
        </w:rPr>
        <w:footnoteReference w:id="10"/>
      </w:r>
      <w:r w:rsidRPr="00225751">
        <w:t>,</w:t>
      </w:r>
    </w:p>
    <w:p w:rsidR="0024366D" w:rsidRDefault="0024366D" w:rsidP="0024366D">
      <w:pPr>
        <w:pStyle w:val="NormalHanging12a"/>
      </w:pPr>
      <w:r w:rsidRPr="00225751">
        <w:t>–</w:t>
      </w:r>
      <w:r w:rsidRPr="00225751">
        <w:tab/>
        <w:t>uwzględniając art. 54 Regulaminu,</w:t>
      </w:r>
    </w:p>
    <w:p w:rsidR="0024366D" w:rsidRPr="00225751" w:rsidRDefault="0024366D" w:rsidP="0024366D">
      <w:pPr>
        <w:pStyle w:val="NormalHanging12a"/>
      </w:pPr>
      <w:r w:rsidRPr="00225751">
        <w:t>–</w:t>
      </w:r>
      <w:r w:rsidRPr="00225751">
        <w:tab/>
        <w:t>uwzględniając sprawozdanie Komisji Spraw Konstytucyjnych (A9-0332/2023),</w:t>
      </w:r>
    </w:p>
    <w:p w:rsidR="0024366D" w:rsidRPr="00225751" w:rsidRDefault="0024366D" w:rsidP="0024366D">
      <w:pPr>
        <w:pStyle w:val="NormalHanging12a"/>
      </w:pPr>
      <w:r w:rsidRPr="00225751">
        <w:t>A.</w:t>
      </w:r>
      <w:r w:rsidRPr="00225751">
        <w:tab/>
      </w:r>
      <w:proofErr w:type="gramStart"/>
      <w:r w:rsidRPr="00225751">
        <w:t>mając</w:t>
      </w:r>
      <w:proofErr w:type="gramEnd"/>
      <w:r w:rsidRPr="00225751">
        <w:t xml:space="preserve"> na uwadze, że w wyborach europejskich w 2019 r. odnotowano najwyższą frekwencję spośród wszystkich wyborów do Parlamentu Europejskiego, które odbyły się w ciągu ostatnich 20 lat, wynoszącą 50,66 % (wzrost o osiem punktów procentowych w porównaniu z 2014 r.), co stanowi pozytywny sygnał wskazujący na to, że obywatele europejscy coraz bardziej interesują się tym, co dzieje się na szczeblu unijnym, i wierzą, że prawodawstwo UE wywiera wpływ na ich codzienne życie; mając na uwadze, że 19 państw członkowskich odnotowało wzrost frekwencji wyborczej na poziomie krajowym, przy czym znaczny wzrost w porównaniu z 2014 r. zaobserwowano w Polsce, Rumunii, Hiszpanii, Austrii, Niemczech, Słowacji i Czechach oraz na Węgrzech;</w:t>
      </w:r>
    </w:p>
    <w:p w:rsidR="0024366D" w:rsidRPr="00225751" w:rsidRDefault="0024366D" w:rsidP="0024366D">
      <w:pPr>
        <w:pStyle w:val="NormalHanging12a"/>
      </w:pPr>
      <w:r w:rsidRPr="00225751">
        <w:t>B.</w:t>
      </w:r>
      <w:r w:rsidRPr="00225751">
        <w:tab/>
        <w:t>mając na uwadze, że decyzja Rady z 2018 r. zmieniająca Akt dotyczący wyborów przedstawicieli do Parlamentu Europejskiego w powszechnych wyborach bezpośrednich zawiera pewne usprawnienia, takie jak dodanie logo europejskich partii politycznych do głosowania w wyborach do Parlamentu Europejskiego; mając na uwadze, że muszą go jeszcze ratyfikować wszystkie państwa członkowskie; mając na uwadze, że w ramach reformy europejskiego prawa wyborczego przyjętej przez Parlament Europejski 3 maja 2022 r. przewidziano ważne usprawnienia, które rozwiązałyby kwestię obecnego rozdrobnienia na 27 różnych systemów wyborczych oraz unowocześniłyby i ujednoliciły przepisy wyborcze w całej UE;</w:t>
      </w:r>
    </w:p>
    <w:p w:rsidR="0024366D" w:rsidRPr="00225751" w:rsidRDefault="0024366D" w:rsidP="0024366D">
      <w:pPr>
        <w:pStyle w:val="NormalHanging12a"/>
      </w:pPr>
      <w:r w:rsidRPr="00225751">
        <w:t>C.</w:t>
      </w:r>
      <w:r w:rsidRPr="00225751">
        <w:tab/>
      </w:r>
      <w:proofErr w:type="gramStart"/>
      <w:r w:rsidRPr="00225751">
        <w:t>mając</w:t>
      </w:r>
      <w:proofErr w:type="gramEnd"/>
      <w:r w:rsidRPr="00225751">
        <w:t xml:space="preserve"> na uwadze, że system czołowych kandydatów mógłby ożywić europejską debatę publiczną i umocnić europejskie partie polityczne;</w:t>
      </w:r>
    </w:p>
    <w:p w:rsidR="0024366D" w:rsidRPr="00225751" w:rsidRDefault="0024366D" w:rsidP="0024366D">
      <w:pPr>
        <w:pStyle w:val="Normal6"/>
        <w:ind w:left="567" w:hanging="567"/>
      </w:pPr>
      <w:r w:rsidRPr="00225751">
        <w:t>D.</w:t>
      </w:r>
      <w:r w:rsidRPr="00225751">
        <w:tab/>
      </w:r>
      <w:proofErr w:type="gramStart"/>
      <w:r w:rsidRPr="00225751">
        <w:t>mając</w:t>
      </w:r>
      <w:proofErr w:type="gramEnd"/>
      <w:r w:rsidRPr="00225751">
        <w:t xml:space="preserve"> na uwadze, że wybory europejskie w 2019 r. nie zakończyły się wyborem przewodniczącego lub przewodniczącej Komisji w ramach systemu głównych kandydatów; mając na uwadze, że brak reformy europejskiego prawa wyborczego stanowił dodatkową przeszkodę dla pomyślnego wdrożenia systemu czołowych kandydatów; mając na uwadze, że niewdrożenie systemu czołowych kandydatów rozczarowało wielu wyborców i zmniejszyło zaufanie do systemu; mając na uwadze, że takiego rozczarowania </w:t>
      </w:r>
      <w:r w:rsidR="00A052FC">
        <w:t>należy unikać podczas</w:t>
      </w:r>
      <w:r w:rsidRPr="00225751">
        <w:t xml:space="preserve"> wyborów europejskich</w:t>
      </w:r>
      <w:r w:rsidR="00A052FC">
        <w:t xml:space="preserve"> w 2024 r.</w:t>
      </w:r>
      <w:r w:rsidRPr="00225751">
        <w:t>; mając na uwadze, że wybór przewodniczącego lub przewodniczącej Komisji zależy od uzyskania poparcia większości posłów do Parlamentu Europejskiego;</w:t>
      </w:r>
    </w:p>
    <w:p w:rsidR="0024366D" w:rsidRPr="00225751" w:rsidRDefault="0024366D" w:rsidP="0024366D">
      <w:pPr>
        <w:pStyle w:val="Normal6"/>
        <w:ind w:left="567" w:hanging="567"/>
      </w:pPr>
      <w:r w:rsidRPr="00225751">
        <w:t>E.</w:t>
      </w:r>
      <w:r w:rsidRPr="00225751">
        <w:tab/>
      </w:r>
      <w:proofErr w:type="gramStart"/>
      <w:r w:rsidRPr="00225751">
        <w:t>mając</w:t>
      </w:r>
      <w:proofErr w:type="gramEnd"/>
      <w:r w:rsidRPr="00225751">
        <w:t xml:space="preserve"> na uwadze, że skuteczne wdrożenie systemu czołowych kandydatów oznacza, że Parlament powinien być w stanie wskazać wspólnego kandydata na przewodniczącego lub przewodniczącą Komisji przed wnioskiem Rady Europejskiej; </w:t>
      </w:r>
    </w:p>
    <w:p w:rsidR="0024366D" w:rsidRPr="00225751" w:rsidRDefault="0024366D" w:rsidP="0024366D">
      <w:pPr>
        <w:pStyle w:val="NormalHanging12a"/>
      </w:pPr>
      <w:r w:rsidRPr="00225751">
        <w:t>F.</w:t>
      </w:r>
      <w:r w:rsidRPr="00225751">
        <w:tab/>
      </w:r>
      <w:proofErr w:type="gramStart"/>
      <w:r w:rsidRPr="00225751">
        <w:t>mając</w:t>
      </w:r>
      <w:proofErr w:type="gramEnd"/>
      <w:r w:rsidRPr="00225751">
        <w:t xml:space="preserve"> na uwadze, że niektóre państwa członkowskie nadal nie znalazły odpowiedniego rozwiązania problemu utrzymujących się barier i nie wdrożyły odpowiednich rozwiązań, które ułatwiają głosowanie obywatelom z niepełnosprawnościami, przez co nie mogą oni brać znaczącego udziału ani zapewnić reprezentacji tej grupy w procesach demokratycznych; </w:t>
      </w:r>
    </w:p>
    <w:p w:rsidR="0024366D" w:rsidRPr="00225751" w:rsidRDefault="0024366D" w:rsidP="0024366D">
      <w:pPr>
        <w:pStyle w:val="NormalHanging12a"/>
      </w:pPr>
      <w:r w:rsidRPr="00225751">
        <w:t>G.</w:t>
      </w:r>
      <w:r w:rsidRPr="00225751">
        <w:tab/>
        <w:t>mając na uwadze, że pełne korzystanie z praw wyborczych przyznanych na mocy Traktatów przemieszczającym się obywatelom w wyborach do Parlamentu Europejskiego jest nadal utrudnione przez nieuzasadnione bariery dla demokratycznego uczestnictwa, w tym brak wiedzy na temat warunków i obowiązujących zasad; mając na uwadze, że Komisja przedstawiła wniosek ustawodawczy dotyczący niektórych ze wspomnianych problemów;</w:t>
      </w:r>
    </w:p>
    <w:p w:rsidR="0024366D" w:rsidRPr="00225751" w:rsidRDefault="0024366D" w:rsidP="0024366D">
      <w:pPr>
        <w:pStyle w:val="NormalHanging12a"/>
      </w:pPr>
      <w:r w:rsidRPr="00225751">
        <w:t>H.</w:t>
      </w:r>
      <w:r w:rsidRPr="00225751">
        <w:tab/>
      </w:r>
      <w:proofErr w:type="gramStart"/>
      <w:r w:rsidRPr="00225751">
        <w:t>mając</w:t>
      </w:r>
      <w:proofErr w:type="gramEnd"/>
      <w:r w:rsidRPr="00225751">
        <w:t xml:space="preserve"> na uwadze, że kampanie polityczne przed wyborami europejskimi prowadzone w państwach członkowskich zbyt często są niewystarczająco „europejskie” i raczej zdominowane przez dyskusje polityczne o czysto krajowym, regionalnym i lokalnym charakterze; mając na uwadze, że partie polityczne i kandydaci mają obowiązek odpowiedniego informowania obywateli o wyzwaniach politycznych na szczeblu UE; </w:t>
      </w:r>
    </w:p>
    <w:p w:rsidR="0024366D" w:rsidRPr="00225751" w:rsidRDefault="0024366D" w:rsidP="0024366D">
      <w:pPr>
        <w:pStyle w:val="Normal12a24b"/>
      </w:pPr>
      <w:r w:rsidRPr="00225751">
        <w:rPr>
          <w:rStyle w:val="BoldItalic"/>
        </w:rPr>
        <w:t>Umocnienie demokracji europejskiej w wyborach</w:t>
      </w:r>
      <w:r w:rsidR="00A052FC">
        <w:rPr>
          <w:rStyle w:val="BoldItalic"/>
        </w:rPr>
        <w:t xml:space="preserve"> w 2024 r.</w:t>
      </w:r>
    </w:p>
    <w:p w:rsidR="0024366D" w:rsidRPr="00225751" w:rsidRDefault="0024366D" w:rsidP="0024366D">
      <w:pPr>
        <w:pStyle w:val="NormalHanging12a"/>
      </w:pPr>
      <w:r w:rsidRPr="00225751">
        <w:t>1.</w:t>
      </w:r>
      <w:r w:rsidRPr="00225751">
        <w:tab/>
      </w:r>
      <w:proofErr w:type="gramStart"/>
      <w:r w:rsidRPr="00225751">
        <w:t>z</w:t>
      </w:r>
      <w:proofErr w:type="gramEnd"/>
      <w:r w:rsidRPr="00225751">
        <w:t xml:space="preserve"> zadowoleniem przyjmuje wyższą frekwencję w wyborach europejskich w 2019 r. i dąży do dalszego zwiększenia frekwencji w wyborach europejskich w 2024 r.; podkreśla znaczenie zwiększenia udziału w wyborach; zauważa, że konieczne są dalsze wysiłki w celu zwiększenia frekwencji wśród przemieszczających się obywateli; ubolewa nad brakiem postępów w Radzie na drodze do przyjęcia nowego europejskiego prawa wyborczego przyjętego przez Parlament Europejski 3 maja 2022 r.; domaga się szybkiego zatwierdzenia tych przepisów przez Radę; oczekuje, że Rada osiągnie kompromis i zgodzi się w całości z wnioskiem Parlamentu;</w:t>
      </w:r>
    </w:p>
    <w:p w:rsidR="0024366D" w:rsidRPr="00225751" w:rsidRDefault="0024366D" w:rsidP="0024366D">
      <w:pPr>
        <w:pStyle w:val="NormalHanging12a"/>
      </w:pPr>
      <w:r w:rsidRPr="00225751">
        <w:t>2.</w:t>
      </w:r>
      <w:r w:rsidRPr="00225751">
        <w:tab/>
      </w:r>
      <w:proofErr w:type="gramStart"/>
      <w:r w:rsidRPr="00225751">
        <w:t>podkreśla</w:t>
      </w:r>
      <w:proofErr w:type="gramEnd"/>
      <w:r w:rsidRPr="00225751">
        <w:t xml:space="preserve"> ważną rolę europejskich partii i wszystkich zainteresowanych podmiotów społecznych w przyczynianiu się do debaty na temat europejskiej polityki publicznej oraz w kształtowaniu europejskiej świadomości politycznej; ubolewa jednak, że ograniczenia wynikające z obecnych unijnych i krajowych ram regulacyjnych uniemożliwiają europejskim partiom politycznym pełne uczestnictwo w europejskich kampaniach wyborczych; zachęca europejskie partie polityczne do prowadzenia własnych kampanii wyborczych do Parlamentu Europejskiego; wzywa krajowe i europejskie partie polityczne, a także, w stosownych przypadkach, państwa członkowskie, do:</w:t>
      </w:r>
    </w:p>
    <w:p w:rsidR="0024366D" w:rsidRPr="00225751" w:rsidRDefault="0024366D" w:rsidP="0024366D">
      <w:pPr>
        <w:pStyle w:val="NormalHanging12a"/>
        <w:ind w:left="1134"/>
      </w:pPr>
      <w:r w:rsidRPr="00225751">
        <w:t>–</w:t>
      </w:r>
      <w:r w:rsidRPr="00225751">
        <w:tab/>
        <w:t>prowadzenia europejskiej kampanii wyborczej zgodnie z wartościami Unii;</w:t>
      </w:r>
    </w:p>
    <w:p w:rsidR="0024366D" w:rsidRPr="00225751" w:rsidRDefault="0024366D" w:rsidP="0024366D">
      <w:pPr>
        <w:pStyle w:val="NormalHanging12a"/>
        <w:ind w:left="1134"/>
      </w:pPr>
      <w:r w:rsidRPr="00225751">
        <w:t>–</w:t>
      </w:r>
      <w:r w:rsidRPr="00225751">
        <w:tab/>
        <w:t>przestrzegania standardów demokratycznych i wewnętrznych zasad demokracji partyjnej w celu zapewnienia, aby na przykład nominowanie kandydatów odbywało się w sposób demokratyczny, co dotyczy także czołowych kandydatów na przewodniczącego lub przewodniczącą Komisji Europejskiej;</w:t>
      </w:r>
    </w:p>
    <w:p w:rsidR="0024366D" w:rsidRPr="00225751" w:rsidRDefault="0024366D" w:rsidP="0024366D">
      <w:pPr>
        <w:pStyle w:val="NormalHanging12a"/>
        <w:ind w:left="1134"/>
      </w:pPr>
      <w:r w:rsidRPr="00225751">
        <w:t>–</w:t>
      </w:r>
      <w:r w:rsidRPr="00225751">
        <w:tab/>
        <w:t>sporządzania programów wyborczych z odpowiednim wyprzedzeniem przed wyborami;</w:t>
      </w:r>
    </w:p>
    <w:p w:rsidR="0024366D" w:rsidRPr="00225751" w:rsidRDefault="0024366D" w:rsidP="0024366D">
      <w:pPr>
        <w:pStyle w:val="NormalHanging12a"/>
        <w:ind w:left="1134"/>
      </w:pPr>
      <w:r w:rsidRPr="00225751">
        <w:t>–</w:t>
      </w:r>
      <w:r w:rsidRPr="00225751">
        <w:tab/>
        <w:t>zwiększenia widoczności europejskich partii politycznych – w tym ich nazw lub logo – w debatach publicznych i kampaniach medialnych;</w:t>
      </w:r>
    </w:p>
    <w:p w:rsidR="0024366D" w:rsidRPr="00225751" w:rsidRDefault="0024366D" w:rsidP="0024366D">
      <w:pPr>
        <w:pStyle w:val="NormalHanging12a"/>
        <w:ind w:left="1134"/>
      </w:pPr>
      <w:r w:rsidRPr="00225751">
        <w:t>–</w:t>
      </w:r>
      <w:r w:rsidRPr="00225751">
        <w:tab/>
        <w:t>konsekwentnego wskazywania swoich europejskich odpowiedników w komunikacji publicznej;</w:t>
      </w:r>
    </w:p>
    <w:p w:rsidR="0024366D" w:rsidRPr="00225751" w:rsidRDefault="0024366D" w:rsidP="0024366D">
      <w:pPr>
        <w:pStyle w:val="NormalHanging12a"/>
        <w:ind w:left="1134"/>
      </w:pPr>
      <w:r w:rsidRPr="00225751">
        <w:t>–</w:t>
      </w:r>
      <w:r w:rsidRPr="00225751">
        <w:tab/>
        <w:t>wspierania umieszczania nazwy lub logo europejskich partii politycznych w widoczny sposób na kartach do głosowania i w materiałach wyborczych;</w:t>
      </w:r>
    </w:p>
    <w:p w:rsidR="0024366D" w:rsidRPr="00225751" w:rsidRDefault="0024366D" w:rsidP="0024366D">
      <w:pPr>
        <w:pStyle w:val="NormalHanging12a"/>
        <w:ind w:left="1134"/>
      </w:pPr>
      <w:r w:rsidRPr="00225751">
        <w:t>–</w:t>
      </w:r>
      <w:r w:rsidRPr="00225751">
        <w:tab/>
        <w:t>zwiększania świadomości na temat nowo opracowanych przepisów dotyczących europejskich partii politycznych i europejskich fundacji politycznych przed ich formalnym wejściem w życie;</w:t>
      </w:r>
    </w:p>
    <w:p w:rsidR="0024366D" w:rsidRPr="00225751" w:rsidRDefault="0024366D" w:rsidP="0024366D">
      <w:pPr>
        <w:pStyle w:val="NormalHanging12a"/>
        <w:ind w:left="1134"/>
      </w:pPr>
      <w:r w:rsidRPr="00225751">
        <w:t>–</w:t>
      </w:r>
      <w:r w:rsidRPr="00225751">
        <w:tab/>
        <w:t>osiągnięcia porozumienia co do sposobu postępowania po wyborach, w tym w odniesieniu do negocjacji w sprawie przewodniczących instytucji unijnych;</w:t>
      </w:r>
    </w:p>
    <w:p w:rsidR="0024366D" w:rsidRPr="00225751" w:rsidRDefault="0024366D" w:rsidP="0024366D">
      <w:pPr>
        <w:pStyle w:val="NormalHanging12a"/>
      </w:pPr>
      <w:r w:rsidRPr="00225751">
        <w:t>3.</w:t>
      </w:r>
      <w:r w:rsidRPr="00225751">
        <w:tab/>
      </w:r>
      <w:proofErr w:type="gramStart"/>
      <w:r w:rsidRPr="00225751">
        <w:t>wspiera</w:t>
      </w:r>
      <w:proofErr w:type="gramEnd"/>
      <w:r w:rsidRPr="00225751">
        <w:t xml:space="preserve"> plan działania dotyczący kampanii europejskiej („E-CAP”) opracowany przez Urząd ds. Partii Politycznych i Fundacji Politycznych (APPF), w szczególności w odniesieniu do widoczności czołowych kandydatów i europejskich partii politycznych; podkreśla znaczenie działań APPF w zakresie informowania obywateli;</w:t>
      </w:r>
    </w:p>
    <w:p w:rsidR="0024366D" w:rsidRPr="00225751" w:rsidRDefault="0024366D" w:rsidP="0024366D">
      <w:pPr>
        <w:pStyle w:val="NormalHanging12a"/>
      </w:pPr>
      <w:r w:rsidRPr="00225751">
        <w:t>4.</w:t>
      </w:r>
      <w:r w:rsidRPr="00225751">
        <w:tab/>
      </w:r>
      <w:proofErr w:type="gramStart"/>
      <w:r w:rsidRPr="00225751">
        <w:t>ubolewa</w:t>
      </w:r>
      <w:proofErr w:type="gramEnd"/>
      <w:r w:rsidRPr="00225751">
        <w:t xml:space="preserve"> nad tym, że system czołowych kandydatów na przewodniczącego lub przewodniczącą Komisji Europejskiej nie został wdrożony w wyborach europejskich w 2019 r.; ubolewa ponadto nad brakiem postępów w tej kwestii od 2019 r. ze strony Rady Europejskiej i Komisji Europejskiej, które zobowiązały się do ulepszenia europejskiej demokracji; uważa, że powinien istnieć jasny i wiarygodny związek między wyborem dokonanym przez głosujących i wyborem na przewodniczącego lub przewodniczącą Komisji; wzywa europejskie partie polityczne, krajowe partie polityczne i rządy krajowe do współpracy, aby zapewnić taki rezultat podczas następnych wyborów; zauważa, że wybór na przewodniczącego lub przewodniczącą Komisji zależy od uzyskania poparcia większości posłów do Parlamentu Europejskiego, tak aby wyniki wyborów zostały w nim w pełni uwzględnione, zgodnie z Traktatem z Lizbony; </w:t>
      </w:r>
    </w:p>
    <w:p w:rsidR="0024366D" w:rsidRPr="00225751" w:rsidRDefault="0024366D" w:rsidP="0024366D">
      <w:pPr>
        <w:pStyle w:val="NormalHanging12a"/>
      </w:pPr>
      <w:r w:rsidRPr="00225751">
        <w:t>5.</w:t>
      </w:r>
      <w:r w:rsidRPr="00225751">
        <w:tab/>
      </w:r>
      <w:proofErr w:type="gramStart"/>
      <w:r w:rsidRPr="00225751">
        <w:t>wzywa</w:t>
      </w:r>
      <w:proofErr w:type="gramEnd"/>
      <w:r w:rsidRPr="00225751">
        <w:t xml:space="preserve"> Radę Europejską do zagwarantowania obywatelom europejskim pewności co do systemu czołowych kandydatów oraz do zaprzestania zawierania umów za zamkniętymi drzwiami; wzywa Radę Europejską do rozpoczęcia konsultacji w tym celu z dużym wyprzedzeniem w celu wdrożenia systemu czołowego kandydata z uwzględnieniem wyników wyborów europejskich;</w:t>
      </w:r>
    </w:p>
    <w:p w:rsidR="0024366D" w:rsidRPr="00225751" w:rsidRDefault="0024366D" w:rsidP="0024366D">
      <w:pPr>
        <w:pStyle w:val="NormalHanging12a"/>
      </w:pPr>
      <w:r w:rsidRPr="00225751">
        <w:t>6.</w:t>
      </w:r>
      <w:r w:rsidRPr="00225751">
        <w:tab/>
      </w:r>
      <w:proofErr w:type="gramStart"/>
      <w:r w:rsidRPr="00225751">
        <w:t>oczekuje</w:t>
      </w:r>
      <w:proofErr w:type="gramEnd"/>
      <w:r w:rsidRPr="00225751">
        <w:t xml:space="preserve">, że wszystkie europejskie partie polityczne wyznaczą swoich kandydatów na stanowisko przewodniczącego lub przewodniczącą Komisji w odpowiednim czasie, co najmniej 12 tygodni przed dniem wyborów; </w:t>
      </w:r>
    </w:p>
    <w:p w:rsidR="0024366D" w:rsidRPr="00225751" w:rsidRDefault="0024366D" w:rsidP="0024366D">
      <w:pPr>
        <w:pStyle w:val="NormalHanging12a"/>
      </w:pPr>
      <w:r w:rsidRPr="00225751">
        <w:t>7.</w:t>
      </w:r>
      <w:r w:rsidRPr="00225751">
        <w:tab/>
      </w:r>
      <w:proofErr w:type="gramStart"/>
      <w:r w:rsidRPr="00225751">
        <w:t>wzywa</w:t>
      </w:r>
      <w:proofErr w:type="gramEnd"/>
      <w:r w:rsidRPr="00225751">
        <w:t xml:space="preserve"> do zawarcia porozumienia międzyinstytucjonalnego między Parlamentem a Radą Europejską w sprawie systemu czołowych kandydatów na podstawie art. 17 ust. 7 TUE; zwraca się do przewodniczącej Parlamentu Europejskiego o natychmiastowe rozpoczęcie prac przygotowawczych do zawarcia takiego porozumienia; uważa, że czołowi kandydaci oraz przewodniczący europejskich partii politycznych i ich odpowiednich grup parlamentarnych powinny przystąpić do negocjacji od razu po wyborach europejskich w 2024 r., aby uzgodnić w imieniu Parlamentu Europejskiego wspólnego kandydata lub kandydatkę na przewodniczącego lub przewodniczącą Komisji zanim Rada Europejska przedstawi swoją propozycję;</w:t>
      </w:r>
    </w:p>
    <w:p w:rsidR="0024366D" w:rsidRPr="00225751" w:rsidRDefault="0024366D" w:rsidP="0024366D">
      <w:pPr>
        <w:pStyle w:val="NormalHanging12a"/>
      </w:pPr>
      <w:r w:rsidRPr="00225751">
        <w:t>8.</w:t>
      </w:r>
      <w:r w:rsidRPr="00225751">
        <w:tab/>
      </w:r>
      <w:proofErr w:type="gramStart"/>
      <w:r w:rsidRPr="00225751">
        <w:t>uważa</w:t>
      </w:r>
      <w:proofErr w:type="gramEnd"/>
      <w:r w:rsidRPr="00225751">
        <w:t>, że czołowy kandydat lub kandydatka europejskiej partii politycznej, która uzyskała największą część mandatów w wyborach do Parlamentu Europejskiego, musi w pierwszej kolejności prowadzić negocjacje mające na celu wyłonienie wspólnego kandydata lub kandydatki największą większością głosów, a następnie, w razie potrzeby, pozostałych czołowych kandydatów, proporcjonalnie do liczby miejsc uzyskanych przez poszczególne europejskie partie polityczne; proponuje, aby przewodnicząca Parlamentu Europejskiego była w razie potrzeby gotowa do kierowania tym procesem;</w:t>
      </w:r>
    </w:p>
    <w:p w:rsidR="0024366D" w:rsidRPr="00225751" w:rsidRDefault="0024366D" w:rsidP="0024366D">
      <w:pPr>
        <w:pStyle w:val="NormalHanging12a"/>
      </w:pPr>
      <w:r w:rsidRPr="00225751">
        <w:t>9.</w:t>
      </w:r>
      <w:r w:rsidRPr="00225751">
        <w:tab/>
      </w:r>
      <w:proofErr w:type="gramStart"/>
      <w:r w:rsidRPr="00225751">
        <w:t>podkreśla</w:t>
      </w:r>
      <w:proofErr w:type="gramEnd"/>
      <w:r w:rsidRPr="00225751">
        <w:t>, że do prerogatyw przewodniczącej Parlamentu Europejskiego należeć będzie przekazanie Radzie Europejskiej nazwiska wspólnego kandydata lub kandydatki Parlamentu na stanowisko przewodniczącego lub przewodniczącej Komisji Europejskiej;</w:t>
      </w:r>
    </w:p>
    <w:p w:rsidR="0024366D" w:rsidRPr="00225751" w:rsidRDefault="0024366D" w:rsidP="0024366D">
      <w:pPr>
        <w:pStyle w:val="NormalHanging12a"/>
      </w:pPr>
      <w:r w:rsidRPr="00225751">
        <w:t>10.</w:t>
      </w:r>
      <w:r w:rsidRPr="00225751">
        <w:tab/>
      </w:r>
      <w:proofErr w:type="gramStart"/>
      <w:r w:rsidRPr="00225751">
        <w:t>zaleca</w:t>
      </w:r>
      <w:proofErr w:type="gramEnd"/>
      <w:r w:rsidRPr="00225751">
        <w:t>, aby w przypadku braku wspólnego kandydata lub kandydatki Parlamentu Europejskiego na przewodniczącego lub przewodniczącą Komisji przewodniczący Rady Europejskiej podjął konsultacje z przewodniczącą Parlamentu Europejskiego, czołowymi kandydatami, przewodniczącymi europejskich partii politycznych i ich odpowiednich grup parlamentarnych, zanim Rada Europejska przedstawi Parlamentowi Europejskiemu własną propozycję;</w:t>
      </w:r>
    </w:p>
    <w:p w:rsidR="0024366D" w:rsidRPr="00225751" w:rsidRDefault="0024366D" w:rsidP="0024366D">
      <w:pPr>
        <w:pStyle w:val="NormalHanging12a"/>
      </w:pPr>
      <w:r w:rsidRPr="00225751">
        <w:t>11.</w:t>
      </w:r>
      <w:r w:rsidRPr="00225751">
        <w:tab/>
      </w:r>
      <w:proofErr w:type="gramStart"/>
      <w:r w:rsidRPr="00225751">
        <w:t>uważa</w:t>
      </w:r>
      <w:proofErr w:type="gramEnd"/>
      <w:r w:rsidRPr="00225751">
        <w:t xml:space="preserve"> w związku z tym, że Rada Europejska powinna poczekać z propozycją kandydatka lub kandydatki na przewodniczącego lub przewodniczącą Komisji Europejskiej, aby Parlament Europejski przedstawił wspólnego kandydata lub kandydatki, zgodnie z odpowiednimi konsultacjami, o których mowa w art. 17 ust. 7 TUE, oraz zgodnie z zasadą lojalnej współpracy;</w:t>
      </w:r>
    </w:p>
    <w:p w:rsidR="0024366D" w:rsidRPr="00225751" w:rsidRDefault="0024366D" w:rsidP="0024366D">
      <w:pPr>
        <w:pStyle w:val="NormalHanging12a"/>
      </w:pPr>
      <w:r w:rsidRPr="00225751">
        <w:t>12.</w:t>
      </w:r>
      <w:r w:rsidRPr="00225751">
        <w:tab/>
      </w:r>
      <w:proofErr w:type="gramStart"/>
      <w:r w:rsidRPr="00225751">
        <w:t>przypomina</w:t>
      </w:r>
      <w:proofErr w:type="gramEnd"/>
      <w:r w:rsidRPr="00225751">
        <w:t xml:space="preserve"> o prerogatywie Parlamentu Europejskiego dotyczącej wyboru własnego przewodniczącego lub przewodniczącej;</w:t>
      </w:r>
    </w:p>
    <w:p w:rsidR="0024366D" w:rsidRPr="00225751" w:rsidRDefault="0024366D" w:rsidP="0024366D">
      <w:pPr>
        <w:pStyle w:val="NormalHanging12a"/>
      </w:pPr>
      <w:r w:rsidRPr="00225751">
        <w:t>13.</w:t>
      </w:r>
      <w:r w:rsidRPr="00225751">
        <w:tab/>
      </w:r>
      <w:proofErr w:type="gramStart"/>
      <w:r w:rsidRPr="00225751">
        <w:t>oczekuje</w:t>
      </w:r>
      <w:proofErr w:type="gramEnd"/>
      <w:r w:rsidRPr="00225751">
        <w:t>, że europejskie partie polityczne i ich grupy parlamentarne przyjmą „umowę legislacyjną” na czas kadencji 2024–2029; byłby to sposób na uzyskanie większości w Parlamencie przed mianowaniem Komisji, a także podstawa prac oraz gwarancja spójnych działań następczych po wyborach wobec wyborców; uważa, że kandydaci i kandydatki na członków Komisji Europejskiej powinni podpisać taką „umowę legislacyjną”, aby uzyskać poparcie większości Parlamentu; zauważa, że szerokie poparcie polityczne ma kluczowe znaczenie dla wdrożenia takiej umowy;</w:t>
      </w:r>
    </w:p>
    <w:p w:rsidR="0024366D" w:rsidRPr="00225751" w:rsidRDefault="0024366D" w:rsidP="0024366D">
      <w:pPr>
        <w:pStyle w:val="NormalHanging12a"/>
      </w:pPr>
      <w:r w:rsidRPr="00225751">
        <w:t>14.</w:t>
      </w:r>
      <w:r w:rsidRPr="00225751">
        <w:tab/>
      </w:r>
      <w:proofErr w:type="gramStart"/>
      <w:r w:rsidRPr="00225751">
        <w:t>jest</w:t>
      </w:r>
      <w:proofErr w:type="gramEnd"/>
      <w:r w:rsidRPr="00225751">
        <w:t xml:space="preserve"> przekonany, że ustanowienie wspólnego europejskiego dnia wyborów nadałoby im spójniejszy ogólnoeuropejski charakter;</w:t>
      </w:r>
    </w:p>
    <w:p w:rsidR="0024366D" w:rsidRPr="00225751" w:rsidRDefault="0024366D" w:rsidP="0024366D">
      <w:pPr>
        <w:pStyle w:val="NormalHanging12a"/>
      </w:pPr>
      <w:r w:rsidRPr="00225751">
        <w:t>15.</w:t>
      </w:r>
      <w:r w:rsidRPr="00225751">
        <w:tab/>
      </w:r>
      <w:proofErr w:type="gramStart"/>
      <w:r w:rsidRPr="00225751">
        <w:t>przypomina</w:t>
      </w:r>
      <w:proofErr w:type="gramEnd"/>
      <w:r w:rsidRPr="00225751">
        <w:t xml:space="preserve"> o odpowiedzialności za nadzór polityczny powierzony Parlamentowi na mocy traktatów; podkreśla, że rozliczalność Komisji przed Parlamentem stanowi ważną zasadę wewnętrznej kontroli demokratycznej; przypomina, że przesłuchania kandydatów i kandydatek na komisarzy i do kolegium komisarzy stanowią kluczowy krok w kierunku dalszej demokratyzacji procesu decyzyjnego UE; dzięki temu Parlament odgrywa też większą rolę w ustalaniu programu działań na szczeblu UE;</w:t>
      </w:r>
    </w:p>
    <w:p w:rsidR="0024366D" w:rsidRPr="00225751" w:rsidRDefault="0024366D" w:rsidP="0024366D">
      <w:pPr>
        <w:pStyle w:val="Normal12a24b"/>
      </w:pPr>
      <w:r w:rsidRPr="00225751">
        <w:rPr>
          <w:rStyle w:val="BoldItalic"/>
        </w:rPr>
        <w:t>Uczestnictwo obywatelskie i nadawanie praw wyborczych</w:t>
      </w:r>
    </w:p>
    <w:p w:rsidR="0024366D" w:rsidRPr="00225751" w:rsidRDefault="0024366D" w:rsidP="0024366D">
      <w:pPr>
        <w:pStyle w:val="NormalHanging12a"/>
      </w:pPr>
      <w:r w:rsidRPr="00225751">
        <w:t>16.</w:t>
      </w:r>
      <w:r w:rsidRPr="00225751">
        <w:tab/>
      </w:r>
      <w:proofErr w:type="gramStart"/>
      <w:r w:rsidRPr="00225751">
        <w:t>uważa</w:t>
      </w:r>
      <w:proofErr w:type="gramEnd"/>
      <w:r w:rsidRPr="00225751">
        <w:t>, że zasadnicze znaczenie ma zagwarantowanie wszystkim obywatelom Unii posiadającym prawo do głosowania i kandydowania w wyborach, w tym przemieszczającym się obywatelom Unii, obywatelom z niepełnosprawnościami i obywatelom w sytuacji bezdomności, możliwości korzystania z tego prawa;</w:t>
      </w:r>
    </w:p>
    <w:p w:rsidR="0024366D" w:rsidRPr="00225751" w:rsidRDefault="0024366D" w:rsidP="0024366D">
      <w:pPr>
        <w:pStyle w:val="NormalHanging12a"/>
      </w:pPr>
      <w:r w:rsidRPr="00225751">
        <w:t>17.</w:t>
      </w:r>
      <w:r w:rsidRPr="00225751">
        <w:tab/>
      </w:r>
      <w:proofErr w:type="gramStart"/>
      <w:r w:rsidRPr="00225751">
        <w:t>wzywa</w:t>
      </w:r>
      <w:proofErr w:type="gramEnd"/>
      <w:r w:rsidRPr="00225751">
        <w:t xml:space="preserve"> państwa członkowskie, aby zagwarantowały dostępność wyborów za pomocą środków dostępu do informacji i dostępnych zasad głosowania – na przykład technologii, formatów i technik wspomagających, takich jak alfabet Braille’a, kody QR, duży druk, informacje głosowe oraz matryce dotykowe, informacje w języku łatwym do czytania i zrozumienia oraz informacje w języku migowym; uważa, że publiczne kampanie uświadamiające są kluczem do zwiększenia frekwencji; wzywa państwa członkowskie do podjęcia wszystkich starań w tym zakresie, także z udziałem organizacji społeczeństwa obywatelskiego;</w:t>
      </w:r>
    </w:p>
    <w:p w:rsidR="0024366D" w:rsidRDefault="0024366D" w:rsidP="0024366D">
      <w:pPr>
        <w:pStyle w:val="NormalHanging12a"/>
      </w:pPr>
      <w:r w:rsidRPr="00225751">
        <w:t>18.</w:t>
      </w:r>
      <w:r w:rsidRPr="00225751">
        <w:tab/>
      </w:r>
      <w:proofErr w:type="gramStart"/>
      <w:r w:rsidRPr="00225751">
        <w:t>uważa</w:t>
      </w:r>
      <w:proofErr w:type="gramEnd"/>
      <w:r w:rsidRPr="00225751">
        <w:t>, że dostęp do informacji o kampanii wyborczej jest warunkiem koniecznym zwiększenia udziału obywateli w wyborach; wzywa państwa członkowskie, by zachęcały media krajowe do relacjonowania wyborów w taki sposób, aby umożliwić obywatelom europejskim skorzystanie z prawa do głosowania i dostrzeżenie europejskiego wymiaru ich wyboru, także na obszarach wiejskich;</w:t>
      </w:r>
    </w:p>
    <w:p w:rsidR="000C390B" w:rsidRPr="00225751" w:rsidRDefault="000C390B" w:rsidP="0024366D">
      <w:pPr>
        <w:pStyle w:val="NormalHanging12a"/>
      </w:pPr>
      <w:r>
        <w:t>19</w:t>
      </w:r>
      <w:r w:rsidRPr="000C390B">
        <w:t>.</w:t>
      </w:r>
      <w:r w:rsidRPr="000C390B">
        <w:tab/>
      </w:r>
      <w:proofErr w:type="gramStart"/>
      <w:r w:rsidRPr="000C390B">
        <w:t>uważa</w:t>
      </w:r>
      <w:proofErr w:type="gramEnd"/>
      <w:r w:rsidRPr="000C390B">
        <w:t>, że instytucjonalna kampania informacyjna Parlamentu przyczynia się – we współpracy z organizacjami społeczeństwa obywatelskiego – do debaty na temat europejskiej polityki publicznej oraz do kształtowania europejskiej świadomości politycznej w odniesieniu do demokracji parlamentarnej, a także wspiera kampanię wyborczą wszystkich europejskich partii politycznych; z zadowoleniem przyjmuje skoordynowane wysiłki wszystkich instytucji UE w tym zakresie;</w:t>
      </w:r>
    </w:p>
    <w:p w:rsidR="0024366D" w:rsidRPr="00225751" w:rsidRDefault="000C390B" w:rsidP="0024366D">
      <w:pPr>
        <w:pStyle w:val="NormalHanging12a"/>
      </w:pPr>
      <w:r>
        <w:t>20</w:t>
      </w:r>
      <w:r w:rsidR="0024366D" w:rsidRPr="00225751">
        <w:t>.</w:t>
      </w:r>
      <w:r w:rsidR="0024366D" w:rsidRPr="00225751">
        <w:tab/>
      </w:r>
      <w:proofErr w:type="gramStart"/>
      <w:r w:rsidR="0024366D" w:rsidRPr="00225751">
        <w:t>ponawia</w:t>
      </w:r>
      <w:proofErr w:type="gramEnd"/>
      <w:r w:rsidR="0024366D" w:rsidRPr="00225751">
        <w:t xml:space="preserve"> swój apel do państw członkowskich o umożliwienie wszystkim obywatelom Unii mieszkającym lub pracującym w państwie trzecim przyznania prawa do głosowania w wyborach do Parlamentu Europejskiego; zwraca się do państw członkowskich o współpracę z Parlamentem Europejskim i Europejską Służbą Działań Zewnętrznych w celu informowania obywateli Unii w państwach trzecich o wyborach europejskich i ułatwiania im udziału w tych wyborach;</w:t>
      </w:r>
      <w:r>
        <w:t xml:space="preserve"> </w:t>
      </w:r>
      <w:r w:rsidRPr="000C390B">
        <w:t>wzywa wysokiego przedstawiciela Unii do spraw zagranicznych i polityki bezpieczeństwa, aby zachęcał ministrów spraw zagranicznych państw członkowskich do wymiany najlepszych praktyk w zakresie kampanii informacyjnych oraz do wprowadzenia ułatwień dotyczących głosowania z zagranicy, w tym do utworzenia dostępnych lokali wyborczych poza UE oraz korzystania z głosowania korespondencyjnego lub innych form głosowania zdalnego;</w:t>
      </w:r>
    </w:p>
    <w:p w:rsidR="0024366D" w:rsidRPr="00225751" w:rsidRDefault="000C390B" w:rsidP="0024366D">
      <w:pPr>
        <w:pStyle w:val="NormalHanging12a"/>
      </w:pPr>
      <w:r>
        <w:t>21</w:t>
      </w:r>
      <w:r w:rsidR="0024366D" w:rsidRPr="00225751">
        <w:t>.</w:t>
      </w:r>
      <w:r w:rsidR="0024366D" w:rsidRPr="00225751">
        <w:tab/>
      </w:r>
      <w:proofErr w:type="gramStart"/>
      <w:r w:rsidR="0024366D" w:rsidRPr="00225751">
        <w:t>ubolewa</w:t>
      </w:r>
      <w:proofErr w:type="gramEnd"/>
      <w:r w:rsidR="0024366D" w:rsidRPr="00225751">
        <w:t>, że brak postępów w Radzie w sprawie wniosku Komisji dotyczącego dyrektywy Rady ustanawiającej szczegółowe warunki wykonywania prawa głosowania i kandydowania w wyborach do Parlamentu Europejskiego przez przemieszczających się obywateli Unii uniemożliwi wejście w życie innowacji zaproponowanych przez Komisję i Parlament w odpowiednim czasie przed wyborami w 2024 r.;</w:t>
      </w:r>
    </w:p>
    <w:p w:rsidR="0024366D" w:rsidRPr="00225751" w:rsidRDefault="000C390B" w:rsidP="0024366D">
      <w:pPr>
        <w:pStyle w:val="NormalHanging12a"/>
      </w:pPr>
      <w:r>
        <w:t>22</w:t>
      </w:r>
      <w:r w:rsidR="0024366D" w:rsidRPr="00225751">
        <w:t>.</w:t>
      </w:r>
      <w:r w:rsidR="0024366D" w:rsidRPr="00225751">
        <w:tab/>
      </w:r>
      <w:proofErr w:type="gramStart"/>
      <w:r w:rsidR="0024366D" w:rsidRPr="00225751">
        <w:t>zachęca</w:t>
      </w:r>
      <w:proofErr w:type="gramEnd"/>
      <w:r w:rsidR="0024366D" w:rsidRPr="00225751">
        <w:t xml:space="preserve"> do wprowadzenia głosowania korespondencyjnego, aby niemożność udania się do lokali wyborczych w dniu wyborów nie uniemożliwiała obywatelom Unii korzystania z przysługującego im prawa do głosowania; opowiada się ponadto za wprowadzeniem dodatkowych narzędzi ułatwiających głosowanie, takich jak wcześniejsze głosowanie fizyczne i głosowanie przez pełnomocnika, a także głosowanie elektroniczne i głosowanie przez internet;</w:t>
      </w:r>
    </w:p>
    <w:p w:rsidR="0024366D" w:rsidRPr="00225751" w:rsidRDefault="000C390B" w:rsidP="0024366D">
      <w:pPr>
        <w:pStyle w:val="NormalHanging12a"/>
      </w:pPr>
      <w:r>
        <w:t>23</w:t>
      </w:r>
      <w:r w:rsidR="0024366D" w:rsidRPr="00225751">
        <w:t>.</w:t>
      </w:r>
      <w:r w:rsidR="0024366D" w:rsidRPr="00225751">
        <w:tab/>
      </w:r>
      <w:proofErr w:type="gramStart"/>
      <w:r w:rsidR="0024366D" w:rsidRPr="00225751">
        <w:t>uważa</w:t>
      </w:r>
      <w:proofErr w:type="gramEnd"/>
      <w:r w:rsidR="0024366D" w:rsidRPr="00225751">
        <w:t xml:space="preserve"> równouprawnienie płci za kluczowy element służący poprawie reprezentacji w wyborach; z zadowoleniem przyjmuje postępy poczynione w kierunku zrównoważonego pod względem płci Parlamentu po wyborach europejskich w 2019 r., ale podkreśla istniejące różnice między państwami członkowskimi pod względem poziomu reprezentacji kobiet; zachęca w związku z tym do wdrożenia przepisów przyjętych przez Parlament 3 maja 2022 r. w sprawie nowego europejskiego prawa wyborczego;</w:t>
      </w:r>
    </w:p>
    <w:p w:rsidR="0024366D" w:rsidRPr="00225751" w:rsidRDefault="000C390B" w:rsidP="0024366D">
      <w:pPr>
        <w:pStyle w:val="NormalHanging12a"/>
      </w:pPr>
      <w:r>
        <w:t>24</w:t>
      </w:r>
      <w:r w:rsidR="0024366D" w:rsidRPr="00225751">
        <w:t>.</w:t>
      </w:r>
      <w:r w:rsidR="0024366D" w:rsidRPr="00225751">
        <w:tab/>
      </w:r>
      <w:proofErr w:type="gramStart"/>
      <w:r w:rsidR="0024366D" w:rsidRPr="00225751">
        <w:t>uważa</w:t>
      </w:r>
      <w:proofErr w:type="gramEnd"/>
      <w:r w:rsidR="0024366D" w:rsidRPr="00225751">
        <w:t>, że państwa członkowskie powinny rozważyć dostosowanie i obniżenie wieku uprawniającego do głosowania i minimalnego wieku kandydowania w wyborach, jak wskazano we wniosku dotyczącym prawa wyborczego i konkluzjach Konferencji w sprawie przyszłości Europy;</w:t>
      </w:r>
    </w:p>
    <w:p w:rsidR="0024366D" w:rsidRPr="00225751" w:rsidRDefault="0024366D" w:rsidP="0024366D">
      <w:pPr>
        <w:pStyle w:val="NormalHanging12a"/>
        <w:rPr>
          <w:rStyle w:val="BoldItalic"/>
        </w:rPr>
      </w:pPr>
      <w:r w:rsidRPr="00225751">
        <w:rPr>
          <w:rStyle w:val="BoldItalic"/>
        </w:rPr>
        <w:t xml:space="preserve">Odporność instytucjonalna </w:t>
      </w:r>
    </w:p>
    <w:p w:rsidR="0024366D" w:rsidRPr="00225751" w:rsidRDefault="000C390B" w:rsidP="0024366D">
      <w:pPr>
        <w:pStyle w:val="NormalHanging12a"/>
      </w:pPr>
      <w:r>
        <w:t>25</w:t>
      </w:r>
      <w:r w:rsidR="0024366D" w:rsidRPr="00225751">
        <w:t>.</w:t>
      </w:r>
      <w:r w:rsidR="0024366D" w:rsidRPr="00225751">
        <w:tab/>
      </w:r>
      <w:proofErr w:type="gramStart"/>
      <w:r w:rsidR="0024366D" w:rsidRPr="00225751">
        <w:t>uważa</w:t>
      </w:r>
      <w:proofErr w:type="gramEnd"/>
      <w:r w:rsidR="0024366D" w:rsidRPr="00225751">
        <w:t>, że dezinformacja i ingerencja zagraniczna stanowią poważny atak na integralność procesu wyborczego i na demokrację europejską; podkreśla, że platformy cyfrowe odgrywają kluczową rolę w walce z dezinformacją;</w:t>
      </w:r>
    </w:p>
    <w:p w:rsidR="0024366D" w:rsidRPr="00225751" w:rsidRDefault="000C390B" w:rsidP="0024366D">
      <w:pPr>
        <w:pStyle w:val="NormalHanging12a"/>
      </w:pPr>
      <w:r>
        <w:t>26</w:t>
      </w:r>
      <w:r w:rsidR="0024366D" w:rsidRPr="00225751">
        <w:t>.</w:t>
      </w:r>
      <w:r w:rsidR="0024366D" w:rsidRPr="00225751">
        <w:tab/>
      </w:r>
      <w:proofErr w:type="gramStart"/>
      <w:r w:rsidR="0024366D" w:rsidRPr="00225751">
        <w:t>uznaje</w:t>
      </w:r>
      <w:proofErr w:type="gramEnd"/>
      <w:r w:rsidR="0024366D" w:rsidRPr="00225751">
        <w:t xml:space="preserve"> wysiłki instytucji UE na rzecz zwalczania dezinformacji i ingerencji zagranicznej, takie jak kodeks postępowania w zakresie zwalczania dezinformacji z 2022 r. i system wczesnego ostrzegania; podkreśla jednak potrzebę solidniejszych zabezpieczeń i środków zapobiegających dezinformacji oraz wewnętrznej i zewnętrznej ingerencji w proces wyborczy; zobowiązuje się do zwiększenia wysiłków w celu zwalczania prób ingerencji z zagranicy w Parlamencie Europejskim;</w:t>
      </w:r>
    </w:p>
    <w:p w:rsidR="0024366D" w:rsidRPr="00225751" w:rsidRDefault="000C390B" w:rsidP="0024366D">
      <w:pPr>
        <w:pStyle w:val="NormalHanging12a"/>
      </w:pPr>
      <w:r>
        <w:t>27</w:t>
      </w:r>
      <w:r w:rsidR="0024366D" w:rsidRPr="00225751">
        <w:t>.</w:t>
      </w:r>
      <w:r w:rsidR="0024366D" w:rsidRPr="00225751">
        <w:tab/>
      </w:r>
      <w:proofErr w:type="gramStart"/>
      <w:r w:rsidRPr="000C390B">
        <w:t>wskazuje</w:t>
      </w:r>
      <w:proofErr w:type="gramEnd"/>
      <w:r w:rsidRPr="000C390B">
        <w:t xml:space="preserve"> na trwające negocjacje międzyinstytucjonalne w sprawie wniosku dotyczącego rozporządzeń Parlamentu Europejskiego i Rady w sprawie europejskich partii politycznych i europejskich fundacji politycznych; wzywa Komisję i Radę do kontynuowania negocjacji międzyinstytucjonalnych w duchu szczerej współpracy; cieszy się z powodu osiągnięcia przez współprawodawców porozumienia w sprawie wniosku dotyczącego rozporządzenia Parlamentu Europejskiego i Rady w sprawie przejrzystości i targetowania reklamy politycznej; z zadowoleniem przyjmuje wykonalność niektórych przepisów, takich jak przepisy dotyczące niedyskryminacji, przed wyborami w 2024 r.; wzywa państwa członkowskie do pełnego wdrożenia pozostałych przepisów rozporządzenia po ich wejściu w życie;</w:t>
      </w:r>
    </w:p>
    <w:p w:rsidR="0024366D" w:rsidRPr="00225751" w:rsidRDefault="000C390B" w:rsidP="0024366D">
      <w:pPr>
        <w:pStyle w:val="NormalHanging12a"/>
      </w:pPr>
      <w:r>
        <w:t>28</w:t>
      </w:r>
      <w:r w:rsidR="0024366D" w:rsidRPr="00225751">
        <w:t>.</w:t>
      </w:r>
      <w:r w:rsidR="0024366D" w:rsidRPr="00225751">
        <w:tab/>
      </w:r>
      <w:proofErr w:type="gramStart"/>
      <w:r w:rsidR="0024366D" w:rsidRPr="00225751">
        <w:t>przypomina</w:t>
      </w:r>
      <w:proofErr w:type="gramEnd"/>
      <w:r w:rsidR="0024366D" w:rsidRPr="00225751">
        <w:t>, że Parlament przyjął rezolucję, a obecnie pracuje nad wnioskami dotyczącymi zmian do Traktatów, między innymi w celu umocnienia legitymacji demokratycznej UE oraz zapewnienia odpowiednich działań następczych w związku z wnioskami przyjętymi przez Konferencję w sprawie przyszłości Europy; zauważa, że wybory w 2024 r. stanowią wyjątkową okazję do rozpoczęcia ogólnounijnej debaty na temat reformy Unii w oparciu o propozycje reformy Traktatów przedstawione przez Parlament; wzywa Radę Europejską do szybkiego przyjęcia stanowiska w sprawie zwołania konwentu po przyjęciu wniosków przez Parlament; ponownie wyraża poparcie dla reformy Traktatów w tym kontekście;</w:t>
      </w:r>
    </w:p>
    <w:p w:rsidR="0024366D" w:rsidRDefault="000C390B" w:rsidP="0024366D">
      <w:pPr>
        <w:pStyle w:val="NormalHanging12a"/>
      </w:pPr>
      <w:r>
        <w:t>29</w:t>
      </w:r>
      <w:r w:rsidR="0024366D" w:rsidRPr="00225751">
        <w:t>.</w:t>
      </w:r>
      <w:r w:rsidR="0024366D" w:rsidRPr="00225751">
        <w:tab/>
      </w:r>
      <w:proofErr w:type="gramStart"/>
      <w:r w:rsidR="0024366D" w:rsidRPr="00225751">
        <w:t>wzywa</w:t>
      </w:r>
      <w:proofErr w:type="gramEnd"/>
      <w:r w:rsidR="0024366D" w:rsidRPr="00225751">
        <w:t xml:space="preserve"> do reformy Traktatów</w:t>
      </w:r>
      <w:r>
        <w:t xml:space="preserve"> i</w:t>
      </w:r>
      <w:r w:rsidR="0024366D" w:rsidRPr="00225751">
        <w:t xml:space="preserve"> wzywa Radę, a także Radę Europejską, do podjęcia działań w sprawie wniosku dotyczącego uruchomienia art. 48 TUE w celu zwołania konwentu mającego na celu również reformę europejskich procesów wyborczych;</w:t>
      </w:r>
    </w:p>
    <w:p w:rsidR="000C390B" w:rsidRPr="00225751" w:rsidRDefault="000C390B" w:rsidP="0024366D">
      <w:pPr>
        <w:pStyle w:val="NormalHanging12a"/>
      </w:pPr>
      <w:r>
        <w:t>30</w:t>
      </w:r>
      <w:r w:rsidRPr="000C390B">
        <w:t>.</w:t>
      </w:r>
      <w:r w:rsidRPr="000C390B">
        <w:tab/>
      </w:r>
      <w:proofErr w:type="gramStart"/>
      <w:r w:rsidRPr="000C390B">
        <w:t>podkreśla</w:t>
      </w:r>
      <w:proofErr w:type="gramEnd"/>
      <w:r w:rsidRPr="000C390B">
        <w:t>, że należy zwiększyć zaufanie wyborców do procesów wyborczych przez zagwarantowanie, iż wszystkie wybory będą wolne i uczciwe; zauważa w związku z tym, że w dniach 6–9 listopada 2023 r. OBWE przeprowadziła misję oceny potrzeb w czterech państwach członkowskich, aby zbadać przygotowania do misji obserwacji wyborów europejskich; proponuje prezydencji Rady, by zachęciła państwa członkowskie do zaproszenia OBWE do obserwacji wyborów europejskich oraz do pełnego wykorzystania tej możliwości;</w:t>
      </w:r>
    </w:p>
    <w:p w:rsidR="0024366D" w:rsidRPr="00225751" w:rsidRDefault="000C390B" w:rsidP="0024366D">
      <w:pPr>
        <w:pStyle w:val="NormalHanging12a"/>
      </w:pPr>
      <w:r>
        <w:t>31</w:t>
      </w:r>
      <w:r w:rsidR="0024366D" w:rsidRPr="00225751">
        <w:t>.</w:t>
      </w:r>
      <w:r w:rsidR="0024366D" w:rsidRPr="00225751">
        <w:tab/>
      </w:r>
      <w:proofErr w:type="gramStart"/>
      <w:r w:rsidR="0024366D" w:rsidRPr="00225751">
        <w:t>zwraca</w:t>
      </w:r>
      <w:proofErr w:type="gramEnd"/>
      <w:r w:rsidR="0024366D" w:rsidRPr="00225751">
        <w:t xml:space="preserve"> się do Komisji Spraw Konstytucyjnych o zbadanie, czy niektóre przepisy i zalecenia zawarte w tej rezolucji można by włączyć do Regulaminu Parlamentu;</w:t>
      </w:r>
    </w:p>
    <w:p w:rsidR="0024366D" w:rsidRPr="00225751" w:rsidRDefault="0024366D" w:rsidP="0024366D">
      <w:pPr>
        <w:pStyle w:val="NormalCenter12a"/>
      </w:pPr>
      <w:r w:rsidRPr="00225751">
        <w:t>°</w:t>
      </w:r>
    </w:p>
    <w:p w:rsidR="0024366D" w:rsidRPr="00225751" w:rsidRDefault="0024366D" w:rsidP="0024366D">
      <w:pPr>
        <w:pStyle w:val="NormalCenter12a"/>
      </w:pPr>
      <w:r w:rsidRPr="00225751">
        <w:t>°</w:t>
      </w:r>
      <w:r w:rsidRPr="00225751">
        <w:tab/>
        <w:t>°</w:t>
      </w:r>
    </w:p>
    <w:p w:rsidR="0024366D" w:rsidRPr="00225751" w:rsidRDefault="000C390B" w:rsidP="0024366D">
      <w:pPr>
        <w:pStyle w:val="NormalHanging12a"/>
      </w:pPr>
      <w:r>
        <w:t>32</w:t>
      </w:r>
      <w:r w:rsidR="0024366D" w:rsidRPr="00225751">
        <w:t>.</w:t>
      </w:r>
      <w:r w:rsidR="0024366D" w:rsidRPr="00225751">
        <w:tab/>
      </w:r>
      <w:proofErr w:type="gramStart"/>
      <w:r w:rsidR="0024366D" w:rsidRPr="00225751">
        <w:t>zobowiązuje</w:t>
      </w:r>
      <w:proofErr w:type="gramEnd"/>
      <w:r w:rsidR="0024366D" w:rsidRPr="00225751">
        <w:t xml:space="preserve"> swoją przewodniczącą do przekazania niniejszej rezolucji Radzie i Komisji.</w:t>
      </w:r>
    </w:p>
    <w:sectPr w:rsidR="0024366D" w:rsidRPr="00225751" w:rsidSect="002257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C54" w:rsidRPr="00225751" w:rsidRDefault="002C3C54">
      <w:r w:rsidRPr="00225751">
        <w:separator/>
      </w:r>
    </w:p>
  </w:endnote>
  <w:endnote w:type="continuationSeparator" w:id="0">
    <w:p w:rsidR="002C3C54" w:rsidRPr="00225751" w:rsidRDefault="002C3C54">
      <w:r w:rsidRPr="002257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75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75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75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C54" w:rsidRPr="00225751" w:rsidRDefault="002C3C54">
      <w:r w:rsidRPr="00225751">
        <w:separator/>
      </w:r>
    </w:p>
  </w:footnote>
  <w:footnote w:type="continuationSeparator" w:id="0">
    <w:p w:rsidR="002C3C54" w:rsidRPr="00225751" w:rsidRDefault="002C3C54">
      <w:r w:rsidRPr="00225751">
        <w:continuationSeparator/>
      </w:r>
    </w:p>
  </w:footnote>
  <w:footnote w:id="1">
    <w:p w:rsidR="0024366D" w:rsidRPr="00225751" w:rsidRDefault="0024366D" w:rsidP="00225751">
      <w:pPr>
        <w:pStyle w:val="FootnoteText"/>
        <w:ind w:left="567" w:hanging="567"/>
        <w:rPr>
          <w:sz w:val="24"/>
          <w:lang w:val="pl-PL"/>
        </w:rPr>
      </w:pPr>
      <w:r w:rsidRPr="00225751">
        <w:rPr>
          <w:rStyle w:val="FootnoteReference"/>
          <w:sz w:val="24"/>
          <w:lang w:val="pl-PL"/>
        </w:rPr>
        <w:footnoteRef/>
      </w:r>
      <w:r w:rsidR="00225751" w:rsidRPr="00225751">
        <w:rPr>
          <w:sz w:val="24"/>
          <w:lang w:val="pl-PL"/>
        </w:rPr>
        <w:t xml:space="preserve"> </w:t>
      </w:r>
      <w:r w:rsidR="00225751" w:rsidRPr="00225751">
        <w:rPr>
          <w:sz w:val="24"/>
          <w:lang w:val="pl-PL"/>
        </w:rPr>
        <w:tab/>
      </w:r>
      <w:r w:rsidRPr="00225751">
        <w:rPr>
          <w:sz w:val="24"/>
          <w:lang w:val="pl-PL"/>
        </w:rPr>
        <w:t xml:space="preserve">Dz.U. L 329 z 30.12.1993, </w:t>
      </w:r>
      <w:proofErr w:type="gramStart"/>
      <w:r w:rsidRPr="00225751">
        <w:rPr>
          <w:sz w:val="24"/>
          <w:lang w:val="pl-PL"/>
        </w:rPr>
        <w:t>s</w:t>
      </w:r>
      <w:proofErr w:type="gramEnd"/>
      <w:r w:rsidRPr="00225751">
        <w:rPr>
          <w:sz w:val="24"/>
          <w:lang w:val="pl-PL"/>
        </w:rPr>
        <w:t>. 34.</w:t>
      </w:r>
    </w:p>
  </w:footnote>
  <w:footnote w:id="2">
    <w:p w:rsidR="0024366D" w:rsidRPr="00225751" w:rsidRDefault="0024366D" w:rsidP="00225751">
      <w:pPr>
        <w:pStyle w:val="FootnoteText"/>
        <w:ind w:left="567" w:hanging="567"/>
        <w:rPr>
          <w:sz w:val="24"/>
          <w:lang w:val="pl-PL"/>
        </w:rPr>
      </w:pPr>
      <w:r w:rsidRPr="00225751">
        <w:rPr>
          <w:rStyle w:val="FootnoteReference"/>
          <w:sz w:val="24"/>
          <w:lang w:val="pl-PL"/>
        </w:rPr>
        <w:footnoteRef/>
      </w:r>
      <w:r w:rsidR="00225751" w:rsidRPr="00225751">
        <w:rPr>
          <w:sz w:val="24"/>
          <w:lang w:val="pl-PL"/>
        </w:rPr>
        <w:t xml:space="preserve"> </w:t>
      </w:r>
      <w:r w:rsidR="00225751" w:rsidRPr="00225751">
        <w:rPr>
          <w:sz w:val="24"/>
          <w:lang w:val="pl-PL"/>
        </w:rPr>
        <w:tab/>
      </w:r>
      <w:r w:rsidRPr="00225751">
        <w:rPr>
          <w:sz w:val="24"/>
          <w:lang w:val="pl-PL"/>
        </w:rPr>
        <w:t xml:space="preserve">Dz.U. C 75 z 26.2.2016, </w:t>
      </w:r>
      <w:proofErr w:type="gramStart"/>
      <w:r w:rsidRPr="00225751">
        <w:rPr>
          <w:sz w:val="24"/>
          <w:lang w:val="pl-PL"/>
        </w:rPr>
        <w:t>s</w:t>
      </w:r>
      <w:proofErr w:type="gramEnd"/>
      <w:r w:rsidRPr="00225751">
        <w:rPr>
          <w:sz w:val="24"/>
          <w:lang w:val="pl-PL"/>
        </w:rPr>
        <w:t>. 109.</w:t>
      </w:r>
    </w:p>
  </w:footnote>
  <w:footnote w:id="3">
    <w:p w:rsidR="0024366D" w:rsidRPr="00225751" w:rsidRDefault="0024366D" w:rsidP="00225751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225751">
        <w:rPr>
          <w:rStyle w:val="FootnoteReference"/>
          <w:sz w:val="24"/>
          <w:lang w:val="pl-PL"/>
        </w:rPr>
        <w:footnoteRef/>
      </w:r>
      <w:r w:rsidR="00225751" w:rsidRPr="00225751">
        <w:rPr>
          <w:sz w:val="24"/>
          <w:lang w:val="pl-PL"/>
        </w:rPr>
        <w:t xml:space="preserve"> </w:t>
      </w:r>
      <w:r w:rsidR="00225751" w:rsidRPr="00225751">
        <w:rPr>
          <w:sz w:val="24"/>
          <w:lang w:val="pl-PL"/>
        </w:rPr>
        <w:tab/>
      </w:r>
      <w:hyperlink r:id="rId1" w:history="1">
        <w:r w:rsidRPr="00225751">
          <w:rPr>
            <w:color w:val="0000FF"/>
            <w:sz w:val="24"/>
            <w:u w:val="single" w:color="0000FF"/>
            <w:lang w:val="pl-PL"/>
          </w:rPr>
          <w:t xml:space="preserve">Dz.U. L 114 I z 4.5.2018, </w:t>
        </w:r>
        <w:proofErr w:type="gramStart"/>
        <w:r w:rsidRPr="00225751">
          <w:rPr>
            <w:color w:val="0000FF"/>
            <w:sz w:val="24"/>
            <w:u w:val="single" w:color="0000FF"/>
            <w:lang w:val="pl-PL"/>
          </w:rPr>
          <w:t>s</w:t>
        </w:r>
        <w:proofErr w:type="gramEnd"/>
        <w:r w:rsidRPr="00225751">
          <w:rPr>
            <w:color w:val="0000FF"/>
            <w:sz w:val="24"/>
            <w:u w:val="single" w:color="0000FF"/>
            <w:lang w:val="pl-PL"/>
          </w:rPr>
          <w:t>. 1.</w:t>
        </w:r>
      </w:hyperlink>
    </w:p>
  </w:footnote>
  <w:footnote w:id="4">
    <w:p w:rsidR="0024366D" w:rsidRPr="00225751" w:rsidRDefault="0024366D" w:rsidP="00225751">
      <w:pPr>
        <w:pStyle w:val="FootnoteText"/>
        <w:ind w:left="567" w:hanging="567"/>
        <w:rPr>
          <w:sz w:val="24"/>
          <w:lang w:val="pl-PL"/>
        </w:rPr>
      </w:pPr>
      <w:r w:rsidRPr="00225751">
        <w:rPr>
          <w:rStyle w:val="FootnoteReference"/>
          <w:sz w:val="24"/>
          <w:lang w:val="pl-PL"/>
        </w:rPr>
        <w:footnoteRef/>
      </w:r>
      <w:r w:rsidR="00225751" w:rsidRPr="00225751">
        <w:rPr>
          <w:sz w:val="24"/>
          <w:lang w:val="pl-PL"/>
        </w:rPr>
        <w:t xml:space="preserve"> </w:t>
      </w:r>
      <w:r w:rsidR="00225751" w:rsidRPr="00225751">
        <w:rPr>
          <w:sz w:val="24"/>
          <w:lang w:val="pl-PL"/>
        </w:rPr>
        <w:tab/>
      </w:r>
      <w:r w:rsidRPr="00225751">
        <w:rPr>
          <w:sz w:val="24"/>
          <w:lang w:val="pl-PL"/>
        </w:rPr>
        <w:t xml:space="preserve">Dz.U. L 178 z 16.7.2018, </w:t>
      </w:r>
      <w:proofErr w:type="gramStart"/>
      <w:r w:rsidRPr="00225751">
        <w:rPr>
          <w:sz w:val="24"/>
          <w:lang w:val="pl-PL"/>
        </w:rPr>
        <w:t>s</w:t>
      </w:r>
      <w:proofErr w:type="gramEnd"/>
      <w:r w:rsidRPr="00225751">
        <w:rPr>
          <w:sz w:val="24"/>
          <w:lang w:val="pl-PL"/>
        </w:rPr>
        <w:t>. 1.</w:t>
      </w:r>
    </w:p>
  </w:footnote>
  <w:footnote w:id="5">
    <w:p w:rsidR="0024366D" w:rsidRPr="00225751" w:rsidRDefault="0024366D" w:rsidP="00225751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225751">
        <w:rPr>
          <w:rStyle w:val="FootnoteReference"/>
          <w:sz w:val="24"/>
          <w:lang w:val="pl-PL"/>
        </w:rPr>
        <w:footnoteRef/>
      </w:r>
      <w:r w:rsidR="00225751" w:rsidRPr="00225751">
        <w:rPr>
          <w:sz w:val="24"/>
          <w:lang w:val="pl-PL"/>
        </w:rPr>
        <w:t xml:space="preserve"> </w:t>
      </w:r>
      <w:r w:rsidR="00225751" w:rsidRPr="00225751">
        <w:rPr>
          <w:sz w:val="24"/>
          <w:lang w:val="pl-PL"/>
        </w:rPr>
        <w:tab/>
      </w:r>
      <w:hyperlink r:id="rId2" w:history="1">
        <w:r w:rsidRPr="00225751">
          <w:rPr>
            <w:color w:val="0000FF"/>
            <w:sz w:val="24"/>
            <w:u w:val="single" w:color="0000FF"/>
            <w:lang w:val="pl-PL"/>
          </w:rPr>
          <w:t xml:space="preserve">Dz.U. C 425 z 20.10.2021, </w:t>
        </w:r>
        <w:proofErr w:type="gramStart"/>
        <w:r w:rsidRPr="00225751">
          <w:rPr>
            <w:color w:val="0000FF"/>
            <w:sz w:val="24"/>
            <w:u w:val="single" w:color="0000FF"/>
            <w:lang w:val="pl-PL"/>
          </w:rPr>
          <w:t>s</w:t>
        </w:r>
        <w:proofErr w:type="gramEnd"/>
        <w:r w:rsidRPr="00225751">
          <w:rPr>
            <w:color w:val="0000FF"/>
            <w:sz w:val="24"/>
            <w:u w:val="single" w:color="0000FF"/>
            <w:lang w:val="pl-PL"/>
          </w:rPr>
          <w:t>. 98.</w:t>
        </w:r>
      </w:hyperlink>
    </w:p>
  </w:footnote>
  <w:footnote w:id="6">
    <w:p w:rsidR="0024366D" w:rsidRPr="00225751" w:rsidRDefault="0024366D" w:rsidP="00225751">
      <w:pPr>
        <w:pStyle w:val="FootnoteText"/>
        <w:ind w:left="567" w:hanging="567"/>
        <w:rPr>
          <w:sz w:val="24"/>
          <w:lang w:val="pl-PL"/>
        </w:rPr>
      </w:pPr>
      <w:r w:rsidRPr="00225751">
        <w:rPr>
          <w:rStyle w:val="FootnoteReference"/>
          <w:sz w:val="24"/>
          <w:lang w:val="pl-PL"/>
        </w:rPr>
        <w:footnoteRef/>
      </w:r>
      <w:r w:rsidR="00225751" w:rsidRPr="00225751">
        <w:rPr>
          <w:sz w:val="24"/>
          <w:lang w:val="pl-PL"/>
        </w:rPr>
        <w:t xml:space="preserve"> </w:t>
      </w:r>
      <w:r w:rsidR="00225751" w:rsidRPr="00225751">
        <w:rPr>
          <w:sz w:val="24"/>
          <w:lang w:val="pl-PL"/>
        </w:rPr>
        <w:tab/>
      </w:r>
      <w:r w:rsidRPr="00225751">
        <w:rPr>
          <w:sz w:val="24"/>
          <w:lang w:val="pl-PL"/>
        </w:rPr>
        <w:t xml:space="preserve">Dz.U. C 465 z 6.12.2022, </w:t>
      </w:r>
      <w:proofErr w:type="gramStart"/>
      <w:r w:rsidRPr="00225751">
        <w:rPr>
          <w:sz w:val="24"/>
          <w:lang w:val="pl-PL"/>
        </w:rPr>
        <w:t>s</w:t>
      </w:r>
      <w:proofErr w:type="gramEnd"/>
      <w:r w:rsidRPr="00225751">
        <w:rPr>
          <w:sz w:val="24"/>
          <w:lang w:val="pl-PL"/>
        </w:rPr>
        <w:t>. 171.</w:t>
      </w:r>
    </w:p>
  </w:footnote>
  <w:footnote w:id="7">
    <w:p w:rsidR="0024366D" w:rsidRPr="00225751" w:rsidRDefault="0024366D" w:rsidP="00225751">
      <w:pPr>
        <w:pStyle w:val="FootnoteText"/>
        <w:ind w:left="567" w:hanging="567"/>
        <w:rPr>
          <w:sz w:val="24"/>
          <w:lang w:val="pl-PL"/>
        </w:rPr>
      </w:pPr>
      <w:r w:rsidRPr="00225751">
        <w:rPr>
          <w:rStyle w:val="FootnoteReference"/>
          <w:sz w:val="24"/>
          <w:lang w:val="pl-PL"/>
        </w:rPr>
        <w:footnoteRef/>
      </w:r>
      <w:r w:rsidR="00225751" w:rsidRPr="00225751">
        <w:rPr>
          <w:sz w:val="24"/>
          <w:lang w:val="pl-PL"/>
        </w:rPr>
        <w:t xml:space="preserve"> </w:t>
      </w:r>
      <w:r w:rsidR="00225751" w:rsidRPr="00225751">
        <w:rPr>
          <w:sz w:val="24"/>
          <w:lang w:val="pl-PL"/>
        </w:rPr>
        <w:tab/>
      </w:r>
      <w:r w:rsidRPr="00225751">
        <w:rPr>
          <w:sz w:val="24"/>
          <w:lang w:val="pl-PL"/>
        </w:rPr>
        <w:t xml:space="preserve">Dz.U. C 125 z 5.4.2023, </w:t>
      </w:r>
      <w:proofErr w:type="gramStart"/>
      <w:r w:rsidRPr="00225751">
        <w:rPr>
          <w:sz w:val="24"/>
          <w:lang w:val="pl-PL"/>
        </w:rPr>
        <w:t>s</w:t>
      </w:r>
      <w:proofErr w:type="gramEnd"/>
      <w:r w:rsidRPr="00225751">
        <w:rPr>
          <w:sz w:val="24"/>
          <w:lang w:val="pl-PL"/>
        </w:rPr>
        <w:t>. 485.</w:t>
      </w:r>
    </w:p>
  </w:footnote>
  <w:footnote w:id="8">
    <w:p w:rsidR="000371B2" w:rsidRPr="00225751" w:rsidRDefault="000371B2" w:rsidP="000371B2">
      <w:pPr>
        <w:pStyle w:val="FootnoteText"/>
        <w:ind w:left="567" w:hanging="567"/>
        <w:rPr>
          <w:sz w:val="24"/>
          <w:lang w:val="pl-PL"/>
        </w:rPr>
      </w:pPr>
      <w:r w:rsidRPr="00225751">
        <w:rPr>
          <w:rStyle w:val="FootnoteReference"/>
          <w:sz w:val="24"/>
          <w:lang w:val="pl-PL"/>
        </w:rPr>
        <w:footnoteRef/>
      </w:r>
      <w:r w:rsidRPr="00225751">
        <w:rPr>
          <w:sz w:val="24"/>
          <w:lang w:val="pl-PL"/>
        </w:rPr>
        <w:t xml:space="preserve"> </w:t>
      </w:r>
      <w:r w:rsidRPr="00225751">
        <w:rPr>
          <w:sz w:val="24"/>
          <w:lang w:val="pl-PL"/>
        </w:rPr>
        <w:tab/>
        <w:t xml:space="preserve">Dz.U. C 267 z 28.7.2023, </w:t>
      </w:r>
      <w:proofErr w:type="gramStart"/>
      <w:r w:rsidRPr="00225751">
        <w:rPr>
          <w:sz w:val="24"/>
          <w:lang w:val="pl-PL"/>
        </w:rPr>
        <w:t>s</w:t>
      </w:r>
      <w:proofErr w:type="gramEnd"/>
      <w:r w:rsidRPr="00225751">
        <w:rPr>
          <w:sz w:val="24"/>
          <w:lang w:val="pl-PL"/>
        </w:rPr>
        <w:t>. 36.</w:t>
      </w:r>
    </w:p>
  </w:footnote>
  <w:footnote w:id="9">
    <w:p w:rsidR="000C390B" w:rsidRPr="000C390B" w:rsidRDefault="000C390B" w:rsidP="000C390B">
      <w:pPr>
        <w:pStyle w:val="FootnoteText"/>
        <w:ind w:left="567" w:hanging="567"/>
        <w:rPr>
          <w:sz w:val="24"/>
          <w:szCs w:val="24"/>
          <w:lang w:val="pl-PL"/>
        </w:rPr>
      </w:pPr>
      <w:r>
        <w:rPr>
          <w:rStyle w:val="FootnoteReference"/>
        </w:rPr>
        <w:footnoteRef/>
      </w:r>
      <w:r w:rsidRPr="000C390B">
        <w:rPr>
          <w:lang w:val="pl-PL"/>
        </w:rPr>
        <w:t xml:space="preserve"> </w:t>
      </w:r>
      <w:r w:rsidRPr="000C390B">
        <w:rPr>
          <w:lang w:val="pl-PL"/>
        </w:rPr>
        <w:tab/>
      </w:r>
      <w:r w:rsidRPr="000C390B">
        <w:rPr>
          <w:sz w:val="24"/>
          <w:szCs w:val="24"/>
          <w:lang w:val="pl-PL"/>
        </w:rPr>
        <w:t>Teksty przyjęte, P9_TA(2023)0330.</w:t>
      </w:r>
    </w:p>
  </w:footnote>
  <w:footnote w:id="10">
    <w:p w:rsidR="0024366D" w:rsidRPr="00225751" w:rsidRDefault="0024366D" w:rsidP="00225751">
      <w:pPr>
        <w:pStyle w:val="FootnoteText"/>
        <w:ind w:left="567" w:hanging="567"/>
        <w:rPr>
          <w:sz w:val="24"/>
          <w:lang w:val="pl-PL"/>
        </w:rPr>
      </w:pPr>
      <w:r w:rsidRPr="00225751">
        <w:rPr>
          <w:rStyle w:val="FootnoteReference"/>
          <w:sz w:val="24"/>
          <w:lang w:val="pl-PL"/>
        </w:rPr>
        <w:footnoteRef/>
      </w:r>
      <w:r w:rsidR="00225751" w:rsidRPr="00225751">
        <w:rPr>
          <w:sz w:val="24"/>
          <w:lang w:val="pl-PL"/>
        </w:rPr>
        <w:t xml:space="preserve"> </w:t>
      </w:r>
      <w:r w:rsidR="00225751" w:rsidRPr="00225751">
        <w:rPr>
          <w:sz w:val="24"/>
          <w:lang w:val="pl-PL"/>
        </w:rPr>
        <w:tab/>
      </w:r>
      <w:r w:rsidRPr="00225751">
        <w:rPr>
          <w:sz w:val="24"/>
          <w:lang w:val="pl-PL"/>
        </w:rPr>
        <w:t xml:space="preserve">Dz.U. L 238 z 27.9.2023, </w:t>
      </w:r>
      <w:proofErr w:type="gramStart"/>
      <w:r w:rsidRPr="00225751">
        <w:rPr>
          <w:sz w:val="24"/>
          <w:lang w:val="pl-PL"/>
        </w:rPr>
        <w:t>s</w:t>
      </w:r>
      <w:proofErr w:type="gramEnd"/>
      <w:r w:rsidRPr="00225751">
        <w:rPr>
          <w:sz w:val="24"/>
          <w:lang w:val="pl-PL"/>
        </w:rPr>
        <w:t>. 114.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75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75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75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2/2023"/>
    <w:docVar w:name="dvlangue" w:val="PL"/>
    <w:docVar w:name="dvnumam" w:val="0"/>
    <w:docVar w:name="dvpe" w:val="751.801"/>
    <w:docVar w:name="dvrapporteur" w:val="Sprawozdawca: "/>
    <w:docVar w:name="dvtitre" w:val="Rezolucja Parlamentu Europejskiego z dnia  2023 r. w sprawie wyborów europejskich w 2024 r.(2023/2016(INI))"/>
  </w:docVars>
  <w:rsids>
    <w:rsidRoot w:val="002C3C54"/>
    <w:rsid w:val="00002272"/>
    <w:rsid w:val="000371B2"/>
    <w:rsid w:val="00064002"/>
    <w:rsid w:val="000677B9"/>
    <w:rsid w:val="000831BA"/>
    <w:rsid w:val="000A42CC"/>
    <w:rsid w:val="000C390B"/>
    <w:rsid w:val="000E7DD9"/>
    <w:rsid w:val="0010095E"/>
    <w:rsid w:val="00125B37"/>
    <w:rsid w:val="00187494"/>
    <w:rsid w:val="001F32AE"/>
    <w:rsid w:val="00225751"/>
    <w:rsid w:val="0024366D"/>
    <w:rsid w:val="002767FF"/>
    <w:rsid w:val="002B18FE"/>
    <w:rsid w:val="002B5493"/>
    <w:rsid w:val="002C3C5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52F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58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4D0AAE"/>
  <w15:chartTrackingRefBased/>
  <w15:docId w15:val="{14549D16-1C8A-4561-A03E-84E1C7447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4366D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24366D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24366D"/>
    <w:pPr>
      <w:spacing w:after="240"/>
      <w:jc w:val="center"/>
    </w:pPr>
  </w:style>
  <w:style w:type="character" w:customStyle="1" w:styleId="BoldItalic">
    <w:name w:val="BoldItalic"/>
    <w:uiPriority w:val="1"/>
    <w:rsid w:val="0024366D"/>
    <w:rPr>
      <w:b/>
      <w:i/>
      <w:u w:val="none"/>
    </w:rPr>
  </w:style>
  <w:style w:type="character" w:customStyle="1" w:styleId="Italic">
    <w:name w:val="Italic"/>
    <w:uiPriority w:val="1"/>
    <w:rsid w:val="0024366D"/>
    <w:rPr>
      <w:i/>
    </w:rPr>
  </w:style>
  <w:style w:type="paragraph" w:customStyle="1" w:styleId="Normal12a24b">
    <w:name w:val="Normal12a24b"/>
    <w:basedOn w:val="Normal"/>
    <w:rsid w:val="0024366D"/>
    <w:pPr>
      <w:spacing w:before="360" w:after="240"/>
    </w:pPr>
    <w:rPr>
      <w:snapToGrid w:val="0"/>
      <w:lang w:eastAsia="en-US"/>
    </w:rPr>
  </w:style>
  <w:style w:type="character" w:customStyle="1" w:styleId="Normal6Char">
    <w:name w:val="Normal6 Char"/>
    <w:link w:val="Normal6"/>
    <w:locked/>
    <w:rsid w:val="0024366D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24366D"/>
    <w:pPr>
      <w:spacing w:after="120"/>
    </w:pPr>
  </w:style>
  <w:style w:type="character" w:customStyle="1" w:styleId="NormalHanging12aChar">
    <w:name w:val="NormalHanging12a Char"/>
    <w:basedOn w:val="DefaultParagraphFont"/>
    <w:link w:val="NormalHanging12a"/>
    <w:rsid w:val="0024366D"/>
    <w:rPr>
      <w:snapToGrid w:val="0"/>
      <w:sz w:val="24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legal-content/PL/TXT/?uri=CELEX:52020IP0327" TargetMode="External"/><Relationship Id="rId1" Type="http://schemas.openxmlformats.org/officeDocument/2006/relationships/hyperlink" Target="https://eur-lex.europa.eu/legal-content/PL/TXT/?uri=CELEX:32018R06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3BC21-9E0A-4066-A45B-79F063079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2801</Words>
  <Characters>19205</Characters>
  <Application>Microsoft Office Word</Application>
  <DocSecurity>0</DocSecurity>
  <Lines>800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2024-01-08T14:05:00Z</dcterms:created>
  <dcterms:modified xsi:type="dcterms:W3CDTF">2024-01-08T14:05:00Z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A9-0332/2023</vt:lpwstr>
  </property>
  <property fmtid="{D5CDD505-2E9C-101B-9397-08002B2CF9AE}" pid="4" name="&lt;Type&gt;">
    <vt:lpwstr>RR</vt:lpwstr>
  </property>
</Properties>
</file>