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7332C" w14:paraId="77993D1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273F16" w14:textId="77777777" w:rsidR="00751A4A" w:rsidRPr="0097332C" w:rsidRDefault="00A17B89" w:rsidP="0010095E">
            <w:pPr>
              <w:pStyle w:val="EPName"/>
            </w:pPr>
            <w:bookmarkStart w:id="0" w:name="_GoBack"/>
            <w:bookmarkEnd w:id="0"/>
            <w:r w:rsidRPr="0097332C">
              <w:t>Parlamento Europeu</w:t>
            </w:r>
          </w:p>
          <w:p w14:paraId="46AC1113" w14:textId="77777777" w:rsidR="00751A4A" w:rsidRPr="009733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7332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217D6D3" w14:textId="77777777" w:rsidR="00751A4A" w:rsidRPr="0097332C" w:rsidRDefault="00187494" w:rsidP="0010095E">
            <w:pPr>
              <w:pStyle w:val="EPLogo"/>
            </w:pPr>
            <w:r w:rsidRPr="0097332C">
              <w:rPr>
                <w:noProof/>
                <w:lang w:val="en-GB"/>
              </w:rPr>
              <w:drawing>
                <wp:inline distT="0" distB="0" distL="0" distR="0" wp14:anchorId="66BC644B" wp14:editId="6460889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C94610" w14:textId="77777777" w:rsidR="00D058B8" w:rsidRPr="0097332C" w:rsidRDefault="00D058B8" w:rsidP="004C5D52">
      <w:pPr>
        <w:pStyle w:val="LineTop"/>
      </w:pPr>
    </w:p>
    <w:p w14:paraId="6091C254" w14:textId="77777777" w:rsidR="00680577" w:rsidRPr="0097332C" w:rsidRDefault="00A17B89" w:rsidP="00680577">
      <w:pPr>
        <w:pStyle w:val="EPBodyTA1"/>
      </w:pPr>
      <w:r w:rsidRPr="0097332C">
        <w:t>TEXTOS APROVADOS</w:t>
      </w:r>
    </w:p>
    <w:p w14:paraId="52D90DA5" w14:textId="77777777" w:rsidR="00D058B8" w:rsidRPr="0097332C" w:rsidRDefault="00D058B8" w:rsidP="00D058B8">
      <w:pPr>
        <w:pStyle w:val="LineBottom"/>
      </w:pPr>
    </w:p>
    <w:p w14:paraId="6BED59D1" w14:textId="77777777" w:rsidR="00A17B89" w:rsidRPr="0097332C" w:rsidRDefault="00A17B89" w:rsidP="00A17B89">
      <w:pPr>
        <w:pStyle w:val="ATHeading1"/>
      </w:pPr>
      <w:bookmarkStart w:id="1" w:name="TANumber"/>
      <w:r w:rsidRPr="0097332C">
        <w:t>P9_TA(2023)</w:t>
      </w:r>
      <w:bookmarkEnd w:id="1"/>
      <w:r w:rsidR="003800CE" w:rsidRPr="0097332C">
        <w:t>0455</w:t>
      </w:r>
    </w:p>
    <w:p w14:paraId="0B9B8FD4" w14:textId="77777777" w:rsidR="00A17B89" w:rsidRPr="0097332C" w:rsidRDefault="00A17B89" w:rsidP="00A17B89">
      <w:pPr>
        <w:pStyle w:val="ATHeading2"/>
      </w:pPr>
      <w:bookmarkStart w:id="2" w:name="title"/>
      <w:r w:rsidRPr="0097332C">
        <w:t>As eleições europeias de 2024</w:t>
      </w:r>
      <w:bookmarkEnd w:id="2"/>
    </w:p>
    <w:p w14:paraId="69E976E1" w14:textId="77777777" w:rsidR="00A17B89" w:rsidRPr="0097332C" w:rsidRDefault="00A17B89" w:rsidP="00A17B89">
      <w:pPr>
        <w:rPr>
          <w:i/>
          <w:vanish/>
        </w:rPr>
      </w:pPr>
      <w:r w:rsidRPr="0097332C">
        <w:rPr>
          <w:i/>
        </w:rPr>
        <w:fldChar w:fldCharType="begin"/>
      </w:r>
      <w:r w:rsidRPr="0097332C">
        <w:rPr>
          <w:i/>
        </w:rPr>
        <w:instrText xml:space="preserve"> TC"(</w:instrText>
      </w:r>
      <w:bookmarkStart w:id="3" w:name="DocNumber"/>
      <w:r w:rsidRPr="0097332C">
        <w:rPr>
          <w:i/>
        </w:rPr>
        <w:instrText>A9-0332/2023</w:instrText>
      </w:r>
      <w:bookmarkEnd w:id="3"/>
      <w:r w:rsidRPr="0097332C">
        <w:rPr>
          <w:i/>
        </w:rPr>
        <w:instrText xml:space="preserve"> - Relatores: Sven Simon, Domènec Ruiz Devesa)"\l3 \n&gt; \* MERGEFORMAT </w:instrText>
      </w:r>
      <w:r w:rsidRPr="0097332C">
        <w:rPr>
          <w:i/>
        </w:rPr>
        <w:fldChar w:fldCharType="end"/>
      </w:r>
    </w:p>
    <w:p w14:paraId="3C827ECA" w14:textId="77777777" w:rsidR="00A17B89" w:rsidRPr="0097332C" w:rsidRDefault="00A17B89" w:rsidP="00A17B89">
      <w:pPr>
        <w:rPr>
          <w:vanish/>
        </w:rPr>
      </w:pPr>
      <w:bookmarkStart w:id="4" w:name="Commission"/>
      <w:r w:rsidRPr="0097332C">
        <w:rPr>
          <w:vanish/>
        </w:rPr>
        <w:t>Comissão dos Assuntos Constitucionais</w:t>
      </w:r>
      <w:bookmarkEnd w:id="4"/>
    </w:p>
    <w:p w14:paraId="7546D82E" w14:textId="77777777" w:rsidR="00A17B89" w:rsidRPr="0097332C" w:rsidRDefault="00A17B89" w:rsidP="00A17B89">
      <w:pPr>
        <w:rPr>
          <w:vanish/>
        </w:rPr>
      </w:pPr>
      <w:bookmarkStart w:id="5" w:name="PE"/>
      <w:r w:rsidRPr="0097332C">
        <w:rPr>
          <w:vanish/>
        </w:rPr>
        <w:t>PE751.801</w:t>
      </w:r>
      <w:bookmarkEnd w:id="5"/>
    </w:p>
    <w:p w14:paraId="39E063E2" w14:textId="77777777" w:rsidR="00A17B89" w:rsidRPr="0097332C" w:rsidRDefault="00A17B89" w:rsidP="00A17B89">
      <w:pPr>
        <w:pStyle w:val="ATHeading3"/>
      </w:pPr>
      <w:bookmarkStart w:id="6" w:name="Sujet"/>
      <w:r w:rsidRPr="0097332C">
        <w:t xml:space="preserve">Resolução do Parlamento Europeu, de </w:t>
      </w:r>
      <w:r w:rsidR="001C31E9" w:rsidRPr="0097332C">
        <w:t xml:space="preserve">12 </w:t>
      </w:r>
      <w:r w:rsidRPr="0097332C">
        <w:t xml:space="preserve">de </w:t>
      </w:r>
      <w:r w:rsidR="001C31E9" w:rsidRPr="0097332C">
        <w:t xml:space="preserve">dezembro </w:t>
      </w:r>
      <w:r w:rsidRPr="0097332C">
        <w:t>de 2023, sobre as eleições europeias de 2024</w:t>
      </w:r>
      <w:bookmarkEnd w:id="6"/>
      <w:r w:rsidRPr="0097332C">
        <w:t xml:space="preserve"> </w:t>
      </w:r>
      <w:bookmarkStart w:id="7" w:name="References"/>
      <w:r w:rsidRPr="0097332C">
        <w:t>(2023/2016(INI))</w:t>
      </w:r>
      <w:bookmarkEnd w:id="7"/>
    </w:p>
    <w:p w14:paraId="7064A2A6" w14:textId="77777777" w:rsidR="00F4437F" w:rsidRPr="0097332C" w:rsidRDefault="00F4437F" w:rsidP="00F4437F">
      <w:pPr>
        <w:pStyle w:val="EPComma"/>
      </w:pPr>
      <w:r w:rsidRPr="0097332C">
        <w:rPr>
          <w:rStyle w:val="Italic"/>
        </w:rPr>
        <w:t>O Parlamento Europeu</w:t>
      </w:r>
      <w:r w:rsidRPr="0097332C">
        <w:t xml:space="preserve">, </w:t>
      </w:r>
    </w:p>
    <w:p w14:paraId="5FC0BA6E" w14:textId="77777777" w:rsidR="001F2CB8" w:rsidRPr="0097332C" w:rsidRDefault="001F2CB8" w:rsidP="001F2CB8">
      <w:pPr>
        <w:pStyle w:val="NormalHanging12a"/>
      </w:pPr>
      <w:bookmarkStart w:id="8" w:name="TextBodyBegin"/>
      <w:bookmarkEnd w:id="8"/>
      <w:r w:rsidRPr="0097332C">
        <w:t>–</w:t>
      </w:r>
      <w:r w:rsidRPr="0097332C">
        <w:tab/>
        <w:t>Tendo em conta o Tratado da União Europeia (TUE), nomeadamente os artigos 10.º, 14.º e 17.º, n.º 7,</w:t>
      </w:r>
    </w:p>
    <w:p w14:paraId="7FBCFF2D" w14:textId="77777777" w:rsidR="00F4437F" w:rsidRPr="0097332C" w:rsidRDefault="001F2CB8" w:rsidP="001F2CB8">
      <w:pPr>
        <w:pStyle w:val="NormalHanging12a"/>
      </w:pPr>
      <w:r w:rsidRPr="0097332C">
        <w:t>–</w:t>
      </w:r>
      <w:r w:rsidRPr="0097332C">
        <w:tab/>
        <w:t>Tendo em conta o Tratado sobre o Funcionamento da União Europeia (TFUE), nomeadamente os artigos 20.º e 22.º,</w:t>
      </w:r>
    </w:p>
    <w:p w14:paraId="10964CCC" w14:textId="77777777" w:rsidR="001F2CB8" w:rsidRPr="0097332C" w:rsidRDefault="00F4437F" w:rsidP="001F2CB8">
      <w:pPr>
        <w:pStyle w:val="NormalHanging12a"/>
      </w:pPr>
      <w:r w:rsidRPr="0097332C">
        <w:t>–</w:t>
      </w:r>
      <w:r w:rsidR="001F2CB8" w:rsidRPr="0097332C">
        <w:tab/>
        <w:t>Tendo em conta a Diretiva 93/109/CE do Conselho, de 6 de dezembro de 1993, que estabelece o sistema de exercício do direito de voto e de elegibilidade nas eleições para o Parlamento Europeu dos cidadãos da União residentes num Estado</w:t>
      </w:r>
      <w:r w:rsidR="001F2CB8" w:rsidRPr="0097332C">
        <w:noBreakHyphen/>
        <w:t>Membro de que não tenham a nacionalidade</w:t>
      </w:r>
      <w:r w:rsidR="001F2CB8" w:rsidRPr="0097332C">
        <w:rPr>
          <w:rStyle w:val="FootnoteReference"/>
        </w:rPr>
        <w:footnoteReference w:id="1"/>
      </w:r>
      <w:r w:rsidR="001F2CB8" w:rsidRPr="0097332C">
        <w:t>,</w:t>
      </w:r>
    </w:p>
    <w:p w14:paraId="710CF3DD" w14:textId="77777777" w:rsidR="001F2CB8" w:rsidRPr="0097332C" w:rsidRDefault="001F2CB8" w:rsidP="001F2CB8">
      <w:pPr>
        <w:pStyle w:val="NormalHanging12a"/>
      </w:pPr>
      <w:r w:rsidRPr="0097332C">
        <w:t>–</w:t>
      </w:r>
      <w:r w:rsidRPr="0097332C">
        <w:tab/>
        <w:t>Tendo em conta o relatório da Comissão dos Assuntos Con</w:t>
      </w:r>
      <w:r w:rsidR="00CF0369" w:rsidRPr="0097332C">
        <w:t>stitucionais, de 28 de abril de </w:t>
      </w:r>
      <w:r w:rsidRPr="0097332C">
        <w:t>2011, sobre a proposta de modificação do Ato relativo à eleição dos deputados ao Parlamento Europeu por sufrágio universal direto, de 20 de setembro de 1976,</w:t>
      </w:r>
    </w:p>
    <w:p w14:paraId="18F4699C" w14:textId="77777777" w:rsidR="001F2CB8" w:rsidRPr="0097332C" w:rsidRDefault="001F2CB8" w:rsidP="001F2CB8">
      <w:pPr>
        <w:pStyle w:val="NormalHanging12a"/>
      </w:pPr>
      <w:r w:rsidRPr="0097332C">
        <w:t>–</w:t>
      </w:r>
      <w:r w:rsidRPr="0097332C">
        <w:tab/>
        <w:t>Tendo em conta a sua Resolução, de 4 de julho de 2013, sobre as disposições práticas para a realização das eleições europeias de 2014</w:t>
      </w:r>
      <w:r w:rsidRPr="0097332C">
        <w:rPr>
          <w:rStyle w:val="FootnoteReference"/>
        </w:rPr>
        <w:footnoteReference w:id="2"/>
      </w:r>
      <w:r w:rsidRPr="0097332C">
        <w:t>,</w:t>
      </w:r>
    </w:p>
    <w:p w14:paraId="7384571E" w14:textId="77777777" w:rsidR="001F2CB8" w:rsidRPr="0097332C" w:rsidRDefault="001F2CB8" w:rsidP="001F2CB8">
      <w:pPr>
        <w:pStyle w:val="NormalHanging12a"/>
      </w:pPr>
      <w:r w:rsidRPr="0097332C">
        <w:t>–</w:t>
      </w:r>
      <w:r w:rsidRPr="0097332C">
        <w:tab/>
        <w:t>Tendo em conta o Regulamento (UE, Euratom) 2018/673 do Parlamento Europeu e do Conselho, de 3 de maio de 2018, que altera o Regulamento (UE, Euratom) n.º 1141/2014 relativo ao estatuto e ao financiamento dos partidos políticos europeus e das fundações políticas europeias</w:t>
      </w:r>
      <w:r w:rsidRPr="0097332C">
        <w:rPr>
          <w:rStyle w:val="FootnoteReference"/>
        </w:rPr>
        <w:footnoteReference w:id="3"/>
      </w:r>
      <w:r w:rsidRPr="0097332C">
        <w:t>,</w:t>
      </w:r>
    </w:p>
    <w:p w14:paraId="370F04BF" w14:textId="77777777" w:rsidR="001F2CB8" w:rsidRPr="0097332C" w:rsidRDefault="001F2CB8" w:rsidP="001F2CB8">
      <w:pPr>
        <w:pStyle w:val="NormalHanging12a"/>
      </w:pPr>
      <w:r w:rsidRPr="0097332C">
        <w:t>–</w:t>
      </w:r>
      <w:r w:rsidRPr="0097332C">
        <w:tab/>
        <w:t>Tendo em conta a Decisão (UE, Euratom) 2018/994</w:t>
      </w:r>
      <w:r w:rsidR="00F4437F" w:rsidRPr="0097332C">
        <w:t xml:space="preserve"> do Conselho, de 13 de julho de </w:t>
      </w:r>
      <w:r w:rsidRPr="0097332C">
        <w:t xml:space="preserve">2018, que altera o Ato relativo à eleição dos membros do Parlamento Europeu por </w:t>
      </w:r>
      <w:r w:rsidRPr="0097332C">
        <w:lastRenderedPageBreak/>
        <w:t>sufrágio universal direto, anexo à Decisão 76/787/CECA, CEE, Euratom, do Conselho, de 20 de setembro de 1976</w:t>
      </w:r>
      <w:r w:rsidRPr="0097332C">
        <w:rPr>
          <w:rStyle w:val="FootnoteReference"/>
        </w:rPr>
        <w:footnoteReference w:id="4"/>
      </w:r>
      <w:r w:rsidRPr="0097332C">
        <w:t>,</w:t>
      </w:r>
    </w:p>
    <w:p w14:paraId="5635EE20" w14:textId="77777777" w:rsidR="001F2CB8" w:rsidRPr="0097332C" w:rsidRDefault="001F2CB8" w:rsidP="001F2CB8">
      <w:pPr>
        <w:pStyle w:val="NormalHanging12a"/>
      </w:pPr>
      <w:r w:rsidRPr="0097332C">
        <w:t>–</w:t>
      </w:r>
      <w:r w:rsidRPr="0097332C">
        <w:tab/>
        <w:t>Tendo em conta a sua Resolução, de 26 de novembro de 2020, sobre o balanço das eleições europeias</w:t>
      </w:r>
      <w:r w:rsidRPr="0097332C">
        <w:rPr>
          <w:rStyle w:val="FootnoteReference"/>
        </w:rPr>
        <w:footnoteReference w:id="5"/>
      </w:r>
      <w:r w:rsidRPr="0097332C">
        <w:t>,</w:t>
      </w:r>
    </w:p>
    <w:p w14:paraId="6DFD1A30" w14:textId="77777777" w:rsidR="001F2CB8" w:rsidRPr="0097332C" w:rsidRDefault="001F2CB8" w:rsidP="001F2CB8">
      <w:pPr>
        <w:pStyle w:val="NormalHanging12a"/>
      </w:pPr>
      <w:r w:rsidRPr="0097332C">
        <w:t>–</w:t>
      </w:r>
      <w:r w:rsidRPr="0097332C">
        <w:tab/>
        <w:t>Tendo em conta a Comunicação da Comissão, de 3 de dezembro de 2020, sobre o plano de ação para a democracia europeia (COM(2020)0790),</w:t>
      </w:r>
    </w:p>
    <w:p w14:paraId="21E2981A" w14:textId="77777777" w:rsidR="001F2CB8" w:rsidRPr="0097332C" w:rsidRDefault="001F2CB8" w:rsidP="001F2CB8">
      <w:pPr>
        <w:pStyle w:val="NormalHanging12a"/>
      </w:pPr>
      <w:r w:rsidRPr="0097332C">
        <w:t>–</w:t>
      </w:r>
      <w:r w:rsidRPr="0097332C">
        <w:tab/>
        <w:t>Tendo em conta a sua posição, de 3 de maio de 2022, sobre a proposta de regulamento do Conselho relativo à eleição dos deputados do Parlamento Europeu por sufrágio universal direto, que revoga a Decisão 76/787/CECA, CEE, Euratom, do Conselho e o Ato relativo à eleição dos membros do Parlamento Europeu por sufrágio universal direto anexo a essa decisão</w:t>
      </w:r>
      <w:r w:rsidRPr="0097332C">
        <w:rPr>
          <w:rStyle w:val="FootnoteReference"/>
        </w:rPr>
        <w:footnoteReference w:id="6"/>
      </w:r>
      <w:r w:rsidRPr="0097332C">
        <w:t>,</w:t>
      </w:r>
    </w:p>
    <w:p w14:paraId="0CF1F03F" w14:textId="5FB24239" w:rsidR="001F2CB8" w:rsidRPr="0097332C" w:rsidRDefault="001F2CB8" w:rsidP="001F2CB8">
      <w:pPr>
        <w:pStyle w:val="NormalHanging12a"/>
      </w:pPr>
      <w:r w:rsidRPr="0097332C">
        <w:t>–</w:t>
      </w:r>
      <w:r w:rsidRPr="0097332C">
        <w:tab/>
        <w:t>Tendo em conta as alterações aprovadas pelo Parlamento Europeu, em 15 de setembro de 2022, sobre a proposta de regulamento do Parlamento Europeu e do Conselho relativo ao estatuto e ao financiamento dos partidos políticos europeus e das fundações políticas europeias</w:t>
      </w:r>
      <w:r w:rsidRPr="0097332C">
        <w:rPr>
          <w:rStyle w:val="FootnoteReference"/>
        </w:rPr>
        <w:footnoteReference w:id="7"/>
      </w:r>
      <w:r w:rsidRPr="0097332C">
        <w:t>,</w:t>
      </w:r>
    </w:p>
    <w:p w14:paraId="389A4959" w14:textId="77777777" w:rsidR="001F2CB8" w:rsidRPr="0097332C" w:rsidRDefault="001F2CB8" w:rsidP="001F2CB8">
      <w:pPr>
        <w:pStyle w:val="NormalHanging12a"/>
      </w:pPr>
      <w:r w:rsidRPr="0097332C">
        <w:t>–</w:t>
      </w:r>
      <w:r w:rsidRPr="0097332C">
        <w:tab/>
        <w:t>Tendo em conta as alterações aprovadas pelo Parlament</w:t>
      </w:r>
      <w:r w:rsidR="00CF0369" w:rsidRPr="0097332C">
        <w:t>o Europeu, em 2 de fevereiro de </w:t>
      </w:r>
      <w:r w:rsidRPr="0097332C">
        <w:t>2023, sobre a proposta de regulamento do Parlamento Europeu e do Conselho sobre a transparência e o direcionamento da propaganda política</w:t>
      </w:r>
      <w:r w:rsidRPr="0097332C">
        <w:rPr>
          <w:rStyle w:val="FootnoteReference"/>
        </w:rPr>
        <w:footnoteReference w:id="8"/>
      </w:r>
      <w:r w:rsidRPr="0097332C">
        <w:t>,</w:t>
      </w:r>
    </w:p>
    <w:p w14:paraId="5CF3FF1C" w14:textId="77777777" w:rsidR="001E238B" w:rsidRPr="0097332C" w:rsidRDefault="001E238B" w:rsidP="001E238B">
      <w:pPr>
        <w:pStyle w:val="NormalHanging12a"/>
      </w:pPr>
      <w:r w:rsidRPr="0097332C">
        <w:t>–</w:t>
      </w:r>
      <w:r w:rsidRPr="0097332C">
        <w:tab/>
        <w:t>Tendo em conta a sua Resolução, de 14 de setembro de 2023, sobre o parlamentarismo, a cidadania europeia e a democracia</w:t>
      </w:r>
      <w:r w:rsidRPr="0097332C">
        <w:rPr>
          <w:rStyle w:val="FootnoteReference"/>
        </w:rPr>
        <w:footnoteReference w:id="9"/>
      </w:r>
      <w:r w:rsidRPr="0097332C">
        <w:t>,</w:t>
      </w:r>
    </w:p>
    <w:p w14:paraId="11FCB879" w14:textId="77777777" w:rsidR="001F2CB8" w:rsidRPr="0097332C" w:rsidRDefault="001F2CB8" w:rsidP="001F2CB8">
      <w:pPr>
        <w:pStyle w:val="NormalHanging12a"/>
      </w:pPr>
      <w:r w:rsidRPr="0097332C">
        <w:t>–</w:t>
      </w:r>
      <w:r w:rsidRPr="0097332C">
        <w:tab/>
        <w:t>Tendo em conta a Decisão (UE) 2023/2061 do Conselh</w:t>
      </w:r>
      <w:r w:rsidR="00CF0369" w:rsidRPr="0097332C">
        <w:t>o Europeu, de 22 de setembro de </w:t>
      </w:r>
      <w:r w:rsidRPr="0097332C">
        <w:t>2023, que fixa a composição do Parlamento Europeu</w:t>
      </w:r>
      <w:r w:rsidRPr="0097332C">
        <w:rPr>
          <w:rStyle w:val="FootnoteReference"/>
        </w:rPr>
        <w:footnoteReference w:id="10"/>
      </w:r>
      <w:r w:rsidRPr="0097332C">
        <w:t>,</w:t>
      </w:r>
    </w:p>
    <w:p w14:paraId="273DA4F8" w14:textId="77777777" w:rsidR="001F2CB8" w:rsidRPr="0097332C" w:rsidRDefault="001F2CB8" w:rsidP="001F2CB8">
      <w:pPr>
        <w:pStyle w:val="NormalHanging12a"/>
      </w:pPr>
      <w:r w:rsidRPr="0097332C">
        <w:t>–</w:t>
      </w:r>
      <w:r w:rsidRPr="0097332C">
        <w:tab/>
        <w:t>Tendo em conta o artigo 54.º do seu Regimento,</w:t>
      </w:r>
    </w:p>
    <w:p w14:paraId="02EE7B9D" w14:textId="77777777" w:rsidR="001F2CB8" w:rsidRPr="0097332C" w:rsidRDefault="001F2CB8" w:rsidP="003800CE">
      <w:pPr>
        <w:pStyle w:val="EPComma"/>
        <w:spacing w:before="0"/>
        <w:ind w:left="567" w:hanging="567"/>
      </w:pPr>
      <w:r w:rsidRPr="0097332C">
        <w:t>–</w:t>
      </w:r>
      <w:r w:rsidRPr="0097332C">
        <w:tab/>
        <w:t>Tendo em conta o relatório da Comissão dos Assuntos Constitucionais (A9</w:t>
      </w:r>
      <w:r w:rsidRPr="0097332C">
        <w:noBreakHyphen/>
        <w:t>0332/2023),</w:t>
      </w:r>
    </w:p>
    <w:p w14:paraId="1208EE62" w14:textId="77777777" w:rsidR="001F2CB8" w:rsidRPr="0097332C" w:rsidRDefault="001F2CB8" w:rsidP="001F2CB8">
      <w:pPr>
        <w:pStyle w:val="NormalHanging12a"/>
      </w:pPr>
      <w:r w:rsidRPr="0097332C">
        <w:t>A.</w:t>
      </w:r>
      <w:r w:rsidRPr="0097332C">
        <w:tab/>
        <w:t>Considerando que as eleições europeias de 2019 registaram a maior taxa de participação nas eleições para o Parlamento Europeu dos últimos 20 anos, com 50,66 % (um aumento de oito pontos percentuais em relação a 2014), o que constituiu um sinal positivo, revelando que os cidadãos europeus têm um interesse crescente nas questões europeias e acreditam que a legislação da UE tem impacto no seu quotidiano</w:t>
      </w:r>
      <w:r w:rsidR="00FD700C" w:rsidRPr="0097332C">
        <w:t>; considerando que</w:t>
      </w:r>
      <w:r w:rsidRPr="0097332C">
        <w:t xml:space="preserve"> 19 </w:t>
      </w:r>
      <w:r w:rsidR="00F4437F" w:rsidRPr="0097332C">
        <w:t>Estados</w:t>
      </w:r>
      <w:r w:rsidR="00F4437F" w:rsidRPr="0097332C">
        <w:noBreakHyphen/>
      </w:r>
      <w:r w:rsidRPr="0097332C">
        <w:t>Membros assinalaram um aumento da taxa de participação nacional, com aumentos significativos em relação a 2014 na Polónia, na Roménia, na Espanha, na Áustria, na Hungria, na Alemanha, na Eslováquia e na Chéquia;</w:t>
      </w:r>
    </w:p>
    <w:p w14:paraId="7BADEFDB" w14:textId="79B292AE" w:rsidR="001F2CB8" w:rsidRPr="0097332C" w:rsidRDefault="001F2CB8" w:rsidP="001F2CB8">
      <w:pPr>
        <w:pStyle w:val="NormalHanging12a"/>
      </w:pPr>
      <w:r w:rsidRPr="0097332C">
        <w:lastRenderedPageBreak/>
        <w:t>B.</w:t>
      </w:r>
      <w:r w:rsidRPr="0097332C">
        <w:tab/>
        <w:t>Considerando que a Decisão do Conselho de 2018 que altera o Ato relativo à eleição dos membros do Parlamento Europeu por sufrágio universal direto incluiu algumas melhorias, como a inclusão dos logótipos dos partidos políticos europeus nos boletins de voto para as eleições para o Parlamento Europeu</w:t>
      </w:r>
      <w:r w:rsidR="00FD700C" w:rsidRPr="0097332C">
        <w:t>; considerando que</w:t>
      </w:r>
      <w:r w:rsidRPr="0097332C">
        <w:t xml:space="preserve"> continua por ratificar por todos os Estados</w:t>
      </w:r>
      <w:r w:rsidRPr="0097332C">
        <w:noBreakHyphen/>
        <w:t>Membros</w:t>
      </w:r>
      <w:r w:rsidR="00FD700C" w:rsidRPr="0097332C">
        <w:t>; considerando que</w:t>
      </w:r>
      <w:r w:rsidRPr="0097332C">
        <w:t xml:space="preserve"> a </w:t>
      </w:r>
      <w:r w:rsidR="00FD700C" w:rsidRPr="0097332C">
        <w:t xml:space="preserve">proposta de </w:t>
      </w:r>
      <w:r w:rsidRPr="0097332C">
        <w:t xml:space="preserve">lei eleitoral europeia, adotada pelo Parlamento Europeu em 3 de maio de 2022, </w:t>
      </w:r>
      <w:r w:rsidR="00FD700C" w:rsidRPr="0097332C">
        <w:t xml:space="preserve">que </w:t>
      </w:r>
      <w:r w:rsidRPr="0097332C">
        <w:t>contém melhorias importantes, permitiria resolver o problema da atual fragmentação em 27 sistemas eleitorais distintos, bem como modernizar e uniformizar as regras eleitorais na UE;</w:t>
      </w:r>
    </w:p>
    <w:p w14:paraId="5AD795A0" w14:textId="160B1E16" w:rsidR="001F2CB8" w:rsidRPr="0097332C" w:rsidRDefault="001F2CB8" w:rsidP="001F2CB8">
      <w:pPr>
        <w:pStyle w:val="NormalHanging12a"/>
      </w:pPr>
      <w:r w:rsidRPr="0097332C">
        <w:t>C.</w:t>
      </w:r>
      <w:r w:rsidRPr="0097332C">
        <w:tab/>
        <w:t>Considerando que o sistema dos candidatos cabeças de lista impulsionaria o debate público europeu e capacitaria os partidos políticos europeus;</w:t>
      </w:r>
    </w:p>
    <w:p w14:paraId="1B93F8B7" w14:textId="77777777" w:rsidR="001F2CB8" w:rsidRPr="0097332C" w:rsidRDefault="001F2CB8" w:rsidP="001F2CB8">
      <w:pPr>
        <w:pStyle w:val="NormalHanging12a"/>
      </w:pPr>
      <w:r w:rsidRPr="0097332C">
        <w:t>D.</w:t>
      </w:r>
      <w:r w:rsidRPr="0097332C">
        <w:tab/>
        <w:t>Considerando que as eleições europeias de 2019 não culminaram na escolha de um Presidente da Comissão através do sistema dos candidatos cabeças de lista</w:t>
      </w:r>
      <w:r w:rsidR="00FD700C" w:rsidRPr="0097332C">
        <w:t>; considerando que</w:t>
      </w:r>
      <w:r w:rsidRPr="0097332C">
        <w:t xml:space="preserve"> a falta de uma reforma da lei eleitoral europeia constituiu um obstáculo adicional ao êxito da aplicação do processo dos candidatos cabeças de lista</w:t>
      </w:r>
      <w:r w:rsidR="00FD700C" w:rsidRPr="0097332C">
        <w:t>; considerando que</w:t>
      </w:r>
      <w:r w:rsidRPr="0097332C">
        <w:t xml:space="preserve"> este fracasso na aplicação do sistema dos candidatos cabeças de lista deixou muitos eleitores desapontados e reduziu a confiança no processo</w:t>
      </w:r>
      <w:r w:rsidR="00D408E8" w:rsidRPr="0097332C">
        <w:t>; considerando que</w:t>
      </w:r>
      <w:r w:rsidRPr="0097332C">
        <w:t xml:space="preserve"> se deve evitar tal desapontamento nas eleições europeias</w:t>
      </w:r>
      <w:r w:rsidR="001624E1" w:rsidRPr="0097332C">
        <w:t xml:space="preserve"> de 2024</w:t>
      </w:r>
      <w:r w:rsidR="00FD700C" w:rsidRPr="0097332C">
        <w:t>; considerando que</w:t>
      </w:r>
      <w:r w:rsidRPr="0097332C">
        <w:t xml:space="preserve"> a eleição do Presidente da Comissão passa por garantir o apoio da maioria dos deputados ao Parlamento Europeu;</w:t>
      </w:r>
    </w:p>
    <w:p w14:paraId="16B932F0" w14:textId="77777777" w:rsidR="001F2CB8" w:rsidRPr="0097332C" w:rsidRDefault="001F2CB8" w:rsidP="001F2CB8">
      <w:pPr>
        <w:pStyle w:val="NormalHanging12a"/>
      </w:pPr>
      <w:r w:rsidRPr="0097332C">
        <w:t>E.</w:t>
      </w:r>
      <w:r w:rsidRPr="0097332C">
        <w:tab/>
        <w:t>Considerando que a aplicação efetiva do sistema dos candidatos cabeças de lista exige que o Parlamento possa indicar um candidato comum ao cargo de Presidente da Comissão antes da proposta do Conselho Europeu;</w:t>
      </w:r>
    </w:p>
    <w:p w14:paraId="59E3EC57" w14:textId="77777777" w:rsidR="001F2CB8" w:rsidRPr="0097332C" w:rsidRDefault="001F2CB8" w:rsidP="001F2CB8">
      <w:pPr>
        <w:pStyle w:val="NormalHanging12a"/>
      </w:pPr>
      <w:r w:rsidRPr="0097332C">
        <w:t>F.</w:t>
      </w:r>
      <w:r w:rsidRPr="0097332C">
        <w:tab/>
        <w:t>Considerando que vários Estados</w:t>
      </w:r>
      <w:r w:rsidRPr="0097332C">
        <w:noBreakHyphen/>
        <w:t xml:space="preserve">Membros ainda não deram a devida resposta a obstáculos persistentes e não aplicaram disposições adequadas para facilitar o voto dos cidadãos com deficiência, impedindo, assim, a participação e a representação significativas destes cidadãos nos processos democráticos; </w:t>
      </w:r>
    </w:p>
    <w:p w14:paraId="17EEA691" w14:textId="77777777" w:rsidR="001F2CB8" w:rsidRPr="0097332C" w:rsidRDefault="001F2CB8" w:rsidP="001F2CB8">
      <w:pPr>
        <w:pStyle w:val="NormalHanging12a"/>
      </w:pPr>
      <w:r w:rsidRPr="0097332C">
        <w:t>G.</w:t>
      </w:r>
      <w:r w:rsidRPr="0097332C">
        <w:tab/>
        <w:t>Considerando que o pleno exercício dos direitos eleitorais conferidos pelos Tratados aos cidadãos móveis nas eleições para o Parlamento Europeu continua a ser prejudicado por obstáculos injustificados à participação democrática, como o desconhecimento das condições e regras aplicáveis</w:t>
      </w:r>
      <w:r w:rsidR="00FD700C" w:rsidRPr="0097332C">
        <w:t>; considerando que</w:t>
      </w:r>
      <w:r w:rsidRPr="0097332C">
        <w:t xml:space="preserve"> a Comissão apresentou uma proposta legislativa que dá resposta a algumas destas preocupações;</w:t>
      </w:r>
    </w:p>
    <w:p w14:paraId="3978BDCD" w14:textId="77777777" w:rsidR="001F2CB8" w:rsidRPr="0097332C" w:rsidRDefault="001F2CB8" w:rsidP="001F2CB8">
      <w:pPr>
        <w:pStyle w:val="NormalHanging12a"/>
      </w:pPr>
      <w:r w:rsidRPr="0097332C">
        <w:t>H.</w:t>
      </w:r>
      <w:r w:rsidRPr="0097332C">
        <w:tab/>
        <w:t>Considerando que, com demasiada frequência, as campanhas políticas para as eleições europeias realizadas nos Estados</w:t>
      </w:r>
      <w:r w:rsidRPr="0097332C">
        <w:noBreakHyphen/>
        <w:t>Membros não são suficientemente «europeias», mas sim dominadas por debates políticos de natureza puramente nacional, regional e local</w:t>
      </w:r>
      <w:r w:rsidR="00FD700C" w:rsidRPr="0097332C">
        <w:t>; considerando que</w:t>
      </w:r>
      <w:r w:rsidRPr="0097332C">
        <w:t xml:space="preserve"> cabe aos partidos políticos e aos candidatos informar devidamente os cidadãos sobre os desafios políticos a nível da UE;</w:t>
      </w:r>
    </w:p>
    <w:p w14:paraId="681632FE" w14:textId="77777777" w:rsidR="001F2CB8" w:rsidRPr="0097332C" w:rsidRDefault="001F2CB8" w:rsidP="001F2CB8">
      <w:pPr>
        <w:pStyle w:val="Normal12a24b"/>
      </w:pPr>
      <w:r w:rsidRPr="0097332C">
        <w:rPr>
          <w:rStyle w:val="BoldItalic"/>
        </w:rPr>
        <w:t>Reforçar a democracia europeia nas eleições</w:t>
      </w:r>
      <w:r w:rsidR="001624E1" w:rsidRPr="0097332C">
        <w:rPr>
          <w:rStyle w:val="BoldItalic"/>
        </w:rPr>
        <w:t xml:space="preserve"> de 2024</w:t>
      </w:r>
    </w:p>
    <w:p w14:paraId="36AF2C17" w14:textId="77777777" w:rsidR="001F2CB8" w:rsidRPr="0097332C" w:rsidRDefault="001F2CB8" w:rsidP="001F2CB8">
      <w:pPr>
        <w:pStyle w:val="NormalHanging12a"/>
      </w:pPr>
      <w:r w:rsidRPr="0097332C">
        <w:t>1.</w:t>
      </w:r>
      <w:r w:rsidRPr="0097332C">
        <w:tab/>
        <w:t>Congratula</w:t>
      </w:r>
      <w:r w:rsidRPr="0097332C">
        <w:noBreakHyphen/>
        <w:t>se com o aumento da taxa de participação nas eleições europeias de 2019 e esforça</w:t>
      </w:r>
      <w:r w:rsidRPr="0097332C">
        <w:noBreakHyphen/>
        <w:t xml:space="preserve">se por obter uma taxa de participação ainda </w:t>
      </w:r>
      <w:r w:rsidR="00FD700C" w:rsidRPr="0097332C">
        <w:t>maior nas eleições europeias de </w:t>
      </w:r>
      <w:r w:rsidRPr="0097332C">
        <w:t xml:space="preserve">2024; salienta a importância de aumentar a participação nas eleições; observa que são necessários mais esforços para aumentar a taxa de participação dos cidadãos móveis; lamenta a falta de progressos por parte do Conselho no sentido da adoção da nova lei eleitoral europeia, adotada pelo Parlamento Europeu em 3 de maio de 2022; </w:t>
      </w:r>
      <w:r w:rsidRPr="0097332C">
        <w:lastRenderedPageBreak/>
        <w:t>apela à sua rápida aprovação pelo Conselho; espera que o Conselho chegue a um compromisso com consenso sobre a totalidade da proposta do Parlamento;</w:t>
      </w:r>
    </w:p>
    <w:p w14:paraId="793B44D2" w14:textId="77777777" w:rsidR="001F2CB8" w:rsidRPr="0097332C" w:rsidRDefault="001F2CB8" w:rsidP="001F2CB8">
      <w:pPr>
        <w:pStyle w:val="NormalHanging12a"/>
      </w:pPr>
      <w:r w:rsidRPr="0097332C">
        <w:t>2.</w:t>
      </w:r>
      <w:r w:rsidRPr="0097332C">
        <w:tab/>
        <w:t>Realça o importante papel dos partidos políticos europeus e de todas as partes interessadas societais pertinentes ao contribuírem para o debate sobre questões de política pública europeia e ao formarem uma consciência política europeia; lamenta, no entanto, que as restrições impostas pelos quadros regulamentares nacionais e da UE em vigor impeçam os partidos políticos europeus de participar plenamente nas campanhas para as eleições europeias; incentiva os partidos políticos europeus a realizarem as suas próprias campanhas para as eleições europeias; insta os partidos políticos nacionais e europeus, bem como, se for caso disso, os Estados</w:t>
      </w:r>
      <w:r w:rsidRPr="0097332C">
        <w:noBreakHyphen/>
        <w:t>Membros a:</w:t>
      </w:r>
    </w:p>
    <w:p w14:paraId="71CC1DA7" w14:textId="77777777" w:rsidR="001F2CB8" w:rsidRPr="0097332C" w:rsidRDefault="001F2CB8" w:rsidP="001F2CB8">
      <w:pPr>
        <w:pStyle w:val="NormalHanging12a"/>
        <w:ind w:left="1134"/>
      </w:pPr>
      <w:r w:rsidRPr="0097332C">
        <w:t>–</w:t>
      </w:r>
      <w:r w:rsidRPr="0097332C">
        <w:tab/>
        <w:t>levarem a cabo a campanha para as eleições europeias em consonância com os valores da União;</w:t>
      </w:r>
    </w:p>
    <w:p w14:paraId="3E9A8921" w14:textId="77777777" w:rsidR="001F2CB8" w:rsidRPr="0097332C" w:rsidRDefault="001F2CB8" w:rsidP="001F2CB8">
      <w:pPr>
        <w:pStyle w:val="NormalHanging12a"/>
        <w:ind w:left="1134"/>
      </w:pPr>
      <w:r w:rsidRPr="0097332C">
        <w:t>–</w:t>
      </w:r>
      <w:r w:rsidRPr="0097332C">
        <w:tab/>
        <w:t>defenderem as normas democráticas e as regras internas partidárias de democracia, a fim de assegurarem, nomeadamente, que a nomeação dos candidatos se desenrole de forma democrática, incluindo os candidatos cabeças de lista para o cargo de Presidente da Comissão Europeia;</w:t>
      </w:r>
    </w:p>
    <w:p w14:paraId="498B7B66" w14:textId="77777777" w:rsidR="001F2CB8" w:rsidRPr="0097332C" w:rsidRDefault="001F2CB8" w:rsidP="001F2CB8">
      <w:pPr>
        <w:pStyle w:val="NormalHanging12a"/>
        <w:ind w:left="1134"/>
      </w:pPr>
      <w:r w:rsidRPr="0097332C">
        <w:t>–</w:t>
      </w:r>
      <w:r w:rsidRPr="0097332C">
        <w:tab/>
        <w:t>redigirem os manifestos em tempo útil antes das eleições;</w:t>
      </w:r>
    </w:p>
    <w:p w14:paraId="0709CBAE" w14:textId="77777777" w:rsidR="001F2CB8" w:rsidRPr="0097332C" w:rsidRDefault="001F2CB8" w:rsidP="001F2CB8">
      <w:pPr>
        <w:pStyle w:val="NormalHanging12a"/>
        <w:ind w:left="1134"/>
      </w:pPr>
      <w:r w:rsidRPr="0097332C">
        <w:t>–</w:t>
      </w:r>
      <w:r w:rsidRPr="0097332C">
        <w:tab/>
        <w:t>aumentarem a visibilidade dos partidos políticos europeus nos debates públicos e nas campanhas nos meios de comunicação social, incluindo os seus nomes e/ou logótipos;</w:t>
      </w:r>
    </w:p>
    <w:p w14:paraId="1DD77A9A" w14:textId="77777777" w:rsidR="001F2CB8" w:rsidRPr="0097332C" w:rsidRDefault="001F2CB8" w:rsidP="001F2CB8">
      <w:pPr>
        <w:pStyle w:val="NormalHanging12a"/>
        <w:ind w:left="1134"/>
      </w:pPr>
      <w:r w:rsidRPr="0097332C">
        <w:t>–</w:t>
      </w:r>
      <w:r w:rsidRPr="0097332C">
        <w:tab/>
        <w:t>identificarem, sistematicamente, os seus homólogos europeus nas suas comunicações públicas;</w:t>
      </w:r>
    </w:p>
    <w:p w14:paraId="6E8715BF" w14:textId="77777777" w:rsidR="001F2CB8" w:rsidRPr="0097332C" w:rsidRDefault="001F2CB8" w:rsidP="001F2CB8">
      <w:pPr>
        <w:pStyle w:val="NormalHanging12a"/>
        <w:ind w:left="1134"/>
      </w:pPr>
      <w:r w:rsidRPr="0097332C">
        <w:t>–</w:t>
      </w:r>
      <w:r w:rsidRPr="0097332C">
        <w:tab/>
        <w:t>apoiarem a visibilidade dos nomes e/ou logótipos dos partidos políticos europeus nos boletins de voto e nos materiais de campanha;</w:t>
      </w:r>
    </w:p>
    <w:p w14:paraId="4F5A3C3E" w14:textId="77777777" w:rsidR="001F2CB8" w:rsidRPr="0097332C" w:rsidRDefault="001F2CB8" w:rsidP="001F2CB8">
      <w:pPr>
        <w:pStyle w:val="NormalHanging12a"/>
        <w:ind w:left="1134"/>
      </w:pPr>
      <w:r w:rsidRPr="0097332C">
        <w:t>–</w:t>
      </w:r>
      <w:r w:rsidRPr="0097332C">
        <w:tab/>
        <w:t>sensibilizarem para as regras recentemente elaboradas para os partidos políticos europeus e as fundações políticas europeias antes da sua entrada em vigor formal;</w:t>
      </w:r>
    </w:p>
    <w:p w14:paraId="53C5FA1A" w14:textId="77777777" w:rsidR="001F2CB8" w:rsidRPr="0097332C" w:rsidRDefault="001F2CB8" w:rsidP="001F2CB8">
      <w:pPr>
        <w:pStyle w:val="NormalHanging12a"/>
        <w:ind w:left="1134"/>
      </w:pPr>
      <w:r w:rsidRPr="0097332C">
        <w:t>–</w:t>
      </w:r>
      <w:r w:rsidRPr="0097332C">
        <w:tab/>
        <w:t>chegarem a acordo sobre a forma de proceder durante o processo pós</w:t>
      </w:r>
      <w:r w:rsidRPr="0097332C">
        <w:noBreakHyphen/>
        <w:t>eleitoral, nomeadamente quanto às negociações sobre os presidentes das instituições da União;</w:t>
      </w:r>
    </w:p>
    <w:p w14:paraId="6D18A0A4" w14:textId="77777777" w:rsidR="001F2CB8" w:rsidRPr="0097332C" w:rsidRDefault="001F2CB8" w:rsidP="001F2CB8">
      <w:pPr>
        <w:pStyle w:val="NormalHanging12a"/>
      </w:pPr>
      <w:r w:rsidRPr="0097332C">
        <w:t>3.</w:t>
      </w:r>
      <w:r w:rsidRPr="0097332C">
        <w:tab/>
        <w:t>Apoia o Plano de Ação para a Campanha Europeia («E</w:t>
      </w:r>
      <w:r w:rsidRPr="0097332C">
        <w:noBreakHyphen/>
        <w:t>CAP») elaborado pela Autoridade para os Partidos Políticos Europeus e as Fundações Políticas (APPF), nomeadamente no que diz respeito à visibilidade dos candidatos cabeças de lista e dos partidos políticos europeus; salienta a importância do trabalho da APPF no sentido de informar os cidadãos;</w:t>
      </w:r>
    </w:p>
    <w:p w14:paraId="64D7B4AD" w14:textId="77777777" w:rsidR="001F2CB8" w:rsidRPr="0097332C" w:rsidRDefault="001F2CB8" w:rsidP="001F2CB8">
      <w:pPr>
        <w:pStyle w:val="NormalHanging12a"/>
      </w:pPr>
      <w:r w:rsidRPr="0097332C">
        <w:t>4.</w:t>
      </w:r>
      <w:r w:rsidRPr="0097332C">
        <w:tab/>
        <w:t>Lamenta que o sistema dos candidatos cabeças de lista que foi utilizado para a eleição do Presidente da Comissão Europeia não tenha sido apl</w:t>
      </w:r>
      <w:r w:rsidR="00F853E9" w:rsidRPr="0097332C">
        <w:t>icado nas eleições europeias de </w:t>
      </w:r>
      <w:r w:rsidRPr="0097332C">
        <w:t xml:space="preserve">2019; lamenta ainda a falta de progressos nesta matéria desde 2019 por parte do Conselho Europeu e da Comissão Europeia, que se comprometeram a melhorar a democracia europeia; pensa que é necessária uma ligação clara e credível entre a escolha por parte dos eleitores e a eleição do Presidente da Comissão; insta os partidos políticos europeus, os partidos políticos nacionais e os governos nacionais a colaborarem para assegurar que tal seja o caso nas próximas eleições; destaca, contudo, </w:t>
      </w:r>
      <w:r w:rsidRPr="0097332C">
        <w:lastRenderedPageBreak/>
        <w:t xml:space="preserve">que a eleição do Presidente da Comissão passa sempre por garantir o apoio da maioria dos deputados ao Parlamento Europeu, para que os resultados eleitorais sejam plenamente tidos em conta, conforme previsto no Tratado de Lisboa; </w:t>
      </w:r>
    </w:p>
    <w:p w14:paraId="423B4FDA" w14:textId="77777777" w:rsidR="001F2CB8" w:rsidRPr="0097332C" w:rsidRDefault="001F2CB8" w:rsidP="001F2CB8">
      <w:pPr>
        <w:pStyle w:val="NormalHanging12a"/>
      </w:pPr>
      <w:r w:rsidRPr="0097332C">
        <w:t>5.</w:t>
      </w:r>
      <w:r w:rsidRPr="0097332C">
        <w:tab/>
        <w:t>Insta o Conselho Europeu a proporcionar segurança sobre o sistema dos candidatos cabeças de lista aos cidadãos europeus e a pôr termo aos acordos à porta fechada; exorta o Conselho Europeu a iniciar consultas para este efeito com bastante antecedência, com vista à aplicação do princípio dos candidatos cabeças de lista à luz dos resultados das eleições europeias;</w:t>
      </w:r>
    </w:p>
    <w:p w14:paraId="78733376" w14:textId="77777777" w:rsidR="001F2CB8" w:rsidRPr="0097332C" w:rsidRDefault="001F2CB8" w:rsidP="001F2CB8">
      <w:pPr>
        <w:pStyle w:val="NormalHanging12a"/>
      </w:pPr>
      <w:r w:rsidRPr="0097332C">
        <w:t>6.</w:t>
      </w:r>
      <w:r w:rsidRPr="0097332C">
        <w:tab/>
        <w:t xml:space="preserve">Espera que todos os partidos políticos europeus nomeiem os seus candidatos ao cargo de Presidente da Comissão atempadamente, pelo menos 12 semanas antes da data das eleições; </w:t>
      </w:r>
    </w:p>
    <w:p w14:paraId="768A2AD4" w14:textId="77777777" w:rsidR="001F2CB8" w:rsidRPr="0097332C" w:rsidRDefault="001F2CB8" w:rsidP="001F2CB8">
      <w:pPr>
        <w:pStyle w:val="NormalHanging12a"/>
      </w:pPr>
      <w:r w:rsidRPr="0097332C">
        <w:t>7.</w:t>
      </w:r>
      <w:r w:rsidRPr="0097332C">
        <w:tab/>
        <w:t>Apela ao estabelecimento de um acordo interinstitucional entre o Parlamento e o Conselho Europeu sobre o sistema dos candidatos cabeç</w:t>
      </w:r>
      <w:r w:rsidR="00F853E9" w:rsidRPr="0097332C">
        <w:t>as de lista no âmbito do artigo </w:t>
      </w:r>
      <w:r w:rsidRPr="0097332C">
        <w:t>17.º, n.º 7, do TUE; solicita à Presidente do Parlamento Europeu que inicie de imediato os trabalhos preparatórios conducentes a um tal acordo; pensa que os candidatos cabeças de lista e os presidentes dos partidos políticos europeus e dos respetivos grupos parlamentares devem encetar negociações imediatamente após as eleições europeias de 2024 para chegar a acordo, em nome do Parlamento Europeu, sobre um candidato comum para presidir à Comissão, antes de o Conselho Europeu apresentar a sua proposta;</w:t>
      </w:r>
    </w:p>
    <w:p w14:paraId="2D99F5B0" w14:textId="77777777" w:rsidR="001F2CB8" w:rsidRPr="0097332C" w:rsidRDefault="001F2CB8" w:rsidP="001F2CB8">
      <w:pPr>
        <w:pStyle w:val="NormalHanging12a"/>
      </w:pPr>
      <w:r w:rsidRPr="0097332C">
        <w:t>8.</w:t>
      </w:r>
      <w:r w:rsidRPr="0097332C">
        <w:tab/>
        <w:t>Considera que o candidato cabeça de lista do partido político europeu que obteve a maior percentagem de lugares nas eleições para o Parlamento Europeu deve, em primeiro lugar, liderar as negociações para identificar o candidato comum com a maior maioria, seguido, se necessário, pelos outros candidatos cabeças de lista neste esforço, proporcionalmente à percentagem de lugares obtida pelos respetivos partidos políticos europeus; propõe que o Presidente do Parlamento Europeu esteja, se necessário, disponível para orientar este processo;</w:t>
      </w:r>
    </w:p>
    <w:p w14:paraId="06731F5B" w14:textId="77777777" w:rsidR="001F2CB8" w:rsidRPr="0097332C" w:rsidRDefault="001F2CB8" w:rsidP="001F2CB8">
      <w:pPr>
        <w:pStyle w:val="NormalHanging12a"/>
      </w:pPr>
      <w:r w:rsidRPr="0097332C">
        <w:t>9.</w:t>
      </w:r>
      <w:r w:rsidRPr="0097332C">
        <w:tab/>
        <w:t>Sublinha que será prerrogativa do Presidente do Parlamento Europeu comunicar ao Conselho Europeu o nome do candidato comum do Parlamento ao cargo de Presidente da Comissão Europeia;</w:t>
      </w:r>
    </w:p>
    <w:p w14:paraId="0986A54D" w14:textId="77777777" w:rsidR="001F2CB8" w:rsidRPr="0097332C" w:rsidRDefault="001F2CB8" w:rsidP="001F2CB8">
      <w:pPr>
        <w:pStyle w:val="NormalHanging12a"/>
      </w:pPr>
      <w:r w:rsidRPr="0097332C">
        <w:t>10.</w:t>
      </w:r>
      <w:r w:rsidRPr="0097332C">
        <w:tab/>
        <w:t>Recomenda que, na ausência de um candidato comum do Parlamento Europeu a Presidente da Comissão, o Presidente do Conselho Europeu proceda a consultas com o Presidente do Parlamento Europeu, os candidatos cabeças de lista, os presidentes dos partidos políticos europeus e dos respetivos grupos parlamentares, antes da proposta do Conselho Europeu ao Parlamento Europeu;</w:t>
      </w:r>
    </w:p>
    <w:p w14:paraId="0D803A24" w14:textId="77777777" w:rsidR="001F2CB8" w:rsidRPr="0097332C" w:rsidRDefault="001F2CB8" w:rsidP="001F2CB8">
      <w:pPr>
        <w:pStyle w:val="NormalHanging12a"/>
      </w:pPr>
      <w:r w:rsidRPr="0097332C">
        <w:t>11.</w:t>
      </w:r>
      <w:r w:rsidRPr="0097332C">
        <w:tab/>
        <w:t>Considera, para o efeito, que o Conselho Europeu deve suspender a sua proposta para o cargo de Presidente da Comissão Europeia até que o Parlamento Europeu tenha apresentado um candidato comum, em conformidade com as consultas adequadas a que se refere o artigo 17.º, n.º 7, do TUE e com o princípio da cooperação leal;</w:t>
      </w:r>
    </w:p>
    <w:p w14:paraId="0B432F47" w14:textId="77777777" w:rsidR="001F2CB8" w:rsidRPr="0097332C" w:rsidRDefault="001F2CB8" w:rsidP="001F2CB8">
      <w:pPr>
        <w:pStyle w:val="NormalHanging12a"/>
      </w:pPr>
      <w:r w:rsidRPr="0097332C">
        <w:t>12.</w:t>
      </w:r>
      <w:r w:rsidRPr="0097332C">
        <w:tab/>
        <w:t>Recorda a prerrogativa do Parlamento Europeu de escolher o seu próprio Presidente;</w:t>
      </w:r>
    </w:p>
    <w:p w14:paraId="2B79731D" w14:textId="77777777" w:rsidR="001F2CB8" w:rsidRPr="0097332C" w:rsidRDefault="001F2CB8" w:rsidP="001F2CB8">
      <w:pPr>
        <w:pStyle w:val="NormalHanging12a"/>
      </w:pPr>
      <w:r w:rsidRPr="0097332C">
        <w:t>13.</w:t>
      </w:r>
      <w:r w:rsidRPr="0097332C">
        <w:tab/>
        <w:t>Espera que os partidos políticos europeus e os respetivos grupos parlamentares adotem um «acordo legislativo» para a legislatura de 2024</w:t>
      </w:r>
      <w:r w:rsidRPr="0097332C">
        <w:noBreakHyphen/>
        <w:t xml:space="preserve">2029 como forma de obter uma maioria no Parlamento antes da nomeação da Comissão, como base para o seu </w:t>
      </w:r>
      <w:r w:rsidRPr="0097332C">
        <w:lastRenderedPageBreak/>
        <w:t>programa de trabalho e uma garantia, para os eleitores europeus, de um seguimento coerente das eleições; cada candidato à Comissão Europeia deve subscrever este «acordo legislativo», a fim de obter o apoio maioritário do Parlamento; observa que um amplo apoio político é crucial para a aplicação desse acordo;</w:t>
      </w:r>
    </w:p>
    <w:p w14:paraId="6D41DB7A" w14:textId="77777777" w:rsidR="001F2CB8" w:rsidRPr="0097332C" w:rsidRDefault="001F2CB8" w:rsidP="001F2CB8">
      <w:pPr>
        <w:pStyle w:val="NormalHanging12a"/>
      </w:pPr>
      <w:r w:rsidRPr="0097332C">
        <w:t>14.</w:t>
      </w:r>
      <w:r w:rsidRPr="0097332C">
        <w:tab/>
        <w:t>Pensa que a fixação de um dia comum para as eleições europeias permitiria uma eleição pan</w:t>
      </w:r>
      <w:r w:rsidRPr="0097332C">
        <w:noBreakHyphen/>
        <w:t>europeia mais coerente;</w:t>
      </w:r>
    </w:p>
    <w:p w14:paraId="128DBD27" w14:textId="77777777" w:rsidR="001F2CB8" w:rsidRPr="0097332C" w:rsidRDefault="001F2CB8" w:rsidP="001F2CB8">
      <w:pPr>
        <w:pStyle w:val="NormalHanging12a"/>
      </w:pPr>
      <w:r w:rsidRPr="0097332C">
        <w:t>15.</w:t>
      </w:r>
      <w:r w:rsidRPr="0097332C">
        <w:tab/>
        <w:t>Recorda a responsabilidade de supervisão política conferida ao Parlamento pelos Tratados; salienta que a responsabilização da Comissão perante o Parlamento constitui um princípio importante do controlo democrático interno; recorda que as audições dos comissários indigitados e do Colégio de Comissários constituem um passo decisivo para uma maior democratização do processo decisório da UE e estão a ganhar importância como forma de o Parlamento assumir um papel mais importante na definição da agenda a nível da UE;</w:t>
      </w:r>
    </w:p>
    <w:p w14:paraId="629E2EF3" w14:textId="77777777" w:rsidR="001F2CB8" w:rsidRPr="0097332C" w:rsidRDefault="001F2CB8" w:rsidP="003800CE">
      <w:pPr>
        <w:pStyle w:val="Normal12a24b"/>
      </w:pPr>
      <w:r w:rsidRPr="0097332C">
        <w:rPr>
          <w:rStyle w:val="BoldItalic"/>
        </w:rPr>
        <w:t>Participação e direito de voto dos cidadãos</w:t>
      </w:r>
    </w:p>
    <w:p w14:paraId="697BF971" w14:textId="77777777" w:rsidR="001F2CB8" w:rsidRPr="0097332C" w:rsidRDefault="001F2CB8" w:rsidP="001F2CB8">
      <w:pPr>
        <w:pStyle w:val="NormalHanging12a"/>
      </w:pPr>
      <w:r w:rsidRPr="0097332C">
        <w:t>16.</w:t>
      </w:r>
      <w:r w:rsidRPr="0097332C">
        <w:tab/>
        <w:t>Considera essencial garantir que todos os cidadãos da União com direito de voto e de elegibilidade, incluindo os cidadãos móveis, os cidadãos com deficiência e os cidadãos sem abrigo, possam exercer esse direito;</w:t>
      </w:r>
    </w:p>
    <w:p w14:paraId="541D43BC" w14:textId="77777777" w:rsidR="001F2CB8" w:rsidRPr="0097332C" w:rsidRDefault="001F2CB8" w:rsidP="001F2CB8">
      <w:pPr>
        <w:pStyle w:val="NormalHanging12a"/>
      </w:pPr>
      <w:r w:rsidRPr="0097332C">
        <w:t>17.</w:t>
      </w:r>
      <w:r w:rsidRPr="0097332C">
        <w:tab/>
        <w:t>Insta os Estados</w:t>
      </w:r>
      <w:r w:rsidRPr="0097332C">
        <w:noBreakHyphen/>
        <w:t>Membros a assegurarem a acessibilidade das eleições através da introdução de medidas destinadas a garantir o acesso à informação e modalidades de votação acessíveis, por exemplo, a utilização de tecnologias, formatos e técnicas de apoio como Braille, códigos QR, impressão em caracteres grandes, informações em suporte áudio, decalques táteis, informações de leitura fácil e comunicação em linguagem gestual; pensa que as campanhas de sensibilização do público são fundamentais para aumentar a taxa de participação e insta os Estados</w:t>
      </w:r>
      <w:r w:rsidRPr="0097332C">
        <w:noBreakHyphen/>
        <w:t>Membros a envidarem todos os esforços neste sentido, envolvendo também as organizações da sociedade civil;</w:t>
      </w:r>
    </w:p>
    <w:p w14:paraId="01BC5B6B" w14:textId="77777777" w:rsidR="001F2CB8" w:rsidRPr="0097332C" w:rsidRDefault="001F2CB8" w:rsidP="001F2CB8">
      <w:pPr>
        <w:pStyle w:val="NormalHanging12a"/>
      </w:pPr>
      <w:r w:rsidRPr="0097332C">
        <w:t>18.</w:t>
      </w:r>
      <w:r w:rsidRPr="0097332C">
        <w:tab/>
        <w:t>Considera que o acesso à informação sobre a campanha eleitoral é uma condição necessária para a melhoria da participação dos cidadãos nas eleições; insta os Estados</w:t>
      </w:r>
      <w:r w:rsidRPr="0097332C">
        <w:noBreakHyphen/>
        <w:t>Membros a incentivarem os seus meios de comunicação social nacionais a cobrirem as eleições de tal modo que os cidadãos europeus possam exercer o seu direito de voto e entender a dimensão europeia da sua escolha, nomeadamente nas zonas rurais;</w:t>
      </w:r>
    </w:p>
    <w:p w14:paraId="320BBC5D" w14:textId="61F55B5C" w:rsidR="008B73BD" w:rsidRPr="0097332C" w:rsidRDefault="00E40706" w:rsidP="008B73BD">
      <w:pPr>
        <w:spacing w:after="240"/>
        <w:ind w:left="567" w:hanging="567"/>
      </w:pPr>
      <w:r w:rsidRPr="0097332C">
        <w:t>19.</w:t>
      </w:r>
      <w:r w:rsidR="008B73BD" w:rsidRPr="0097332C">
        <w:tab/>
        <w:t>Considera que a campanha de informação institucional do Parlamento contribui, em colaboração com as organizações da sociedade civil, para o debate sobre as questões políticas europeias e para criar uma sensibilização política europeia relativamente à democracia parlamentar e apoia a campanha eleitoral efetuada por todos os partidos políticos europeus; congratula</w:t>
      </w:r>
      <w:r w:rsidR="008B73BD" w:rsidRPr="0097332C">
        <w:noBreakHyphen/>
        <w:t>se com os esforços coordenados envidados por todas as instituições da União Europeia a este respeito;</w:t>
      </w:r>
    </w:p>
    <w:p w14:paraId="074600E0" w14:textId="438E01DE" w:rsidR="001F2CB8" w:rsidRPr="0097332C" w:rsidRDefault="00E40706" w:rsidP="001F2CB8">
      <w:pPr>
        <w:pStyle w:val="NormalHanging12a"/>
      </w:pPr>
      <w:r w:rsidRPr="0097332C">
        <w:t>20</w:t>
      </w:r>
      <w:r w:rsidR="001F2CB8" w:rsidRPr="0097332C">
        <w:t>.</w:t>
      </w:r>
      <w:r w:rsidR="001F2CB8" w:rsidRPr="0097332C">
        <w:tab/>
        <w:t>Reitera o seu apelo aos Estados</w:t>
      </w:r>
      <w:r w:rsidR="001F2CB8" w:rsidRPr="0097332C">
        <w:noBreakHyphen/>
        <w:t>Membros para que permitam a concessão a todos os cidadãos da União que residam ou trabalhem num país terceiro do direito de voto nas eleições para o Parlamento Europeu; convida os Estados</w:t>
      </w:r>
      <w:r w:rsidR="001F2CB8" w:rsidRPr="0097332C">
        <w:noBreakHyphen/>
        <w:t>Membros a trabalharem em conjunto com o Parlamento Europeu e o Serviço Europeu para a Ação Externa, a fim de informar os cidadãos da União em países terceiros sobre as eleições europeias e facilitar a sua participação nestas eleições;</w:t>
      </w:r>
      <w:r w:rsidR="008B73BD" w:rsidRPr="0097332C">
        <w:t xml:space="preserve"> insta o Alto Representante da União para os Negócios Estrangeiros e a Política de Segurança a incentivar os ministros dos Negócios </w:t>
      </w:r>
      <w:r w:rsidR="008B73BD" w:rsidRPr="0097332C">
        <w:lastRenderedPageBreak/>
        <w:t>Estrangeiros dos Estados</w:t>
      </w:r>
      <w:r w:rsidR="008B73BD" w:rsidRPr="0097332C">
        <w:noBreakHyphen/>
        <w:t>Membros a procederem ao intercâmbio de boas práticas em matéria de campanhas de informação e a facilitarem as modalidades de votação a partir do estrangeiro, incluindo a criação de assembleias de voto acessíveis fora da UE e a utilização de formas de votação por correspondência ou outras formas de votação à distância;</w:t>
      </w:r>
    </w:p>
    <w:p w14:paraId="239C47A0" w14:textId="39EA6D40" w:rsidR="001F2CB8" w:rsidRPr="0097332C" w:rsidRDefault="00E40706" w:rsidP="001F2CB8">
      <w:pPr>
        <w:pStyle w:val="NormalHanging12a"/>
      </w:pPr>
      <w:r w:rsidRPr="0097332C">
        <w:t>21</w:t>
      </w:r>
      <w:r w:rsidR="001F2CB8" w:rsidRPr="0097332C">
        <w:t>.</w:t>
      </w:r>
      <w:r w:rsidR="001F2CB8" w:rsidRPr="0097332C">
        <w:tab/>
        <w:t>Lamenta que a falta de progressos no Conselho relativamente à proposta da Comissão sobre uma diretiva do Conselho que estabelece as disposições pormenorizadas para o exercício do direito de voto e de elegibilidade nas eleições para o Parlamento Europeu dos cidadãos móveis da União impeça que as inovações apresentadas pela Comissão e pelo Parlamento entrem em vigor a tempo das eleições de 2024;</w:t>
      </w:r>
    </w:p>
    <w:p w14:paraId="3D748C15" w14:textId="716E14A7" w:rsidR="001F2CB8" w:rsidRPr="0097332C" w:rsidRDefault="00E40706" w:rsidP="001F2CB8">
      <w:pPr>
        <w:pStyle w:val="NormalHanging12a"/>
      </w:pPr>
      <w:r w:rsidRPr="0097332C">
        <w:t>22</w:t>
      </w:r>
      <w:r w:rsidR="001F2CB8" w:rsidRPr="0097332C">
        <w:t>.</w:t>
      </w:r>
      <w:r w:rsidR="001F2CB8" w:rsidRPr="0097332C">
        <w:tab/>
        <w:t xml:space="preserve">Incentiva a introdução do voto por correspondência para garantir que a impossibilidade de se deslocarem às mesas de voto </w:t>
      </w:r>
      <w:r w:rsidR="001624E1" w:rsidRPr="0097332C">
        <w:t>no dia</w:t>
      </w:r>
      <w:r w:rsidR="001F2CB8" w:rsidRPr="0097332C">
        <w:t xml:space="preserve"> das eleições não impeça os cidadãos da União de exercerem o seu direito de voto; defende ainda a introdução de instrumentos complementares para facilitar a votação, tais como o voto presencial antecipado e o voto por procuração, bem como o voto eletrónico e em linha;</w:t>
      </w:r>
    </w:p>
    <w:p w14:paraId="3B2EDBFE" w14:textId="271B33CB" w:rsidR="001F2CB8" w:rsidRPr="0097332C" w:rsidRDefault="00E40706" w:rsidP="001F2CB8">
      <w:pPr>
        <w:pStyle w:val="NormalHanging12a"/>
      </w:pPr>
      <w:r w:rsidRPr="0097332C">
        <w:t>23</w:t>
      </w:r>
      <w:r w:rsidR="001F2CB8" w:rsidRPr="0097332C">
        <w:t>.</w:t>
      </w:r>
      <w:r w:rsidR="001F2CB8" w:rsidRPr="0097332C">
        <w:tab/>
        <w:t>Considera que a igualdade de género é um elemento fundamental para melhorar a representação nas eleições; congratula</w:t>
      </w:r>
      <w:r w:rsidR="001F2CB8" w:rsidRPr="0097332C">
        <w:noBreakHyphen/>
        <w:t>se com os progressos realizados no sentido de um Parlamento equilibrado em termos de género na sequência das ele</w:t>
      </w:r>
      <w:r w:rsidR="0095610C" w:rsidRPr="0097332C">
        <w:t>ições europeias de </w:t>
      </w:r>
      <w:r w:rsidR="001F2CB8" w:rsidRPr="0097332C">
        <w:t>2019, mas sublinha as disparidades existentes entre os Estados</w:t>
      </w:r>
      <w:r w:rsidR="001F2CB8" w:rsidRPr="0097332C">
        <w:noBreakHyphen/>
        <w:t>Membros no que diz respeito aos seus níveis de representação das mulheres; incentiva, neste contexto, a aplicação das disposições aprovadas pelo Parlamento, em 3 de maio de 2022, sobre a nova lei eleitoral europeia;</w:t>
      </w:r>
    </w:p>
    <w:p w14:paraId="0FBA7B5D" w14:textId="599EC697" w:rsidR="001F2CB8" w:rsidRPr="0097332C" w:rsidRDefault="00E40706" w:rsidP="001F2CB8">
      <w:pPr>
        <w:pStyle w:val="NormalHanging12a"/>
      </w:pPr>
      <w:r w:rsidRPr="0097332C">
        <w:t>24</w:t>
      </w:r>
      <w:r w:rsidR="001F2CB8" w:rsidRPr="0097332C">
        <w:t>.</w:t>
      </w:r>
      <w:r w:rsidR="001F2CB8" w:rsidRPr="0097332C">
        <w:tab/>
        <w:t>Pensa que os Estados</w:t>
      </w:r>
      <w:r w:rsidR="001F2CB8" w:rsidRPr="0097332C">
        <w:noBreakHyphen/>
        <w:t>Membros devem estudar a possibilidade de harmonizar e reduzir a idade para exercer o direito de voto e a idade mínima para ser eleito, tal como indicado na proposta de lei eleitoral e nas conclusões da Conferência sobre o Futuro da Europa;</w:t>
      </w:r>
    </w:p>
    <w:p w14:paraId="001B5B55" w14:textId="77777777" w:rsidR="001F2CB8" w:rsidRPr="0097332C" w:rsidRDefault="001F2CB8" w:rsidP="003800CE">
      <w:pPr>
        <w:pStyle w:val="NormalHanging12a"/>
        <w:ind w:left="0" w:firstLine="0"/>
        <w:rPr>
          <w:rStyle w:val="BoldItalic"/>
          <w:snapToGrid/>
          <w:lang w:eastAsia="en-GB"/>
        </w:rPr>
      </w:pPr>
      <w:r w:rsidRPr="0097332C">
        <w:rPr>
          <w:rStyle w:val="BoldItalic"/>
        </w:rPr>
        <w:t xml:space="preserve">Resiliência institucional </w:t>
      </w:r>
    </w:p>
    <w:p w14:paraId="348B765D" w14:textId="3B357283" w:rsidR="001F2CB8" w:rsidRPr="0097332C" w:rsidRDefault="00E40706" w:rsidP="001F2CB8">
      <w:pPr>
        <w:pStyle w:val="NormalHanging12a"/>
      </w:pPr>
      <w:r w:rsidRPr="0097332C">
        <w:t>25</w:t>
      </w:r>
      <w:r w:rsidR="001F2CB8" w:rsidRPr="0097332C">
        <w:t>.</w:t>
      </w:r>
      <w:r w:rsidR="001F2CB8" w:rsidRPr="0097332C">
        <w:tab/>
        <w:t>Pensa que a desinformação e a ingerência estrangeira constituem um ataque grave à integridade do processo eleitoral e à democracia europeia; salienta que as plataformas digitais desempenham um papel fundamental na luta contra a desinformação;</w:t>
      </w:r>
    </w:p>
    <w:p w14:paraId="6548A740" w14:textId="0C76D566" w:rsidR="001F2CB8" w:rsidRPr="0097332C" w:rsidRDefault="00E40706" w:rsidP="001F2CB8">
      <w:pPr>
        <w:pStyle w:val="NormalHanging12a"/>
      </w:pPr>
      <w:r w:rsidRPr="0097332C">
        <w:t>26</w:t>
      </w:r>
      <w:r w:rsidR="001F2CB8" w:rsidRPr="0097332C">
        <w:t>.</w:t>
      </w:r>
      <w:r w:rsidR="001F2CB8" w:rsidRPr="0097332C">
        <w:tab/>
        <w:t>Reconhece os esforços envidados pelas instituições da UE para combater a desinformação e a ingerência estrangeira, como o Código de Conduta sobre Desinformação de 2022 e o sistema de alerta rápido; realça, porém, a necessidade de salvaguardas e medidas mais sólidas contra a desinformação e a ingerência interna e externa no processo eleitoral; compromete</w:t>
      </w:r>
      <w:r w:rsidR="001F2CB8" w:rsidRPr="0097332C">
        <w:noBreakHyphen/>
        <w:t>se a intensificar os seus esforços no combate às tentativas de ingerência estrangeira no Parlamento Europeu;</w:t>
      </w:r>
    </w:p>
    <w:p w14:paraId="2F4525D5" w14:textId="558674E3" w:rsidR="001F2CB8" w:rsidRPr="0097332C" w:rsidRDefault="00E40706" w:rsidP="001F2CB8">
      <w:pPr>
        <w:pStyle w:val="NormalHanging12a"/>
      </w:pPr>
      <w:r w:rsidRPr="0097332C">
        <w:t>27</w:t>
      </w:r>
      <w:r w:rsidR="001F2CB8" w:rsidRPr="0097332C">
        <w:t>.</w:t>
      </w:r>
      <w:r w:rsidR="001F2CB8" w:rsidRPr="0097332C">
        <w:tab/>
        <w:t>Chama a atenção para as negociações interinstitucionais em curso relativamente às propostas de regulamento do Parlamento Europeu e do Conselho sobre os partidos políticos europeus e as fundações políticas europeias; insta a Comissão e o Conselho a prosseguirem as negociações interinstitucionais num espírito de cooperação leal</w:t>
      </w:r>
      <w:r w:rsidR="00136703" w:rsidRPr="0097332C">
        <w:t>; congratula</w:t>
      </w:r>
      <w:r w:rsidR="00136703" w:rsidRPr="0097332C">
        <w:noBreakHyphen/>
        <w:t xml:space="preserve">se com o acordo entre os colegisladores sobre o regulamento do Parlamento Europeu sobre a transparência e o direcionamento da propaganda política; </w:t>
      </w:r>
      <w:r w:rsidR="00136703" w:rsidRPr="0097332C">
        <w:rPr>
          <w:bCs/>
          <w:iCs/>
        </w:rPr>
        <w:t>congratula</w:t>
      </w:r>
      <w:r w:rsidR="00136703" w:rsidRPr="0097332C">
        <w:rPr>
          <w:bCs/>
          <w:iCs/>
        </w:rPr>
        <w:noBreakHyphen/>
        <w:t>se com a aplicabilidade de algumas das</w:t>
      </w:r>
      <w:r w:rsidR="00136703" w:rsidRPr="0097332C">
        <w:t xml:space="preserve"> </w:t>
      </w:r>
      <w:r w:rsidR="001F2CB8" w:rsidRPr="0097332C">
        <w:t>suas disposições</w:t>
      </w:r>
      <w:r w:rsidR="00136703" w:rsidRPr="0097332C">
        <w:rPr>
          <w:bCs/>
          <w:iCs/>
        </w:rPr>
        <w:t xml:space="preserve">, como as relativas à não </w:t>
      </w:r>
      <w:r w:rsidR="00136703" w:rsidRPr="0097332C">
        <w:rPr>
          <w:bCs/>
          <w:iCs/>
        </w:rPr>
        <w:lastRenderedPageBreak/>
        <w:t>discriminação,</w:t>
      </w:r>
      <w:r w:rsidR="00136703" w:rsidRPr="0097332C">
        <w:t xml:space="preserve"> </w:t>
      </w:r>
      <w:r w:rsidR="001F2CB8" w:rsidRPr="0097332C">
        <w:t xml:space="preserve">antes </w:t>
      </w:r>
      <w:r w:rsidR="00136703" w:rsidRPr="0097332C">
        <w:rPr>
          <w:bCs/>
          <w:iCs/>
        </w:rPr>
        <w:t>das</w:t>
      </w:r>
      <w:r w:rsidR="00136703" w:rsidRPr="0097332C">
        <w:t xml:space="preserve"> </w:t>
      </w:r>
      <w:r w:rsidR="001F2CB8" w:rsidRPr="0097332C">
        <w:t xml:space="preserve">eleições de 2024; </w:t>
      </w:r>
      <w:r w:rsidR="002850FA" w:rsidRPr="0097332C">
        <w:t>insta os Estados</w:t>
      </w:r>
      <w:r w:rsidR="002850FA" w:rsidRPr="0097332C">
        <w:noBreakHyphen/>
        <w:t>Membros a aplicarem plenamente as outras disposições do regulamento, quando estas entrarem em vigor;</w:t>
      </w:r>
    </w:p>
    <w:p w14:paraId="0AC91F38" w14:textId="223F1470" w:rsidR="001F2CB8" w:rsidRPr="0097332C" w:rsidRDefault="00E40706" w:rsidP="001F2CB8">
      <w:pPr>
        <w:pStyle w:val="NormalHanging12a"/>
      </w:pPr>
      <w:r w:rsidRPr="0097332C">
        <w:t>28</w:t>
      </w:r>
      <w:r w:rsidR="001F2CB8" w:rsidRPr="0097332C">
        <w:t>.</w:t>
      </w:r>
      <w:r w:rsidR="001F2CB8" w:rsidRPr="0097332C">
        <w:tab/>
        <w:t>Recorda que o Parlamento adotou uma resolução e encontra</w:t>
      </w:r>
      <w:r w:rsidR="001F2CB8" w:rsidRPr="0097332C">
        <w:noBreakHyphen/>
        <w:t>se atualmente a elaborar propostas de alteração dos Tratados, entre outras, para aumentar a legitimidade democrática da UE e dar um seguimento adequado às propostas adotadas pela Conferência sobre o Futuro da Europa; observa que as eleições de 2024 representam uma ocasião única para iniciar um debate à escala da UE sobre a reforma da União com base nas propostas de reforma dos Tratados apresentadas pelo Parlamento; insta o Conselho Europeu a adotar rapidamente uma posição sobre a realização de uma convenção, na sequência da adoção, pelo Parlamento, das suas propostas; reitera o seu apoio a uma reforma dos Tratados neste contexto;</w:t>
      </w:r>
    </w:p>
    <w:p w14:paraId="60BF5BB8" w14:textId="688C428D" w:rsidR="001F2CB8" w:rsidRPr="0097332C" w:rsidRDefault="00E40706" w:rsidP="001F2CB8">
      <w:pPr>
        <w:pStyle w:val="NormalHanging12a"/>
      </w:pPr>
      <w:r w:rsidRPr="0097332C">
        <w:t>29</w:t>
      </w:r>
      <w:r w:rsidR="001F2CB8" w:rsidRPr="0097332C">
        <w:t>.</w:t>
      </w:r>
      <w:r w:rsidR="001F2CB8" w:rsidRPr="0097332C">
        <w:tab/>
        <w:t>Apela a uma reforma dos Tratados e exorta o Conselho e, em última instância, o Conselho Europeu a darem seguimento à sua proposta de acionar o artigo 48.º do TUE, a fim de estabelecer uma convenção;</w:t>
      </w:r>
    </w:p>
    <w:p w14:paraId="078DA706" w14:textId="79B2B671" w:rsidR="00343D76" w:rsidRPr="0097332C" w:rsidRDefault="00E40706" w:rsidP="001F2CB8">
      <w:pPr>
        <w:pStyle w:val="NormalHanging12a"/>
      </w:pPr>
      <w:r w:rsidRPr="0097332C">
        <w:t>30.</w:t>
      </w:r>
      <w:r w:rsidR="00343D76" w:rsidRPr="0097332C">
        <w:tab/>
      </w:r>
      <w:r w:rsidR="00343D76" w:rsidRPr="0097332C">
        <w:rPr>
          <w:snapToGrid/>
          <w:szCs w:val="24"/>
        </w:rPr>
        <w:t>Salienta a necessidade de reforçar a confiança do eleitorado nos processos eleitorais, assegurando que todas as eleições sejam livres e justas; observa, a este respeito, que a OSCE efetuou, entre 6 e 9 de novembro de 2023, uma Missão de Avaliação das Necessidades em quatro Estados</w:t>
      </w:r>
      <w:r w:rsidR="00343D76" w:rsidRPr="0097332C">
        <w:rPr>
          <w:snapToGrid/>
          <w:szCs w:val="24"/>
        </w:rPr>
        <w:noBreakHyphen/>
        <w:t>Membros para preparação de uma missão de acompanhamento das eleições europeias; sugere à Presidência do Conselho que incentive os Estados</w:t>
      </w:r>
      <w:r w:rsidR="00343D76" w:rsidRPr="0097332C">
        <w:rPr>
          <w:snapToGrid/>
          <w:szCs w:val="24"/>
        </w:rPr>
        <w:noBreakHyphen/>
        <w:t>Membros a enviarem convites à OSCE para acompanharem as eleições europeias e a utilizarem plenamente esta possibilidade;</w:t>
      </w:r>
    </w:p>
    <w:p w14:paraId="282E7A69" w14:textId="67E20FCF" w:rsidR="001F2CB8" w:rsidRPr="0097332C" w:rsidRDefault="00E40706" w:rsidP="001F2CB8">
      <w:pPr>
        <w:pStyle w:val="NormalHanging12a"/>
      </w:pPr>
      <w:r w:rsidRPr="0097332C">
        <w:t>31</w:t>
      </w:r>
      <w:r w:rsidR="001F2CB8" w:rsidRPr="0097332C">
        <w:t>.</w:t>
      </w:r>
      <w:r w:rsidR="001F2CB8" w:rsidRPr="0097332C">
        <w:tab/>
        <w:t>Solicita à sua Comissão dos Assuntos Constitucionais que examine se algumas das disposições e recomendações da presente resolução podem ser incorporadas no Regimento do Parlamento;</w:t>
      </w:r>
    </w:p>
    <w:p w14:paraId="1A1ADC72" w14:textId="77777777" w:rsidR="00CF0369" w:rsidRPr="0097332C" w:rsidRDefault="00CF0369" w:rsidP="00CF0369">
      <w:pPr>
        <w:pStyle w:val="NormalCenter12a"/>
        <w:widowControl/>
      </w:pPr>
      <w:r w:rsidRPr="0097332C">
        <w:t>°</w:t>
      </w:r>
    </w:p>
    <w:p w14:paraId="1387D423" w14:textId="77777777" w:rsidR="00CF0369" w:rsidRPr="0097332C" w:rsidRDefault="00CF0369" w:rsidP="00CF0369">
      <w:pPr>
        <w:pStyle w:val="NormalCenter12a"/>
        <w:widowControl/>
      </w:pPr>
      <w:r w:rsidRPr="0097332C">
        <w:t>°     °</w:t>
      </w:r>
    </w:p>
    <w:p w14:paraId="5CE20A92" w14:textId="66856A50" w:rsidR="00E365E1" w:rsidRPr="0097332C" w:rsidRDefault="00E40706" w:rsidP="00CF0369">
      <w:pPr>
        <w:pStyle w:val="NormalHanging12a"/>
      </w:pPr>
      <w:r w:rsidRPr="0097332C">
        <w:t>32</w:t>
      </w:r>
      <w:r w:rsidR="001F2CB8" w:rsidRPr="0097332C">
        <w:t>.</w:t>
      </w:r>
      <w:r w:rsidR="001F2CB8" w:rsidRPr="0097332C">
        <w:tab/>
        <w:t>Encarrega a sua Presidente de transmitir a presente resolução ao Conselho e à Comissão.</w:t>
      </w:r>
    </w:p>
    <w:sectPr w:rsidR="00E365E1" w:rsidRPr="0097332C" w:rsidSect="00456367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13C59" w14:textId="77777777" w:rsidR="00A17B89" w:rsidRPr="00456367" w:rsidRDefault="00A17B89">
      <w:r w:rsidRPr="00456367">
        <w:separator/>
      </w:r>
    </w:p>
  </w:endnote>
  <w:endnote w:type="continuationSeparator" w:id="0">
    <w:p w14:paraId="2C856DBB" w14:textId="77777777" w:rsidR="00A17B89" w:rsidRPr="00456367" w:rsidRDefault="00A17B89">
      <w:r w:rsidRPr="004563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C904F" w14:textId="77777777" w:rsidR="00A17B89" w:rsidRPr="00456367" w:rsidRDefault="00A17B89">
      <w:r w:rsidRPr="00456367">
        <w:separator/>
      </w:r>
    </w:p>
  </w:footnote>
  <w:footnote w:type="continuationSeparator" w:id="0">
    <w:p w14:paraId="7AA5E251" w14:textId="77777777" w:rsidR="00A17B89" w:rsidRPr="00456367" w:rsidRDefault="00A17B89">
      <w:r w:rsidRPr="00456367">
        <w:continuationSeparator/>
      </w:r>
    </w:p>
  </w:footnote>
  <w:footnote w:id="1">
    <w:p w14:paraId="7658683A" w14:textId="77777777" w:rsidR="001F2CB8" w:rsidRPr="001C31E9" w:rsidRDefault="001F2CB8" w:rsidP="00456367">
      <w:pPr>
        <w:pStyle w:val="FootnoteText"/>
        <w:ind w:left="567" w:hanging="567"/>
        <w:rPr>
          <w:sz w:val="24"/>
          <w:lang w:val="da-DK"/>
        </w:rPr>
      </w:pPr>
      <w:r w:rsidRPr="00456367">
        <w:rPr>
          <w:rStyle w:val="FootnoteReference"/>
          <w:sz w:val="24"/>
          <w:lang w:val="pt-PT"/>
        </w:rPr>
        <w:footnoteRef/>
      </w:r>
      <w:r w:rsidR="00456367" w:rsidRPr="001C31E9">
        <w:rPr>
          <w:sz w:val="24"/>
          <w:lang w:val="da-DK"/>
        </w:rPr>
        <w:t xml:space="preserve"> </w:t>
      </w:r>
      <w:r w:rsidR="00456367" w:rsidRPr="001C31E9">
        <w:rPr>
          <w:sz w:val="24"/>
          <w:lang w:val="da-DK"/>
        </w:rPr>
        <w:tab/>
      </w:r>
      <w:r w:rsidRPr="001C31E9">
        <w:rPr>
          <w:sz w:val="24"/>
          <w:lang w:val="da-DK"/>
        </w:rPr>
        <w:t>JO L 329 de 30.12.1993, p. 34.</w:t>
      </w:r>
    </w:p>
  </w:footnote>
  <w:footnote w:id="2">
    <w:p w14:paraId="38A37886" w14:textId="77777777" w:rsidR="001F2CB8" w:rsidRPr="001C31E9" w:rsidRDefault="001F2CB8" w:rsidP="00456367">
      <w:pPr>
        <w:pStyle w:val="FootnoteText"/>
        <w:ind w:left="567" w:hanging="567"/>
        <w:rPr>
          <w:sz w:val="24"/>
          <w:lang w:val="da-DK"/>
        </w:rPr>
      </w:pPr>
      <w:r w:rsidRPr="00456367">
        <w:rPr>
          <w:rStyle w:val="FootnoteReference"/>
          <w:sz w:val="24"/>
          <w:lang w:val="pt-PT"/>
        </w:rPr>
        <w:footnoteRef/>
      </w:r>
      <w:r w:rsidR="00456367" w:rsidRPr="001C31E9">
        <w:rPr>
          <w:sz w:val="24"/>
          <w:lang w:val="da-DK"/>
        </w:rPr>
        <w:t xml:space="preserve"> </w:t>
      </w:r>
      <w:r w:rsidR="00456367" w:rsidRPr="001C31E9">
        <w:rPr>
          <w:sz w:val="24"/>
          <w:lang w:val="da-DK"/>
        </w:rPr>
        <w:tab/>
      </w:r>
      <w:r w:rsidRPr="001C31E9">
        <w:rPr>
          <w:sz w:val="24"/>
          <w:lang w:val="da-DK"/>
        </w:rPr>
        <w:t>JO C 75 de 26.2.2016, p. 109.</w:t>
      </w:r>
    </w:p>
  </w:footnote>
  <w:footnote w:id="3">
    <w:p w14:paraId="72538578" w14:textId="77777777" w:rsidR="001F2CB8" w:rsidRPr="003800CE" w:rsidRDefault="001F2CB8" w:rsidP="00456367">
      <w:pPr>
        <w:pStyle w:val="FootnoteText"/>
        <w:ind w:left="567" w:hanging="567"/>
        <w:rPr>
          <w:sz w:val="24"/>
          <w:lang w:val="da-DK"/>
        </w:rPr>
      </w:pPr>
      <w:r w:rsidRPr="000423F0">
        <w:rPr>
          <w:rStyle w:val="FootnoteReference"/>
          <w:sz w:val="24"/>
          <w:lang w:val="pt-PT"/>
        </w:rPr>
        <w:footnoteRef/>
      </w:r>
      <w:r w:rsidR="00456367" w:rsidRPr="000423F0">
        <w:rPr>
          <w:sz w:val="24"/>
          <w:lang w:val="da-DK"/>
        </w:rPr>
        <w:t xml:space="preserve"> </w:t>
      </w:r>
      <w:r w:rsidR="00456367" w:rsidRPr="000423F0">
        <w:rPr>
          <w:sz w:val="24"/>
          <w:lang w:val="da-DK"/>
        </w:rPr>
        <w:tab/>
      </w:r>
      <w:r w:rsidR="00F4437F" w:rsidRPr="003800CE">
        <w:rPr>
          <w:sz w:val="24"/>
          <w:lang w:val="da-DK"/>
        </w:rPr>
        <w:t>JO L 114 I de 4.5.2018, p. 1.</w:t>
      </w:r>
    </w:p>
  </w:footnote>
  <w:footnote w:id="4">
    <w:p w14:paraId="09342FCD" w14:textId="77777777" w:rsidR="001F2CB8" w:rsidRPr="001C31E9" w:rsidRDefault="001F2CB8" w:rsidP="00456367">
      <w:pPr>
        <w:pStyle w:val="FootnoteText"/>
        <w:ind w:left="567" w:hanging="567"/>
        <w:rPr>
          <w:sz w:val="24"/>
          <w:lang w:val="da-DK"/>
        </w:rPr>
      </w:pPr>
      <w:r w:rsidRPr="00456367">
        <w:rPr>
          <w:rStyle w:val="FootnoteReference"/>
          <w:sz w:val="24"/>
          <w:lang w:val="pt-PT"/>
        </w:rPr>
        <w:footnoteRef/>
      </w:r>
      <w:r w:rsidR="00456367" w:rsidRPr="001C31E9">
        <w:rPr>
          <w:sz w:val="24"/>
          <w:lang w:val="da-DK"/>
        </w:rPr>
        <w:t xml:space="preserve"> </w:t>
      </w:r>
      <w:r w:rsidR="00456367" w:rsidRPr="001C31E9">
        <w:rPr>
          <w:sz w:val="24"/>
          <w:lang w:val="da-DK"/>
        </w:rPr>
        <w:tab/>
      </w:r>
      <w:r w:rsidRPr="001C31E9">
        <w:rPr>
          <w:sz w:val="24"/>
          <w:lang w:val="da-DK"/>
        </w:rPr>
        <w:t>JO L 178 de 16.7.2018, p. 1.</w:t>
      </w:r>
    </w:p>
  </w:footnote>
  <w:footnote w:id="5">
    <w:p w14:paraId="321A91D5" w14:textId="77777777" w:rsidR="001F2CB8" w:rsidRPr="003800CE" w:rsidRDefault="001F2CB8" w:rsidP="00456367">
      <w:pPr>
        <w:pStyle w:val="FootnoteText"/>
        <w:ind w:left="567" w:hanging="567"/>
        <w:rPr>
          <w:sz w:val="24"/>
          <w:lang w:val="da-DK"/>
        </w:rPr>
      </w:pPr>
      <w:r w:rsidRPr="000423F0">
        <w:rPr>
          <w:rStyle w:val="FootnoteReference"/>
          <w:sz w:val="24"/>
          <w:lang w:val="pt-PT"/>
        </w:rPr>
        <w:footnoteRef/>
      </w:r>
      <w:r w:rsidR="00456367" w:rsidRPr="000423F0">
        <w:rPr>
          <w:sz w:val="24"/>
          <w:lang w:val="da-DK"/>
        </w:rPr>
        <w:t xml:space="preserve"> </w:t>
      </w:r>
      <w:r w:rsidR="00456367" w:rsidRPr="000423F0">
        <w:rPr>
          <w:sz w:val="24"/>
          <w:lang w:val="da-DK"/>
        </w:rPr>
        <w:tab/>
      </w:r>
      <w:r w:rsidR="00F4437F" w:rsidRPr="003800CE">
        <w:rPr>
          <w:sz w:val="24"/>
          <w:lang w:val="da-DK"/>
        </w:rPr>
        <w:t>JO C 425 de 20.10.2021, p. 98.</w:t>
      </w:r>
    </w:p>
  </w:footnote>
  <w:footnote w:id="6">
    <w:p w14:paraId="4059615C" w14:textId="77777777" w:rsidR="001F2CB8" w:rsidRPr="001C31E9" w:rsidRDefault="001F2CB8" w:rsidP="00456367">
      <w:pPr>
        <w:pStyle w:val="FootnoteText"/>
        <w:ind w:left="567" w:hanging="567"/>
        <w:rPr>
          <w:sz w:val="24"/>
          <w:lang w:val="da-DK"/>
        </w:rPr>
      </w:pPr>
      <w:r w:rsidRPr="00456367">
        <w:rPr>
          <w:rStyle w:val="FootnoteReference"/>
          <w:sz w:val="24"/>
          <w:lang w:val="pt-PT"/>
        </w:rPr>
        <w:footnoteRef/>
      </w:r>
      <w:r w:rsidR="00456367" w:rsidRPr="001C31E9">
        <w:rPr>
          <w:sz w:val="24"/>
          <w:lang w:val="da-DK"/>
        </w:rPr>
        <w:t xml:space="preserve"> </w:t>
      </w:r>
      <w:r w:rsidR="00456367" w:rsidRPr="001C31E9">
        <w:rPr>
          <w:sz w:val="24"/>
          <w:lang w:val="da-DK"/>
        </w:rPr>
        <w:tab/>
      </w:r>
      <w:r w:rsidRPr="001C31E9">
        <w:rPr>
          <w:sz w:val="24"/>
          <w:lang w:val="da-DK"/>
        </w:rPr>
        <w:t>JO C 465 de 6.12.2022, p. 171.</w:t>
      </w:r>
    </w:p>
  </w:footnote>
  <w:footnote w:id="7">
    <w:p w14:paraId="3FF8DD1D" w14:textId="77777777" w:rsidR="001F2CB8" w:rsidRPr="00B4016F" w:rsidRDefault="001F2CB8" w:rsidP="00456367">
      <w:pPr>
        <w:pStyle w:val="FootnoteText"/>
        <w:ind w:left="567" w:hanging="567"/>
        <w:rPr>
          <w:sz w:val="24"/>
          <w:lang w:val="da-DK"/>
        </w:rPr>
      </w:pPr>
      <w:r w:rsidRPr="00456367">
        <w:rPr>
          <w:rStyle w:val="FootnoteReference"/>
          <w:sz w:val="24"/>
          <w:lang w:val="pt-PT"/>
        </w:rPr>
        <w:footnoteRef/>
      </w:r>
      <w:r w:rsidR="00456367" w:rsidRPr="00B4016F">
        <w:rPr>
          <w:sz w:val="24"/>
          <w:lang w:val="da-DK"/>
        </w:rPr>
        <w:t xml:space="preserve"> </w:t>
      </w:r>
      <w:r w:rsidR="00456367" w:rsidRPr="00B4016F">
        <w:rPr>
          <w:sz w:val="24"/>
          <w:lang w:val="da-DK"/>
        </w:rPr>
        <w:tab/>
      </w:r>
      <w:r w:rsidRPr="00B4016F">
        <w:rPr>
          <w:sz w:val="24"/>
          <w:lang w:val="da-DK"/>
        </w:rPr>
        <w:t>JO C 125 de 5.4.2023, p. 485.</w:t>
      </w:r>
    </w:p>
  </w:footnote>
  <w:footnote w:id="8">
    <w:p w14:paraId="49478171" w14:textId="77777777" w:rsidR="001F2CB8" w:rsidRPr="00B4016F" w:rsidRDefault="001F2CB8" w:rsidP="00456367">
      <w:pPr>
        <w:pStyle w:val="FootnoteText"/>
        <w:ind w:left="567" w:hanging="567"/>
        <w:rPr>
          <w:sz w:val="24"/>
          <w:lang w:val="da-DK"/>
        </w:rPr>
      </w:pPr>
      <w:r w:rsidRPr="00456367">
        <w:rPr>
          <w:rStyle w:val="FootnoteReference"/>
          <w:sz w:val="24"/>
          <w:lang w:val="pt-PT"/>
        </w:rPr>
        <w:footnoteRef/>
      </w:r>
      <w:r w:rsidR="00456367" w:rsidRPr="00B4016F">
        <w:rPr>
          <w:sz w:val="24"/>
          <w:lang w:val="da-DK"/>
        </w:rPr>
        <w:t xml:space="preserve"> </w:t>
      </w:r>
      <w:r w:rsidR="00456367" w:rsidRPr="00B4016F">
        <w:rPr>
          <w:sz w:val="24"/>
          <w:lang w:val="da-DK"/>
        </w:rPr>
        <w:tab/>
      </w:r>
      <w:r w:rsidRPr="00B4016F">
        <w:rPr>
          <w:sz w:val="24"/>
          <w:lang w:val="da-DK"/>
        </w:rPr>
        <w:t>JO C 267 de 28.7.2023, p. 36.</w:t>
      </w:r>
    </w:p>
  </w:footnote>
  <w:footnote w:id="9">
    <w:p w14:paraId="5C7D227A" w14:textId="274C7168" w:rsidR="001E238B" w:rsidRPr="00B4016F" w:rsidRDefault="001E238B" w:rsidP="00B4016F">
      <w:pPr>
        <w:pStyle w:val="FootnoteText"/>
        <w:ind w:left="567" w:hanging="567"/>
        <w:rPr>
          <w:sz w:val="24"/>
          <w:szCs w:val="24"/>
          <w:lang w:val="pt-PT"/>
        </w:rPr>
      </w:pPr>
      <w:r w:rsidRPr="00B4016F">
        <w:rPr>
          <w:rStyle w:val="FootnoteReference"/>
          <w:sz w:val="24"/>
          <w:szCs w:val="24"/>
        </w:rPr>
        <w:footnoteRef/>
      </w:r>
      <w:r w:rsidRPr="00B4016F">
        <w:rPr>
          <w:sz w:val="24"/>
          <w:szCs w:val="24"/>
          <w:lang w:val="pt-PT"/>
        </w:rPr>
        <w:t xml:space="preserve"> </w:t>
      </w:r>
      <w:r w:rsidRPr="001E238B">
        <w:rPr>
          <w:sz w:val="24"/>
          <w:szCs w:val="24"/>
          <w:lang w:val="pt-PT"/>
        </w:rPr>
        <w:tab/>
      </w:r>
      <w:r w:rsidRPr="00B4016F">
        <w:rPr>
          <w:sz w:val="24"/>
          <w:szCs w:val="24"/>
          <w:lang w:val="pt-PT"/>
        </w:rPr>
        <w:t xml:space="preserve">Textos </w:t>
      </w:r>
      <w:r>
        <w:rPr>
          <w:sz w:val="24"/>
          <w:szCs w:val="24"/>
          <w:lang w:val="pt-PT"/>
        </w:rPr>
        <w:t>A</w:t>
      </w:r>
      <w:r w:rsidRPr="00B4016F">
        <w:rPr>
          <w:sz w:val="24"/>
          <w:szCs w:val="24"/>
          <w:lang w:val="pt-PT"/>
        </w:rPr>
        <w:t>provados</w:t>
      </w:r>
      <w:r w:rsidRPr="001E238B">
        <w:rPr>
          <w:sz w:val="24"/>
          <w:szCs w:val="24"/>
          <w:lang w:val="pt-PT"/>
        </w:rPr>
        <w:t>, P9_</w:t>
      </w:r>
      <w:r w:rsidRPr="00B4016F">
        <w:rPr>
          <w:sz w:val="24"/>
          <w:szCs w:val="24"/>
          <w:lang w:val="pt-PT"/>
        </w:rPr>
        <w:t>TA(2023)0330.</w:t>
      </w:r>
    </w:p>
  </w:footnote>
  <w:footnote w:id="10">
    <w:p w14:paraId="573DB912" w14:textId="77777777" w:rsidR="001F2CB8" w:rsidRPr="00B4016F" w:rsidRDefault="001F2CB8" w:rsidP="00456367">
      <w:pPr>
        <w:pStyle w:val="FootnoteText"/>
        <w:ind w:left="567" w:hanging="567"/>
        <w:rPr>
          <w:sz w:val="24"/>
          <w:lang w:val="pt-PT"/>
        </w:rPr>
      </w:pPr>
      <w:r w:rsidRPr="00456367">
        <w:rPr>
          <w:rStyle w:val="FootnoteReference"/>
          <w:sz w:val="24"/>
          <w:lang w:val="pt-PT"/>
        </w:rPr>
        <w:footnoteRef/>
      </w:r>
      <w:r w:rsidR="00456367" w:rsidRPr="00B4016F">
        <w:rPr>
          <w:sz w:val="24"/>
          <w:lang w:val="pt-PT"/>
        </w:rPr>
        <w:t xml:space="preserve"> </w:t>
      </w:r>
      <w:r w:rsidR="00456367" w:rsidRPr="00B4016F">
        <w:rPr>
          <w:sz w:val="24"/>
          <w:lang w:val="pt-PT"/>
        </w:rPr>
        <w:tab/>
      </w:r>
      <w:r w:rsidRPr="00B4016F">
        <w:rPr>
          <w:sz w:val="24"/>
          <w:lang w:val="pt-PT"/>
        </w:rPr>
        <w:t>JO L 238 de 27.9.2023, p. 114.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2/2023"/>
    <w:docVar w:name="dvlangue" w:val="PT"/>
    <w:docVar w:name="dvnumam" w:val="0"/>
    <w:docVar w:name="dvpe" w:val="751.801"/>
    <w:docVar w:name="dvrapporteur" w:val="Relatores: "/>
    <w:docVar w:name="dvtitre" w:val="Resolução do Parlamento Europeu, de ... de ... de 2023,_x000d__x000a_ sobre as eleições europeias de 2024(2023/2016(INI))"/>
  </w:docVars>
  <w:rsids>
    <w:rsidRoot w:val="00A17B89"/>
    <w:rsid w:val="00002272"/>
    <w:rsid w:val="000423F0"/>
    <w:rsid w:val="00064002"/>
    <w:rsid w:val="000677B9"/>
    <w:rsid w:val="000831BA"/>
    <w:rsid w:val="000A42CC"/>
    <w:rsid w:val="000E7DD9"/>
    <w:rsid w:val="0010095E"/>
    <w:rsid w:val="00125B37"/>
    <w:rsid w:val="00136703"/>
    <w:rsid w:val="001624E1"/>
    <w:rsid w:val="00187494"/>
    <w:rsid w:val="001C31E9"/>
    <w:rsid w:val="001E238B"/>
    <w:rsid w:val="001F2CB8"/>
    <w:rsid w:val="001F32AE"/>
    <w:rsid w:val="00247A1A"/>
    <w:rsid w:val="002767FF"/>
    <w:rsid w:val="002850FA"/>
    <w:rsid w:val="002B18FE"/>
    <w:rsid w:val="002B5493"/>
    <w:rsid w:val="00343214"/>
    <w:rsid w:val="00343D76"/>
    <w:rsid w:val="00346B97"/>
    <w:rsid w:val="00361C00"/>
    <w:rsid w:val="003800CE"/>
    <w:rsid w:val="00395FA1"/>
    <w:rsid w:val="003E15D4"/>
    <w:rsid w:val="00411CCE"/>
    <w:rsid w:val="0041666E"/>
    <w:rsid w:val="00421060"/>
    <w:rsid w:val="0045636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3CC"/>
    <w:rsid w:val="008109C4"/>
    <w:rsid w:val="00817416"/>
    <w:rsid w:val="00842779"/>
    <w:rsid w:val="00865F67"/>
    <w:rsid w:val="00881A7B"/>
    <w:rsid w:val="008840E5"/>
    <w:rsid w:val="00887B3E"/>
    <w:rsid w:val="008B73BD"/>
    <w:rsid w:val="008C2AC6"/>
    <w:rsid w:val="00930C23"/>
    <w:rsid w:val="0093193B"/>
    <w:rsid w:val="009509D8"/>
    <w:rsid w:val="00950B64"/>
    <w:rsid w:val="0095610C"/>
    <w:rsid w:val="0097332C"/>
    <w:rsid w:val="00981893"/>
    <w:rsid w:val="009D7D4F"/>
    <w:rsid w:val="00A1687D"/>
    <w:rsid w:val="00A17B89"/>
    <w:rsid w:val="00A43E52"/>
    <w:rsid w:val="00A4678D"/>
    <w:rsid w:val="00A778C7"/>
    <w:rsid w:val="00AB0DD8"/>
    <w:rsid w:val="00AB441E"/>
    <w:rsid w:val="00AB6293"/>
    <w:rsid w:val="00AE0928"/>
    <w:rsid w:val="00AF3B82"/>
    <w:rsid w:val="00B12E95"/>
    <w:rsid w:val="00B22876"/>
    <w:rsid w:val="00B4016F"/>
    <w:rsid w:val="00B558F0"/>
    <w:rsid w:val="00BD48FE"/>
    <w:rsid w:val="00BD7BD8"/>
    <w:rsid w:val="00BE6ADC"/>
    <w:rsid w:val="00BF3E11"/>
    <w:rsid w:val="00C05BFE"/>
    <w:rsid w:val="00C23CD4"/>
    <w:rsid w:val="00C61C0C"/>
    <w:rsid w:val="00C941CB"/>
    <w:rsid w:val="00CA7337"/>
    <w:rsid w:val="00CC2357"/>
    <w:rsid w:val="00CF0369"/>
    <w:rsid w:val="00CF071A"/>
    <w:rsid w:val="00D058B8"/>
    <w:rsid w:val="00D408E8"/>
    <w:rsid w:val="00D56C11"/>
    <w:rsid w:val="00D75B7C"/>
    <w:rsid w:val="00D834A0"/>
    <w:rsid w:val="00D872DF"/>
    <w:rsid w:val="00D91E21"/>
    <w:rsid w:val="00DA7FCD"/>
    <w:rsid w:val="00E365E1"/>
    <w:rsid w:val="00E40706"/>
    <w:rsid w:val="00E820A4"/>
    <w:rsid w:val="00EB006A"/>
    <w:rsid w:val="00EB4772"/>
    <w:rsid w:val="00ED169E"/>
    <w:rsid w:val="00ED4235"/>
    <w:rsid w:val="00F04346"/>
    <w:rsid w:val="00F075DC"/>
    <w:rsid w:val="00F149E9"/>
    <w:rsid w:val="00F4437F"/>
    <w:rsid w:val="00F5134D"/>
    <w:rsid w:val="00F74202"/>
    <w:rsid w:val="00F853E9"/>
    <w:rsid w:val="00F87713"/>
    <w:rsid w:val="00FB4360"/>
    <w:rsid w:val="00FD0C70"/>
    <w:rsid w:val="00FD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5887F7"/>
  <w15:chartTrackingRefBased/>
  <w15:docId w15:val="{478DB291-DB6D-4A4C-A7A2-714AA0B0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F2CB8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1F2CB8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1F2CB8"/>
    <w:pPr>
      <w:spacing w:after="240"/>
      <w:jc w:val="center"/>
    </w:pPr>
  </w:style>
  <w:style w:type="character" w:customStyle="1" w:styleId="BoldItalic">
    <w:name w:val="BoldItalic"/>
    <w:uiPriority w:val="1"/>
    <w:rsid w:val="001F2CB8"/>
    <w:rPr>
      <w:b/>
      <w:i/>
      <w:u w:val="none"/>
    </w:rPr>
  </w:style>
  <w:style w:type="character" w:customStyle="1" w:styleId="Italic">
    <w:name w:val="Italic"/>
    <w:uiPriority w:val="1"/>
    <w:rsid w:val="001F2CB8"/>
    <w:rPr>
      <w:i/>
    </w:rPr>
  </w:style>
  <w:style w:type="paragraph" w:customStyle="1" w:styleId="Normal12a24b">
    <w:name w:val="Normal12a24b"/>
    <w:basedOn w:val="Normal"/>
    <w:rsid w:val="001F2CB8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1F2CB8"/>
    <w:rPr>
      <w:snapToGrid w:val="0"/>
      <w:sz w:val="24"/>
      <w:lang w:val="pt-PT" w:eastAsia="en-US"/>
    </w:rPr>
  </w:style>
  <w:style w:type="paragraph" w:styleId="BalloonText">
    <w:name w:val="Balloon Text"/>
    <w:basedOn w:val="Normal"/>
    <w:link w:val="BalloonTextChar"/>
    <w:rsid w:val="00CF03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0369"/>
    <w:rPr>
      <w:rFonts w:ascii="Segoe UI" w:hAnsi="Segoe UI" w:cs="Segoe UI"/>
      <w:sz w:val="18"/>
      <w:szCs w:val="18"/>
      <w:lang w:val="pt-PT"/>
    </w:rPr>
  </w:style>
  <w:style w:type="paragraph" w:customStyle="1" w:styleId="NormalBold">
    <w:name w:val="NormalBold"/>
    <w:basedOn w:val="Normal"/>
    <w:rsid w:val="008B73BD"/>
    <w:rPr>
      <w:b/>
      <w:szCs w:val="24"/>
      <w:lang w:eastAsia="en-US"/>
    </w:rPr>
  </w:style>
  <w:style w:type="paragraph" w:customStyle="1" w:styleId="Normal6a">
    <w:name w:val="Normal6a"/>
    <w:basedOn w:val="Normal"/>
    <w:rsid w:val="008B73BD"/>
    <w:pPr>
      <w:spacing w:after="120"/>
    </w:pPr>
    <w:rPr>
      <w:szCs w:val="24"/>
      <w:lang w:eastAsia="en-US"/>
    </w:rPr>
  </w:style>
  <w:style w:type="paragraph" w:customStyle="1" w:styleId="AmColumnHeading">
    <w:name w:val="AmColumnHeading"/>
    <w:basedOn w:val="Normal"/>
    <w:rsid w:val="008B73BD"/>
    <w:pPr>
      <w:spacing w:after="240"/>
      <w:jc w:val="center"/>
    </w:pPr>
    <w:rPr>
      <w:i/>
      <w:szCs w:val="24"/>
      <w:lang w:eastAsia="en-US"/>
    </w:rPr>
  </w:style>
  <w:style w:type="paragraph" w:customStyle="1" w:styleId="AmNumberTabs">
    <w:name w:val="AmNumberTabs"/>
    <w:basedOn w:val="Normal"/>
    <w:rsid w:val="008B73BD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4"/>
      <w:lang w:eastAsia="en-US"/>
    </w:rPr>
  </w:style>
  <w:style w:type="paragraph" w:customStyle="1" w:styleId="NormalBold12b">
    <w:name w:val="NormalBold12b"/>
    <w:basedOn w:val="Normal"/>
    <w:link w:val="NormalBold12bChar"/>
    <w:rsid w:val="008B73BD"/>
    <w:pPr>
      <w:spacing w:before="240"/>
    </w:pPr>
    <w:rPr>
      <w:b/>
      <w:szCs w:val="24"/>
      <w:lang w:eastAsia="en-US"/>
    </w:rPr>
  </w:style>
  <w:style w:type="character" w:customStyle="1" w:styleId="NormalBold12bChar">
    <w:name w:val="NormalBold12b Char"/>
    <w:basedOn w:val="DefaultParagraphFont"/>
    <w:link w:val="NormalBold12b"/>
    <w:rsid w:val="008B73BD"/>
    <w:rPr>
      <w:b/>
      <w:sz w:val="24"/>
      <w:szCs w:val="24"/>
      <w:lang w:val="pt-PT" w:eastAsia="en-US"/>
    </w:rPr>
  </w:style>
  <w:style w:type="character" w:styleId="CommentReference">
    <w:name w:val="annotation reference"/>
    <w:basedOn w:val="DefaultParagraphFont"/>
    <w:rsid w:val="008B73BD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73B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B73BD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B73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B73BD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10F45-6C20-476E-8B4F-4383A09C4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3369</Words>
  <Characters>18634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2023-12-12T14:58:00Z</dcterms:created>
  <dcterms:modified xsi:type="dcterms:W3CDTF">2023-12-12T14:58:00Z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A9-0332/2023</vt:lpwstr>
  </property>
  <property fmtid="{D5CDD505-2E9C-101B-9397-08002B2CF9AE}" pid="4" name="&lt;Type&gt;">
    <vt:lpwstr>RR</vt:lpwstr>
  </property>
  <property fmtid="{D5CDD505-2E9C-101B-9397-08002B2CF9AE}" pid="5" name="&lt;Model&gt;">
    <vt:lpwstr/>
  </property>
</Properties>
</file>