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528B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528BD" w:rsidRDefault="001714E4">
            <w:pPr>
              <w:pStyle w:val="EPName"/>
            </w:pPr>
            <w:r>
              <w:t>Európsky parlament</w:t>
            </w:r>
          </w:p>
          <w:p w:rsidR="004528BD" w:rsidRDefault="001714E4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4528BD" w:rsidRDefault="001714E4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28BD" w:rsidRDefault="004528BD">
      <w:pPr>
        <w:pStyle w:val="LineTop"/>
      </w:pPr>
    </w:p>
    <w:p w:rsidR="004528BD" w:rsidRDefault="001714E4">
      <w:pPr>
        <w:pStyle w:val="EPBodyTA1"/>
      </w:pPr>
      <w:r>
        <w:t>PRIJATÉ TEXTY</w:t>
      </w:r>
    </w:p>
    <w:p w:rsidR="004528BD" w:rsidRDefault="004528BD">
      <w:pPr>
        <w:pStyle w:val="LineBottom"/>
      </w:pPr>
    </w:p>
    <w:p w:rsidR="004528BD" w:rsidRDefault="001714E4">
      <w:pPr>
        <w:pStyle w:val="ATHeading1"/>
      </w:pPr>
      <w:bookmarkStart w:id="0" w:name="TANumber"/>
      <w:r>
        <w:t>P9_TA(2023)0455</w:t>
      </w:r>
      <w:bookmarkEnd w:id="0"/>
    </w:p>
    <w:p w:rsidR="004528BD" w:rsidRDefault="001714E4">
      <w:pPr>
        <w:pStyle w:val="ATHeading2"/>
      </w:pPr>
      <w:bookmarkStart w:id="1" w:name="title"/>
      <w:r>
        <w:t>Voľby do Európskeho parlamentu v roku 2024</w:t>
      </w:r>
      <w:bookmarkEnd w:id="1"/>
    </w:p>
    <w:p w:rsidR="004528BD" w:rsidRDefault="001714E4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A9-0332/2023</w:instrText>
      </w:r>
      <w:bookmarkEnd w:id="2"/>
      <w:r>
        <w:rPr>
          <w:i/>
        </w:rPr>
        <w:instrText xml:space="preserve"> - Spravodajcovia: Sven Simon, Domènec Ruiz Devesa )"\l3 \n&gt; \* MERGEFORMAT </w:instrText>
      </w:r>
      <w:r>
        <w:rPr>
          <w:i/>
        </w:rPr>
        <w:fldChar w:fldCharType="end"/>
      </w:r>
    </w:p>
    <w:p w:rsidR="004528BD" w:rsidRDefault="001714E4">
      <w:pPr>
        <w:rPr>
          <w:vanish/>
        </w:rPr>
      </w:pPr>
      <w:bookmarkStart w:id="3" w:name="Commission"/>
      <w:r>
        <w:rPr>
          <w:vanish/>
        </w:rPr>
        <w:t>Výbor pre ústavné veci</w:t>
      </w:r>
      <w:bookmarkEnd w:id="3"/>
    </w:p>
    <w:p w:rsidR="004528BD" w:rsidRDefault="001714E4">
      <w:pPr>
        <w:rPr>
          <w:vanish/>
        </w:rPr>
      </w:pPr>
      <w:bookmarkStart w:id="4" w:name="PE"/>
      <w:r>
        <w:rPr>
          <w:vanish/>
        </w:rPr>
        <w:t>PE751.801</w:t>
      </w:r>
      <w:bookmarkEnd w:id="4"/>
    </w:p>
    <w:p w:rsidR="004528BD" w:rsidRDefault="001714E4">
      <w:pPr>
        <w:pStyle w:val="ATHeading3"/>
      </w:pPr>
      <w:bookmarkStart w:id="5" w:name="Sujet"/>
      <w:r>
        <w:t xml:space="preserve">Uznesenie </w:t>
      </w:r>
      <w:r>
        <w:t>Európskeho parlamentu z 12. decembra 2023 o voľbách do Európskeho parlamentu v roku 2024</w:t>
      </w:r>
      <w:bookmarkEnd w:id="5"/>
      <w:r>
        <w:t xml:space="preserve"> </w:t>
      </w:r>
      <w:bookmarkStart w:id="6" w:name="References"/>
      <w:r>
        <w:t>(2023/2016(INI))</w:t>
      </w:r>
      <w:bookmarkEnd w:id="6"/>
    </w:p>
    <w:p w:rsidR="004528BD" w:rsidRDefault="001714E4">
      <w:pPr>
        <w:pStyle w:val="EPComma"/>
      </w:pPr>
      <w:bookmarkStart w:id="7" w:name="TextBodyBegin"/>
      <w:bookmarkEnd w:id="7"/>
      <w:r>
        <w:rPr>
          <w:rStyle w:val="Italic"/>
        </w:rPr>
        <w:t>Európsky parlament</w:t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Zmluvu o Európskej únii (ďalej len „Zmluva o EÚ“), a najmä na jej články 10, 14 a 17 ods. 7,</w:t>
      </w:r>
    </w:p>
    <w:p w:rsidR="004528BD" w:rsidRDefault="001714E4">
      <w:pPr>
        <w:pStyle w:val="NormalHanging12a"/>
      </w:pPr>
      <w:r>
        <w:t>–</w:t>
      </w:r>
      <w:r>
        <w:tab/>
        <w:t>so zreteľom na Zml</w:t>
      </w:r>
      <w:r>
        <w:t>uvu o fungovaní Európskej únie (ďalej len „ZFEÚ“), a najmä na jej články 20 a 22,</w:t>
      </w:r>
    </w:p>
    <w:p w:rsidR="004528BD" w:rsidRDefault="001714E4">
      <w:pPr>
        <w:pStyle w:val="NormalHanging12a"/>
      </w:pPr>
      <w:r>
        <w:t>–</w:t>
      </w:r>
      <w:r>
        <w:tab/>
        <w:t>so zreteľom na smernicu Rady 93/109/ES zo 6. decembra 1993, ktorou sa stanovujú podrobnosti uplatňovania volebného práva a práva byť volený do Európskeho parlamentu pre obč</w:t>
      </w:r>
      <w:r>
        <w:t>anov Únie s bydliskom v členskom štáte, ktorého nie sú štátnymi príslušníkmi</w:t>
      </w:r>
      <w:r>
        <w:rPr>
          <w:rStyle w:val="FootnoteReference"/>
        </w:rPr>
        <w:footnoteReference w:id="1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správu Výboru pre ústavné veci z 28. apríla 2011 o návrhu na zmenu Aktu z 20. septembra 1976 o priamych a všeobecných voľbách poslancov Európskeho parlamentu,</w:t>
      </w:r>
    </w:p>
    <w:p w:rsidR="004528BD" w:rsidRDefault="001714E4">
      <w:pPr>
        <w:pStyle w:val="NormalHanging12a"/>
      </w:pPr>
      <w:r>
        <w:t>–</w:t>
      </w:r>
      <w:r>
        <w:tab/>
        <w:t>so zreteľom na svoje uznesenie zo 4. júla 2013 o zlepšení praktických opatrení týkajúcich sa konania volieb do Európskeho parlamentu v roku 2014</w:t>
      </w:r>
      <w:r>
        <w:rPr>
          <w:rStyle w:val="FootnoteReference"/>
        </w:rPr>
        <w:footnoteReference w:id="2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 xml:space="preserve">so zreteľom na nariadenie Európskeho parlamentu a Rady (EÚ, </w:t>
      </w:r>
      <w:proofErr w:type="spellStart"/>
      <w:r>
        <w:t>Euratom</w:t>
      </w:r>
      <w:proofErr w:type="spellEnd"/>
      <w:r>
        <w:t>) 2018/673 z 3. mája 2018, ktorým sa me</w:t>
      </w:r>
      <w:r>
        <w:t xml:space="preserve">ní nariadenie (EÚ, </w:t>
      </w:r>
      <w:proofErr w:type="spellStart"/>
      <w:r>
        <w:t>Euratom</w:t>
      </w:r>
      <w:proofErr w:type="spellEnd"/>
      <w:r>
        <w:t>) č. 1141/2014 o štatúte a financovaní európskych politických strán a európskych politických nadácií</w:t>
      </w:r>
      <w:r>
        <w:rPr>
          <w:rStyle w:val="FootnoteReference"/>
        </w:rPr>
        <w:footnoteReference w:id="3"/>
      </w:r>
      <w:r>
        <w:t>,</w:t>
      </w:r>
    </w:p>
    <w:p w:rsidR="004528BD" w:rsidRDefault="001714E4">
      <w:pPr>
        <w:pStyle w:val="NormalHanging12a"/>
      </w:pPr>
      <w:r>
        <w:lastRenderedPageBreak/>
        <w:t>–</w:t>
      </w:r>
      <w:r>
        <w:tab/>
        <w:t xml:space="preserve">so zreteľom na rozhodnutie Rady (EÚ, </w:t>
      </w:r>
      <w:proofErr w:type="spellStart"/>
      <w:r>
        <w:t>Euratom</w:t>
      </w:r>
      <w:proofErr w:type="spellEnd"/>
      <w:r>
        <w:t>) 2018/994 z 13. júla 2018, ktorým sa mení Akt o priamych a všeobecných voľbách p</w:t>
      </w:r>
      <w:r>
        <w:t xml:space="preserve">oslancov Európskeho parlamentu pripojený k rozhodnutiu Rady 76/787/ESUO, EHS, </w:t>
      </w:r>
      <w:proofErr w:type="spellStart"/>
      <w:r>
        <w:t>Euratom</w:t>
      </w:r>
      <w:proofErr w:type="spellEnd"/>
      <w:r>
        <w:t xml:space="preserve"> z 20. septembra 1976</w:t>
      </w:r>
      <w:r>
        <w:rPr>
          <w:rStyle w:val="FootnoteReference"/>
        </w:rPr>
        <w:footnoteReference w:id="4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svoje uznesenie z 26. novembra 2020 o hodnotení európskych volieb</w:t>
      </w:r>
      <w:r>
        <w:rPr>
          <w:rStyle w:val="FootnoteReference"/>
        </w:rPr>
        <w:footnoteReference w:id="5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oznámenie Komisie z 3. decembra 2020 o akčnom</w:t>
      </w:r>
      <w:r>
        <w:t xml:space="preserve"> pláne pre európsku demokraciu (COM(2020)0790),</w:t>
      </w:r>
    </w:p>
    <w:p w:rsidR="004528BD" w:rsidRDefault="001714E4">
      <w:pPr>
        <w:pStyle w:val="NormalHanging12a"/>
      </w:pPr>
      <w:r>
        <w:t>–</w:t>
      </w:r>
      <w:r>
        <w:tab/>
        <w:t xml:space="preserve">so zreteľom na svoju pozíciu z 3. mája 2022 k návrhu nariadenia Rady o priamych a všeobecných voľbách poslancov Európskeho parlamentu, ktorým sa zrušuje rozhodnutie Rady (76/787/ESUO, EHS, </w:t>
      </w:r>
      <w:proofErr w:type="spellStart"/>
      <w:r>
        <w:t>Euratom</w:t>
      </w:r>
      <w:proofErr w:type="spellEnd"/>
      <w:r>
        <w:t xml:space="preserve">) a Akt o </w:t>
      </w:r>
      <w:r>
        <w:t>priamych a všeobecných voľbách poslancov Európskeho parlamentu pripojený k tomuto rozhodnutiu</w:t>
      </w:r>
      <w:r>
        <w:rPr>
          <w:rStyle w:val="FootnoteReference"/>
        </w:rPr>
        <w:footnoteReference w:id="6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pozmeňujúce návrhy prijaté Európskym parlamentom 15. septembra 2022 k návrhu nariadenia Európskeho parlamentu a Rady o štatúte a financovaní eu</w:t>
      </w:r>
      <w:r>
        <w:t>rópskych politických strán a európskych politických nadácií</w:t>
      </w:r>
      <w:r>
        <w:rPr>
          <w:rStyle w:val="FootnoteReference"/>
        </w:rPr>
        <w:footnoteReference w:id="7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pozmeňujúce návrhy prijaté Európskym parlamentom 2. februára 2023 k návrhu nariadenia Európskeho parlamentu a Rady o transparentnosti a cielení politickej reklamy</w:t>
      </w:r>
      <w:r>
        <w:rPr>
          <w:rStyle w:val="FootnoteReference"/>
        </w:rPr>
        <w:footnoteReference w:id="8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</w:t>
      </w:r>
      <w:r>
        <w:t>m na svoje uznesenie zo 14. septembra 2023 o parlamentarizme, európskom občianstve a demokracii</w:t>
      </w:r>
      <w:r>
        <w:rPr>
          <w:rStyle w:val="FootnoteReference"/>
        </w:rPr>
        <w:footnoteReference w:id="9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>so zreteľom na rozhodnutie Európskej rady (EÚ) 2023/2061 z 22. septembra 2023, ktorým sa stanovuje zloženie Európskeho parlamentu</w:t>
      </w:r>
      <w:r>
        <w:rPr>
          <w:rStyle w:val="FootnoteReference"/>
        </w:rPr>
        <w:footnoteReference w:id="10"/>
      </w:r>
      <w:r>
        <w:t>,</w:t>
      </w:r>
    </w:p>
    <w:p w:rsidR="004528BD" w:rsidRDefault="001714E4">
      <w:pPr>
        <w:pStyle w:val="NormalHanging12a"/>
      </w:pPr>
      <w:r>
        <w:t>–</w:t>
      </w:r>
      <w:r>
        <w:tab/>
        <w:t xml:space="preserve">so zreteľom na článok </w:t>
      </w:r>
      <w:r>
        <w:t>54 rokovacieho poriadku,</w:t>
      </w:r>
    </w:p>
    <w:p w:rsidR="004528BD" w:rsidRDefault="001714E4">
      <w:pPr>
        <w:pStyle w:val="NormalHanging12a"/>
      </w:pPr>
      <w:r>
        <w:t>–</w:t>
      </w:r>
      <w:r>
        <w:tab/>
        <w:t>so zreteľom na správu Výboru pre ústavné veci (A9-0332/2023),</w:t>
      </w:r>
    </w:p>
    <w:p w:rsidR="004528BD" w:rsidRDefault="001714E4">
      <w:pPr>
        <w:pStyle w:val="NormalHanging12a"/>
      </w:pPr>
      <w:r>
        <w:t>A.</w:t>
      </w:r>
      <w:r>
        <w:tab/>
        <w:t xml:space="preserve">keďže pri európskych voľbách v roku 2019 bola zaznamenaná najvyššia účasť vo voľbách do Európskeho parlamentu za posledných 20 rokov, a to 50,66 % voličov (teda </w:t>
      </w:r>
      <w:r>
        <w:t xml:space="preserve">nárast o osem percentuálnych bodov od roku 2014), čo je pozitívny znak toho, že európski občania sa čoraz viac zaujímajú o vývoj na úrovni EÚ a sú si vedomí toho, že právne predpisy EÚ majú vplyv na ich každodenný život; keďže 19 členských štátov oznámilo </w:t>
      </w:r>
      <w:r>
        <w:t>rastúcu národnú účasť, pričom výrazný nárast v porovnaní s rokom 2014 bol zaznamenaný v Poľsku, Rumunsku, Španielsku, Rakúsku, Maďarsku, Nemecku, na Slovensku a v Česku;</w:t>
      </w:r>
    </w:p>
    <w:p w:rsidR="004528BD" w:rsidRDefault="001714E4">
      <w:pPr>
        <w:pStyle w:val="NormalHanging12a"/>
      </w:pPr>
      <w:r>
        <w:t>B.</w:t>
      </w:r>
      <w:r>
        <w:tab/>
        <w:t>keďže rozhodnutie Rady z roku 2018, ktorým sa mení Akt o priamych a všeobecných voľ</w:t>
      </w:r>
      <w:r>
        <w:t xml:space="preserve">bách poslancov Európskeho parlamentu, obsahovalo niekoľko zlepšení, ako je doplnenie log európskych politických strán na hlasovacie lístky na voľby do </w:t>
      </w:r>
      <w:r>
        <w:lastRenderedPageBreak/>
        <w:t>Európskeho parlamentu; keďže ho však ešte musia ratifikovať všetky členské štáty; keďže navrhovaný európs</w:t>
      </w:r>
      <w:r>
        <w:t>ky volebný zákon, ktorý prijal Európsky parlament 3. mája 2022, ktorý obsahuje významné vylepšenia, umožnil by odstrániť súčasnú roztrieštenosť spôsobenú 27 rôznymi volebnými systémami a zmodernizovať a zjednotiť volebné pravidlá v rámci EÚ;</w:t>
      </w:r>
    </w:p>
    <w:p w:rsidR="004528BD" w:rsidRDefault="001714E4">
      <w:pPr>
        <w:pStyle w:val="NormalHanging12a"/>
      </w:pPr>
      <w:r>
        <w:t>C.</w:t>
      </w:r>
      <w:r>
        <w:tab/>
        <w:t>keďže jeden</w:t>
      </w:r>
      <w:r>
        <w:t xml:space="preserve"> systém hlavných kandidátov by podporil európsku verejnú diskusiu a posilnil postavenie európskych politických strán;</w:t>
      </w:r>
    </w:p>
    <w:p w:rsidR="004528BD" w:rsidRDefault="001714E4">
      <w:pPr>
        <w:pStyle w:val="Normal6"/>
        <w:ind w:left="567" w:hanging="567"/>
      </w:pPr>
      <w:r>
        <w:t>D.</w:t>
      </w:r>
      <w:r>
        <w:tab/>
        <w:t>keďže európske voľby v roku 2019 neviedli k výberu predsedu Komisie prostredníctvom systému hlavných kandidátov; keďže to, že sa neusku</w:t>
      </w:r>
      <w:r>
        <w:t>točnila reforma európskeho volebného zákona, bolo ďalšou prekážkou úspešného zrealizovania postupu založeného na hlavných kandidátoch; keďže toto neuplatnenie systému hlavných kandidátov viedlo k tomu, že mnohí voliči boli sklamaní a ich dôvera v proces po</w:t>
      </w:r>
      <w:r>
        <w:t>klesla; keďže takémuto sklamaniu treba v európskych voľbách v roku 2024 predísť; keďže voľba predsedu Komisie závisí od získania podpory väčšiny poslancov Európskeho parlamentu;</w:t>
      </w:r>
    </w:p>
    <w:p w:rsidR="004528BD" w:rsidRDefault="001714E4">
      <w:pPr>
        <w:pStyle w:val="Normal6"/>
        <w:ind w:left="567" w:hanging="567"/>
      </w:pPr>
      <w:r>
        <w:t>E.</w:t>
      </w:r>
      <w:r>
        <w:tab/>
        <w:t>keďže účinné vykonávanie systému hlavných kandidátov si vyžaduje, aby Európ</w:t>
      </w:r>
      <w:r>
        <w:t xml:space="preserve">sky parlament mohol pred predložením návrhu Európskej rady navrhnúť spoločného kandidáta na predsedu Komisie; </w:t>
      </w:r>
    </w:p>
    <w:p w:rsidR="004528BD" w:rsidRDefault="001714E4">
      <w:pPr>
        <w:pStyle w:val="NormalHanging12a"/>
      </w:pPr>
      <w:r>
        <w:t>F.</w:t>
      </w:r>
      <w:r>
        <w:tab/>
        <w:t>keďže viaceré členské štáty stále nevyriešili vhodným spôsobom pretrvávajúce prekážky a nezaviedli primerané opatrenia, aby uľahčili hlasovani</w:t>
      </w:r>
      <w:r>
        <w:t xml:space="preserve">e občanom so zdravotným postihnutím, čím bránia zmysluplnej účasti a zastúpeniu týchto občanov v demokratických procesoch; </w:t>
      </w:r>
    </w:p>
    <w:p w:rsidR="004528BD" w:rsidRDefault="001714E4">
      <w:pPr>
        <w:pStyle w:val="NormalHanging12a"/>
      </w:pPr>
      <w:r>
        <w:t>G.</w:t>
      </w:r>
      <w:r>
        <w:tab/>
        <w:t>keďže úplné uplatňovanie volebných práv migrujúcich občanov vo voľbách do Európskeho parlamentu, ktoré im prislúchajú podľa zmlúv</w:t>
      </w:r>
      <w:r>
        <w:t>, stále sťažujú neodôvodnené prekážky brániace demokratickej účasti, ako je napríklad nedostatočná informovanosť o platných podmienkach a pravidlách; keďže Komisia predložila legislatívny návrh, ktorý sa zaoberá niektorými z týchto problémov;</w:t>
      </w:r>
    </w:p>
    <w:p w:rsidR="004528BD" w:rsidRDefault="001714E4">
      <w:pPr>
        <w:pStyle w:val="NormalHanging12a"/>
      </w:pPr>
      <w:r>
        <w:t>H.</w:t>
      </w:r>
      <w:r>
        <w:tab/>
        <w:t>keďže poli</w:t>
      </w:r>
      <w:r>
        <w:t>tické kampane pred európskymi voľbami vedené v členských štátoch sú príliš často nedostatočne „európske“ a namiesto toho v nich dominujú politické debaty na rýdzo národné, regionálne a lokálne témy; keďže politické strany a kandidáti sú zodpovední za prime</w:t>
      </w:r>
      <w:r>
        <w:t xml:space="preserve">rané informovanie občanov o politických výzvach na úrovni EÚ; </w:t>
      </w:r>
    </w:p>
    <w:p w:rsidR="004528BD" w:rsidRDefault="001714E4">
      <w:pPr>
        <w:pStyle w:val="Normal12a24b"/>
      </w:pPr>
      <w:r>
        <w:rPr>
          <w:rStyle w:val="BoldItalic"/>
        </w:rPr>
        <w:t>Posilnenie európskej demokracie vo voľbách v roku 2024</w:t>
      </w:r>
    </w:p>
    <w:p w:rsidR="004528BD" w:rsidRDefault="001714E4">
      <w:pPr>
        <w:pStyle w:val="NormalHanging12a"/>
      </w:pPr>
      <w:r>
        <w:t>1.</w:t>
      </w:r>
      <w:r>
        <w:tab/>
        <w:t xml:space="preserve">víta vyššiu účasť v európskych voľbách v roku 2019 a usiluje sa o ďalšie zvýšenie účasti v európskych voľbách v roku 2024; zdôrazňuje, </w:t>
      </w:r>
      <w:r>
        <w:t>nakoľko je dôležitá vyššia účasť vo voľbách; konštatuje, že je potrebné vyvinúť ďalšie úsilie, aby sa zvýšila účasť migrujúcich občanov; vyjadruje poľutovanie nad nedostatočným pokrokom Rady pri prijímaní nového európskeho volebného zákona, ktorý prijal Eu</w:t>
      </w:r>
      <w:r>
        <w:t>rópsky parlament 3. mája 2022; žiada Radu o jeho urýchlené schválenie; očakáva, že Rada dosiahne kompromis a schváli celý návrh Európskeho parlamentu;</w:t>
      </w:r>
    </w:p>
    <w:p w:rsidR="004528BD" w:rsidRDefault="001714E4">
      <w:pPr>
        <w:pStyle w:val="NormalHanging12a"/>
      </w:pPr>
      <w:r>
        <w:t>2.</w:t>
      </w:r>
      <w:r>
        <w:tab/>
        <w:t>zdôrazňuje dôležitú úlohu európskych politických strán a všetkých zúčastnených zložiek spoločnosti pri</w:t>
      </w:r>
      <w:r>
        <w:t xml:space="preserve"> prispievaní do diskusie o otázkach európskej verejnej politiky a pri formovaní európskeho politického povedomia; vyjadruje však poľutovanie nad tým, že obmedzenia v súčasných </w:t>
      </w:r>
      <w:proofErr w:type="spellStart"/>
      <w:r>
        <w:t>únijných</w:t>
      </w:r>
      <w:proofErr w:type="spellEnd"/>
      <w:r>
        <w:t xml:space="preserve"> a vnútroštátnych regulačných rámcoch bránia </w:t>
      </w:r>
      <w:r>
        <w:lastRenderedPageBreak/>
        <w:t>európskym politickým straná</w:t>
      </w:r>
      <w:r>
        <w:t>m v plnej účasti na európskych volebných kampaniach; nabáda európske politické strany, aby organizovali vlastné európske predvolebné kampane; vyzýva vnútroštátne a európske politické strany, ako aj prípadne členské štáty, aby: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zorganizovali predvolebnú k</w:t>
      </w:r>
      <w:r>
        <w:t>ampaň k európskym voľbám v súlade s hodnotami Únie,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dodržiavali demokratické normy a pravidlá vnútrostraníckej demokracie s cieľom zabezpečiť najmä, aby sa nominácie kandidátov uskutočňovali demokratickým spôsobom, a to aj pokiaľ ide o hlavných kandidáto</w:t>
      </w:r>
      <w:r>
        <w:t>v na predsedu Európskej komisie,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svoje volebné programy vypracovali v dostatočnom predstihu pred voľbami,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zabezpečili väčšie zviditeľnenie európskych politických strán vo verejných diskusiách a mediálnych kampaniach vrátane ich názvov a loga,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 xml:space="preserve">vo </w:t>
      </w:r>
      <w:r>
        <w:t>verejných oznámeniach dôsledne označovali svojich európskych partnerov,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podporili zviditeľnenie názvov a/alebo loga európskych politických strán na hlasovacích lístkoch a propagačných materiáloch v rámci kampane,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zvyšovali informovanosť o nových navrhn</w:t>
      </w:r>
      <w:r>
        <w:t>utých pravidlách pre európske politické strany a európske politické nadácie už pred tým, ako formálne nadobudnú účinnosť,</w:t>
      </w:r>
    </w:p>
    <w:p w:rsidR="004528BD" w:rsidRDefault="001714E4">
      <w:pPr>
        <w:pStyle w:val="NormalHanging12a"/>
        <w:ind w:left="1134"/>
      </w:pPr>
      <w:r>
        <w:t>–</w:t>
      </w:r>
      <w:r>
        <w:tab/>
        <w:t>sa dohodli, ako sa bude postupovať po voľbách, a to aj pokiaľ ide o rokovania o predsedoch inštitúcií Únie;</w:t>
      </w:r>
    </w:p>
    <w:p w:rsidR="004528BD" w:rsidRDefault="001714E4">
      <w:pPr>
        <w:pStyle w:val="NormalHanging12a"/>
      </w:pPr>
      <w:r>
        <w:t>3.</w:t>
      </w:r>
      <w:r>
        <w:tab/>
        <w:t xml:space="preserve">podporuje akčný plán </w:t>
      </w:r>
      <w:r>
        <w:t>európskej kampane (E-CAP), ktorý vypracoval Úrad pre politické strany a politické nadácie (APPF), najmä v súvislosti so zviditeľnením hlavných kandidátov a európskych politických strán; zdôrazňuje význam práce APPF pri informovaní občanov;</w:t>
      </w:r>
    </w:p>
    <w:p w:rsidR="004528BD" w:rsidRDefault="001714E4">
      <w:pPr>
        <w:pStyle w:val="NormalHanging12a"/>
      </w:pPr>
      <w:r>
        <w:t>4.</w:t>
      </w:r>
      <w:r>
        <w:tab/>
        <w:t>vyjadruje poľ</w:t>
      </w:r>
      <w:r>
        <w:t>utovanie nad tým, že pri európskych voľbách v roku 2019 sa neuplatnil systém hlavných kandidátov na voľbu predsedu Európskej komisie; vyjadruje poľutovanie aj nad nedostatočným pokrokom v tejto otázke od roku 2019 zo strany Európskej rady a Európskej komis</w:t>
      </w:r>
      <w:r>
        <w:t>ie, ktoré sa zaviazali zlepšiť stav európskej demokracie; domnieva sa, že je potrebné jasné a dôveryhodné prepojenie medzi rozhodnutím voličov a voľbou predsedu Komisie; vyzýva európske politické strany, národné politické strany a národné vlády, aby spolup</w:t>
      </w:r>
      <w:r>
        <w:t>racovali na zabezpečení tohto výsledku v nasledujúcich voľbách; poukazuje na to, že voľba predsedu Komisie závisí od zaistenia podpory väčšiny poslancov Európskeho parlamentu, aby sa v plnej miere zohľadnili výsledky volieb tak, ako je stanovené v Lisabons</w:t>
      </w:r>
      <w:r>
        <w:t xml:space="preserve">kej zmluve; </w:t>
      </w:r>
    </w:p>
    <w:p w:rsidR="004528BD" w:rsidRDefault="001714E4">
      <w:pPr>
        <w:pStyle w:val="NormalHanging12a"/>
      </w:pPr>
      <w:r>
        <w:t>5.</w:t>
      </w:r>
      <w:r>
        <w:tab/>
        <w:t>vyzýva Európsku radu, aby európskym občanom poskytla istotu, pokiaľ ide o systém hlavných kandidátov, a aby zabránila uzatváraniu dohôd za zatvorenými dverami; naliehavo vyzýva Európsku radu, aby začala na tento účel konzultácie v dostatočn</w:t>
      </w:r>
      <w:r>
        <w:t>om predstihu s cieľom uplatniť zásadu hlavných kandidátov na základe výsledkov volieb do Európskeho parlamentu;</w:t>
      </w:r>
    </w:p>
    <w:p w:rsidR="004528BD" w:rsidRDefault="001714E4">
      <w:pPr>
        <w:pStyle w:val="NormalHanging12a"/>
      </w:pPr>
      <w:r>
        <w:lastRenderedPageBreak/>
        <w:t>6.</w:t>
      </w:r>
      <w:r>
        <w:tab/>
        <w:t>očakáva, že všetky európske politické strany nominujú svojich kandidátov na funkciu predsedu Komisie včas, teda najneskôr 12 týždňov pred dňo</w:t>
      </w:r>
      <w:r>
        <w:t xml:space="preserve">m volieb; </w:t>
      </w:r>
    </w:p>
    <w:p w:rsidR="004528BD" w:rsidRDefault="001714E4">
      <w:pPr>
        <w:pStyle w:val="NormalHanging12a"/>
      </w:pPr>
      <w:r>
        <w:t>7.</w:t>
      </w:r>
      <w:r>
        <w:tab/>
        <w:t xml:space="preserve">vyzýva na uzavretie </w:t>
      </w:r>
      <w:proofErr w:type="spellStart"/>
      <w:r>
        <w:t>medziinštitucionálnej</w:t>
      </w:r>
      <w:proofErr w:type="spellEnd"/>
      <w:r>
        <w:t xml:space="preserve"> dohody medzi Európskym parlamentom a Európskou radou o systéme vedúcich kandidátov v rámci článku 17 ods. 7 Zmluvy o EÚ; žiada predsedníčku Európskeho parlamentu, aby bezodkladne začala prípravné prác</w:t>
      </w:r>
      <w:r>
        <w:t>e vedúce k uzavretiu takejto dohody; domnieva sa, že hlavní kandidáti a predsedovia európskych politických strán a ich príslušných parlamentných skupín by mali hneď po európskych voľbách v roku 2024 začať rokovania, aby sa v mene Európskeho parlamentu doho</w:t>
      </w:r>
      <w:r>
        <w:t>dli na spoločnom kandidátovi na predsedu Komisie ešte predtým, ako Európska rada predloží svoj návrh;</w:t>
      </w:r>
    </w:p>
    <w:p w:rsidR="004528BD" w:rsidRDefault="001714E4">
      <w:pPr>
        <w:pStyle w:val="NormalHanging12a"/>
      </w:pPr>
      <w:r>
        <w:t>8.</w:t>
      </w:r>
      <w:r>
        <w:tab/>
        <w:t>domnieva sa, že hlavný kandidát európskej politickej strany, ktorá získa najväčší podiel kresiel vo voľbách do Európskeho parlamentu, musí najskôr vies</w:t>
      </w:r>
      <w:r>
        <w:t xml:space="preserve">ť rokovania s cieľom určiť spoločného kandidáta, ktorého podporila najväčšia väčšina, a v prípade potreby následne ďalších hlavných kandidátov úmerne k počtu kresiel, ktoré získajú ich príslušné európske politické strany; navrhuje, aby predseda Európskeho </w:t>
      </w:r>
      <w:r>
        <w:t>parlamentu bol v prípade potreby k dispozícii a riadil tento proces;</w:t>
      </w:r>
    </w:p>
    <w:p w:rsidR="004528BD" w:rsidRDefault="001714E4">
      <w:pPr>
        <w:pStyle w:val="NormalHanging12a"/>
      </w:pPr>
      <w:r>
        <w:t>9.</w:t>
      </w:r>
      <w:r>
        <w:tab/>
        <w:t>zdôrazňuje, že bude výsadou predsedu Európskeho parlamentu oznámiť Európskej rade meno spoločného kandidáta Európskeho parlamentu na post predsedu Európskej komisie;</w:t>
      </w:r>
    </w:p>
    <w:p w:rsidR="004528BD" w:rsidRDefault="001714E4">
      <w:pPr>
        <w:pStyle w:val="NormalHanging12a"/>
      </w:pPr>
      <w:r>
        <w:t>10.</w:t>
      </w:r>
      <w:r>
        <w:tab/>
        <w:t xml:space="preserve">odporúča, aby </w:t>
      </w:r>
      <w:r>
        <w:t>predseda Európskej rady uskutočnil pred predložením návrhu Európskej rady Európskemu parlamentu konzultácie s predsedom Európskeho parlamentu, s hlavnými kandidátmi a predsedami európskych politických strán a ich príslušných parlamentných skupín v prípade,</w:t>
      </w:r>
      <w:r>
        <w:t xml:space="preserve"> že sa neurčí spoločný kandidát Európskeho parlamentu na funkciu predsedu Komisie;</w:t>
      </w:r>
    </w:p>
    <w:p w:rsidR="004528BD" w:rsidRDefault="001714E4">
      <w:pPr>
        <w:pStyle w:val="NormalHanging12a"/>
      </w:pPr>
      <w:r>
        <w:t>11.</w:t>
      </w:r>
      <w:r>
        <w:tab/>
        <w:t xml:space="preserve">v tejto súvislosti sa domnieva, že Európska rada by mala so svojím návrhom kandidáta na predsedu Európskej komisie počkať, kým Európsky parlament nepredstaví spoločného </w:t>
      </w:r>
      <w:r>
        <w:t>kandidáta v súlade s príslušnými konzultáciami uvedenými v článku 17 ods. 7 Zmluvy o EÚ a so zásadou lojálnej spolupráce;</w:t>
      </w:r>
    </w:p>
    <w:p w:rsidR="004528BD" w:rsidRDefault="001714E4">
      <w:pPr>
        <w:pStyle w:val="NormalHanging12a"/>
      </w:pPr>
      <w:r>
        <w:t>12.</w:t>
      </w:r>
      <w:r>
        <w:tab/>
        <w:t>pripomína výsadu Európskeho parlamentu zvoliť si vlastného predsedu;</w:t>
      </w:r>
    </w:p>
    <w:p w:rsidR="004528BD" w:rsidRDefault="001714E4">
      <w:pPr>
        <w:pStyle w:val="NormalHanging12a"/>
      </w:pPr>
      <w:r>
        <w:t>13.</w:t>
      </w:r>
      <w:r>
        <w:tab/>
        <w:t>očakáva, že európske politické strany a ich parlamentné s</w:t>
      </w:r>
      <w:r>
        <w:t>kupiny prijmú „dohodu na legislatívne obdobie“ 2024 – 2029 ako spôsob zabezpečenia väčšiny v Európskom parlamente pred vymenovaním Komisie, a teda ako základ jej pracovného programu a ako záruku voči európskym voličom, že po voľbách bude nasledovať koheren</w:t>
      </w:r>
      <w:r>
        <w:t>tná činnosť; každý kandidát na člena Európskej komisie musí podpísať túto „dohodu na legislatívne obdobie“, aby získal väčšinovú podporu Európskeho parlamentu; konštatuje, že široká politická podpora má zásadný význam pre vykonávanie takejto dohody;</w:t>
      </w:r>
    </w:p>
    <w:p w:rsidR="004528BD" w:rsidRDefault="001714E4">
      <w:pPr>
        <w:pStyle w:val="NormalHanging12a"/>
      </w:pPr>
      <w:r>
        <w:t>14.</w:t>
      </w:r>
      <w:r>
        <w:tab/>
        <w:t>je</w:t>
      </w:r>
      <w:r>
        <w:t xml:space="preserve"> presvedčený, že stanovenie jedného spoločného dňa európskych volieb by viedlo k súdržnejším celoeurópskym voľbám;</w:t>
      </w:r>
    </w:p>
    <w:p w:rsidR="004528BD" w:rsidRDefault="001714E4">
      <w:pPr>
        <w:pStyle w:val="NormalHanging12a"/>
      </w:pPr>
      <w:r>
        <w:t>15.</w:t>
      </w:r>
      <w:r>
        <w:tab/>
        <w:t>pripomína zodpovednosť za politický dohľad, ktorú Európskemu parlamentu udeľujú zmluvy; zdôrazňuje, že zodpovednosť Komisie voči Európske</w:t>
      </w:r>
      <w:r>
        <w:t xml:space="preserve">mu parlamentu predstavuje dôležitú zásadu vnútornej demokratickej kontroly; pripomína, že vypočutia </w:t>
      </w:r>
      <w:r>
        <w:lastRenderedPageBreak/>
        <w:t>dezignovaných komisárov a kolégia komisárov sú rozhodujúcim krokom k ďalšej demokratizácii rozhodovacieho procesu EÚ a majú čoraz väčší význam ako spôsob, k</w:t>
      </w:r>
      <w:r>
        <w:t>torý Európskemu parlamentu umožňuje plniť väčšiu úlohu pri stanovovaní programu na úrovni EÚ;</w:t>
      </w:r>
    </w:p>
    <w:p w:rsidR="004528BD" w:rsidRDefault="001714E4">
      <w:pPr>
        <w:pStyle w:val="Normal12a24b"/>
      </w:pPr>
      <w:r>
        <w:rPr>
          <w:rStyle w:val="BoldItalic"/>
        </w:rPr>
        <w:t>Účasť občanov a právo voliť</w:t>
      </w:r>
    </w:p>
    <w:p w:rsidR="004528BD" w:rsidRDefault="001714E4">
      <w:pPr>
        <w:pStyle w:val="NormalHanging12a"/>
      </w:pPr>
      <w:r>
        <w:t>16.</w:t>
      </w:r>
      <w:r>
        <w:tab/>
        <w:t>považuje za nevyhnutné zaručiť, aby všetci občania Únie, ktorí majú právo voliť a byť volení, vrátane migrujúcich občanov Únie, ob</w:t>
      </w:r>
      <w:r>
        <w:t>čanov so zdravotným postihnutím a občanov bez domova, mohli uplatňovať toto právo;</w:t>
      </w:r>
    </w:p>
    <w:p w:rsidR="004528BD" w:rsidRDefault="001714E4">
      <w:pPr>
        <w:pStyle w:val="NormalHanging12a"/>
      </w:pPr>
      <w:r>
        <w:t>17.</w:t>
      </w:r>
      <w:r>
        <w:tab/>
        <w:t>vyzýva členské štáty, aby zaručili prístupnosť volieb zavedením opatrení zameraných na zabezpečenie prístupu k informáciám a prístupných spôsobov hlasovania, napríklad p</w:t>
      </w:r>
      <w:r>
        <w:t>oužitím asistenčných technológií, formátov a techník, ako sú Braillovo písmo, QR kódy, veľké písmo, zvukové informácie a hmatové ukazovatele, ľahko čitateľné informácie a komunikácia v posunkovom jazyku; domnieva sa, že kampane na zvyšovanie povedomia vere</w:t>
      </w:r>
      <w:r>
        <w:t>jnosti sú kľúčom k zvýšeniu účasti, a vyzýva členské štáty, aby v tomto smere vyvinuli všetko úsilie a zapojili aj organizácie občianskej spoločnosti;</w:t>
      </w:r>
    </w:p>
    <w:p w:rsidR="004528BD" w:rsidRDefault="001714E4">
      <w:pPr>
        <w:pStyle w:val="NormalHanging12a"/>
      </w:pPr>
      <w:r>
        <w:t>18.</w:t>
      </w:r>
      <w:r>
        <w:tab/>
        <w:t>domnieva sa, že prístup k informáciám o volebnej kampani je nevyhnutnou podmienkou zvýšenia účasti ob</w:t>
      </w:r>
      <w:r>
        <w:t>čanov vo voľbách; vyzýva členské štáty, aby svoje vnútroštátne médiá nabádali k informovaniu o voľbách tak, aby európski občania mohli uplatniť svoje právo voliť a vnímať európsky rozmer podľa svojho výberu, a to aj vo vidieckych oblastiach;</w:t>
      </w:r>
    </w:p>
    <w:p w:rsidR="004528BD" w:rsidRDefault="001714E4">
      <w:pPr>
        <w:pStyle w:val="NormalHanging12a"/>
      </w:pPr>
      <w:r>
        <w:t>19.</w:t>
      </w:r>
      <w:r>
        <w:tab/>
        <w:t>domnieva s</w:t>
      </w:r>
      <w:r>
        <w:t>a, že inštitucionálna informačná kampaň Európskeho parlamentu v spolupráci s organizáciami občianskej spoločnosti prispieva k diskusii o otázkach európskej verejnej politiky a k formovaniu európskeho politického povedomia o parlamentnej demokracii a podpor</w:t>
      </w:r>
      <w:r>
        <w:t>uje volebnú kampaň, ktorú vedú všetky európske politické strany; víta koordinované úsilie, ktoré v tejto súvislosti vyvinuli všetky inštitúcie EÚ;</w:t>
      </w:r>
    </w:p>
    <w:p w:rsidR="004528BD" w:rsidRDefault="001714E4">
      <w:pPr>
        <w:pStyle w:val="NormalHanging12a"/>
      </w:pPr>
      <w:r>
        <w:t>20.</w:t>
      </w:r>
      <w:r>
        <w:tab/>
        <w:t>opakuje svoju výzvu členským štátom, aby všetkým občanom Únie žijúcim alebo pracujúcim v tretích krajinác</w:t>
      </w:r>
      <w:r>
        <w:t>h zabezpečili právo hlasovať vo voľbách do Európskeho parlamentu; vyzýva členské štáty, aby spolupracovali s Európskym parlamentom a Európskou službou pre vonkajšiu činnosť s cieľom informovať občanov Únie v tretích krajinách o voľbách do Európskeho parlam</w:t>
      </w:r>
      <w:r>
        <w:t>entu a uľahčiť ich účasť v týchto voľbách; vyzýva vysokého predstaviteľa Únie pre zahraničné veci a bezpečnostnú politiku, aby nabádal ministrov zahraničných vecí členských štátov, aby si vymieňali najlepšie postupy v oblasti informačných kampaní a uľahčil</w:t>
      </w:r>
      <w:r>
        <w:t>i mechanizmy hlasovania zo zahraničia, a to aj zriadením prístupných volebných miestností mimo EÚ a využívaním hlasovania poštou alebo iných foriem hlasovania na diaľku;</w:t>
      </w:r>
    </w:p>
    <w:p w:rsidR="004528BD" w:rsidRDefault="001714E4">
      <w:pPr>
        <w:pStyle w:val="NormalHanging12a"/>
      </w:pPr>
      <w:r>
        <w:t>21.</w:t>
      </w:r>
      <w:r>
        <w:tab/>
        <w:t>vyjadruje poľutovanie nad tým, že nedostatočný pokrok v Rade, pokiaľ ide o návrh K</w:t>
      </w:r>
      <w:r>
        <w:t>omisie týkajúci sa smernice Rady, ktorou sa stanovujú podrobné pravidlá uplatňovania práva voliť a byť volený vo voľbách do Európskeho parlamentu pre migrujúcich občanov Únie, zabráni tomu, aby nové úpravy, ktoré predložili Komisia a Európsky parlament, na</w:t>
      </w:r>
      <w:r>
        <w:t>dobudli účinnosť včas pred voľbami v roku 2024;</w:t>
      </w:r>
    </w:p>
    <w:p w:rsidR="004528BD" w:rsidRDefault="001714E4">
      <w:pPr>
        <w:pStyle w:val="NormalHanging12a"/>
      </w:pPr>
      <w:r>
        <w:lastRenderedPageBreak/>
        <w:t>22.</w:t>
      </w:r>
      <w:r>
        <w:tab/>
        <w:t>nabáda na zavedenie voľby poštou s cieľom zabezpečiť, aby občanom Únie nebránilo vo výkone ich práva voliť to, že nemôžu ísť do volebných miestností v deň volieb; zároveň podporuje zavedenie doplnkových n</w:t>
      </w:r>
      <w:r>
        <w:t>ástrojov na uľahčenie hlasovania, ako je hlasovanie vopred a hlasovanie v zastúpení, elektronické či online hlasovanie;</w:t>
      </w:r>
    </w:p>
    <w:p w:rsidR="004528BD" w:rsidRDefault="001714E4">
      <w:pPr>
        <w:pStyle w:val="NormalHanging12a"/>
      </w:pPr>
      <w:r>
        <w:t>23.</w:t>
      </w:r>
      <w:r>
        <w:tab/>
        <w:t>považuje rodovú rovnosť za prvok, ktorý je kľúčový z hľadiska zlepšenia zastúpenia vo voľbách; víta pokrok, ktorý sa po voľbách do E</w:t>
      </w:r>
      <w:r>
        <w:t>urópskeho parlamentu v roku 2019 dosiahol smerom k rodovo vyváženému Európskemu parlamentu, no zdôrazňuje, že stále existujú rozdiely medzi členskými štátmi, pokiaľ ide o úroveň zastúpenia žien; v tejto súvislosti nabáda na vykonávanie ustanovení o novom e</w:t>
      </w:r>
      <w:r>
        <w:t>urópskom volebnom zákone, ktoré Európsky parlament prijal 3. mája 2022;</w:t>
      </w:r>
    </w:p>
    <w:p w:rsidR="004528BD" w:rsidRDefault="001714E4">
      <w:pPr>
        <w:pStyle w:val="NormalHanging12a"/>
      </w:pPr>
      <w:r>
        <w:t>24.</w:t>
      </w:r>
      <w:r>
        <w:tab/>
        <w:t>domnieva sa, že členské štáty by mali zvážiť zosúladenie a zníženie veku oprávňujúceho na účasť vo voľbách a minimálneho veku na kandidatúru, ako sa uvádza v návrhu volebného zákon</w:t>
      </w:r>
      <w:r>
        <w:t>a a v záveroch Konferencie o budúcnosti Európy;</w:t>
      </w:r>
    </w:p>
    <w:p w:rsidR="004528BD" w:rsidRDefault="001714E4">
      <w:pPr>
        <w:pStyle w:val="NormalHanging12a"/>
        <w:rPr>
          <w:rStyle w:val="BoldItalic"/>
        </w:rPr>
      </w:pPr>
      <w:r>
        <w:rPr>
          <w:rStyle w:val="BoldItalic"/>
        </w:rPr>
        <w:t xml:space="preserve">Inštitucionálna odolnosť </w:t>
      </w:r>
    </w:p>
    <w:p w:rsidR="004528BD" w:rsidRDefault="001714E4">
      <w:pPr>
        <w:pStyle w:val="NormalHanging12a"/>
      </w:pPr>
      <w:r>
        <w:t>25.</w:t>
      </w:r>
      <w:r>
        <w:tab/>
        <w:t xml:space="preserve">domnieva sa, že dezinformácie a zahraničné zasahovanie predstavujú vážny útok na integritu volebného procesu a európsku demokraciu; zdôrazňuje, že digitálne platformy zohrávajú </w:t>
      </w:r>
      <w:r>
        <w:t>zásadnú úlohu v boji proti dezinformáciám;</w:t>
      </w:r>
    </w:p>
    <w:p w:rsidR="004528BD" w:rsidRDefault="001714E4">
      <w:pPr>
        <w:pStyle w:val="NormalHanging12a"/>
      </w:pPr>
      <w:r>
        <w:t>26.</w:t>
      </w:r>
      <w:r>
        <w:tab/>
        <w:t>uznáva úsilie inštitúcií EÚ v boji proti dezinformáciám a zahraničnému zasahovaniu, ako je Kódex postupov proti šíreniu dezinformácií z roku 2022 a systém včasného varovania; zdôrazňuje však potrebu spoľahlive</w:t>
      </w:r>
      <w:r>
        <w:t>jších záruk a opatrení proti dezinformáciám a vnútornému a vonkajšiemu zasahovaniu do volebného procesu; zaväzuje sa zintenzívniť svoje úsilie v boji proti pokusom o zahraničné zasahovanie do záležitostí Európskeho parlamentu;</w:t>
      </w:r>
    </w:p>
    <w:p w:rsidR="004528BD" w:rsidRDefault="001714E4">
      <w:pPr>
        <w:pStyle w:val="NormalHanging12a"/>
      </w:pPr>
      <w:r>
        <w:t>27.</w:t>
      </w:r>
      <w:r>
        <w:tab/>
        <w:t>poukazuje na prebiehajúce</w:t>
      </w:r>
      <w:r>
        <w:t xml:space="preserve"> </w:t>
      </w:r>
      <w:proofErr w:type="spellStart"/>
      <w:r>
        <w:t>medziinštitucionálne</w:t>
      </w:r>
      <w:proofErr w:type="spellEnd"/>
      <w:r>
        <w:t xml:space="preserve"> rokovania o návrhu nariadenia Európskeho parlamentu a Rady o európskych politických stranách a nadáciách; vyzýva Komisiu a Radu, aby pokračovali v </w:t>
      </w:r>
      <w:proofErr w:type="spellStart"/>
      <w:r>
        <w:t>medziinštitucionálnych</w:t>
      </w:r>
      <w:proofErr w:type="spellEnd"/>
      <w:r>
        <w:t xml:space="preserve"> rokovaniach v duchu lojálnej spolupráce; víta dohodu, ktorú dosi</w:t>
      </w:r>
      <w:r>
        <w:t xml:space="preserve">ahli </w:t>
      </w:r>
      <w:proofErr w:type="spellStart"/>
      <w:r>
        <w:t>spoluzákonodarcovia</w:t>
      </w:r>
      <w:proofErr w:type="spellEnd"/>
      <w:r>
        <w:t xml:space="preserve"> o nariadení Európskeho parlamentu a Rady o transparentnosti a cielení politickej reklamy; víta vykonateľnosť niektorých jeho ustanovení ešte pred voľbami v roku 2024, napríklad ustanovení o nediskriminácii; vyzýva členské štáty, ab</w:t>
      </w:r>
      <w:r>
        <w:t>y ostatné ustanovenia nariadenia plne vykonali po nadobudnutí jeho účinnosti;</w:t>
      </w:r>
    </w:p>
    <w:p w:rsidR="004528BD" w:rsidRDefault="001714E4">
      <w:pPr>
        <w:pStyle w:val="NormalHanging12a"/>
      </w:pPr>
      <w:r>
        <w:t>28.</w:t>
      </w:r>
      <w:r>
        <w:tab/>
        <w:t>pripomína, že Európsky parlament prijal uznesenie a v súčasnosti pracuje na návrhoch na zmenu zmlúv, okrem iného s cieľom zvýšiť demokratickú legitimitu EÚ a umožniť náležité</w:t>
      </w:r>
      <w:r>
        <w:t xml:space="preserve"> opatrenia v nadväznosti na návrhy prijaté Konferenciou o budúcnosti Európy; konštatuje, že voľby v roku 2024 predstavujú jedinečnú príležitosť na spustenie </w:t>
      </w:r>
      <w:proofErr w:type="spellStart"/>
      <w:r>
        <w:t>celoúnijnej</w:t>
      </w:r>
      <w:proofErr w:type="spellEnd"/>
      <w:r>
        <w:t xml:space="preserve"> diskusie o reforme Únie na základe návrhov na reformu zmlúv, ktoré predložil Európsky p</w:t>
      </w:r>
      <w:r>
        <w:t>arlament; vyzýva Európsku radu, aby čo najskôr prijala pozíciu k zvolaniu konventu po tom, ako Európsky parlament prijme svoje návrhy; v tejto súvislosti opakuje, že podporuje reformu zmlúv;</w:t>
      </w:r>
    </w:p>
    <w:p w:rsidR="004528BD" w:rsidRDefault="001714E4">
      <w:pPr>
        <w:pStyle w:val="NormalHanging12a"/>
      </w:pPr>
      <w:r>
        <w:t>29.</w:t>
      </w:r>
      <w:r>
        <w:tab/>
        <w:t xml:space="preserve">požaduje reformu zmlúv a naliehavo vyzýva Radu, a napokon aj </w:t>
      </w:r>
      <w:r>
        <w:t>Európsku radu, aby konala vo veci svojho návrhu na uplatnenie článku 48 Zmluvy o EÚ;</w:t>
      </w:r>
    </w:p>
    <w:p w:rsidR="004528BD" w:rsidRDefault="001714E4">
      <w:pPr>
        <w:pStyle w:val="NormalHanging12a"/>
      </w:pPr>
      <w:r>
        <w:lastRenderedPageBreak/>
        <w:t>30.</w:t>
      </w:r>
      <w:r>
        <w:tab/>
        <w:t xml:space="preserve">zdôrazňuje, že je potrebné posilniť dôveru voličov vo volebné procesy zabezpečím toho, aby všetky voľby boli slobodné a spravodlivé; v tejto súvislosti konštatuje, že </w:t>
      </w:r>
      <w:r>
        <w:t xml:space="preserve">OBSE od 6. do 9. novembra 2023 uskutočnila v štyroch členských štátoch misiu zameranú na posúdenie potrieb s cieľom preskúmať prípravu misie, ktorá bude pozorovať voľby do Európskeho parlamentu; navrhuje predsedníctvu Rady, aby nabádalo členské štáty, aby </w:t>
      </w:r>
      <w:r>
        <w:t>OBSE listom pozvali na pozorovanie volieb do Európskeho parlamentu a aby túto možnosť v plnej miere využili;</w:t>
      </w:r>
    </w:p>
    <w:p w:rsidR="004528BD" w:rsidRDefault="001714E4">
      <w:pPr>
        <w:pStyle w:val="NormalHanging12a"/>
      </w:pPr>
      <w:r>
        <w:t>31.</w:t>
      </w:r>
      <w:r>
        <w:tab/>
        <w:t>žiada Výbor pre ústavné veci, aby preskúmal, či by sa niektoré ustanovenia a odporúčania tohto uznesenia mohli začleniť do rokovacieho poriadku</w:t>
      </w:r>
      <w:r>
        <w:t xml:space="preserve"> Európskeho parlamentu;</w:t>
      </w:r>
    </w:p>
    <w:p w:rsidR="004528BD" w:rsidRDefault="001714E4">
      <w:pPr>
        <w:pStyle w:val="NormalCenter12a"/>
      </w:pPr>
      <w:r>
        <w:t>°</w:t>
      </w:r>
    </w:p>
    <w:p w:rsidR="004528BD" w:rsidRDefault="001714E4">
      <w:pPr>
        <w:pStyle w:val="NormalCenter12a"/>
      </w:pPr>
      <w:r>
        <w:t>°</w:t>
      </w:r>
      <w:r>
        <w:tab/>
        <w:t>°</w:t>
      </w:r>
    </w:p>
    <w:p w:rsidR="004528BD" w:rsidRDefault="001714E4">
      <w:pPr>
        <w:pStyle w:val="NormalHanging12a"/>
      </w:pPr>
      <w:r>
        <w:t>32</w:t>
      </w:r>
      <w:bookmarkStart w:id="8" w:name="_GoBack"/>
      <w:bookmarkEnd w:id="8"/>
      <w:r>
        <w:t>.</w:t>
      </w:r>
      <w:r>
        <w:tab/>
        <w:t>poveruje svoju predsedníčku, aby postúpila toto uznesenie Rade a Komisii.</w:t>
      </w:r>
    </w:p>
    <w:p w:rsidR="004528BD" w:rsidRDefault="004528BD"/>
    <w:p w:rsidR="004528BD" w:rsidRDefault="004528BD">
      <w:bookmarkStart w:id="9" w:name="TextBodyEnd"/>
      <w:bookmarkEnd w:id="9"/>
    </w:p>
    <w:sectPr w:rsidR="004528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8BD" w:rsidRDefault="001714E4">
      <w:r>
        <w:separator/>
      </w:r>
    </w:p>
  </w:endnote>
  <w:endnote w:type="continuationSeparator" w:id="0">
    <w:p w:rsidR="004528BD" w:rsidRDefault="0017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8BD" w:rsidRDefault="004528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8BD" w:rsidRDefault="004528B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8BD" w:rsidRDefault="004528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8BD" w:rsidRDefault="001714E4">
      <w:r>
        <w:separator/>
      </w:r>
    </w:p>
  </w:footnote>
  <w:footnote w:type="continuationSeparator" w:id="0">
    <w:p w:rsidR="004528BD" w:rsidRDefault="001714E4">
      <w:r>
        <w:continuationSeparator/>
      </w:r>
    </w:p>
  </w:footnote>
  <w:footnote w:id="1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329, 30.12.1993, s. 34.</w:t>
      </w:r>
    </w:p>
  </w:footnote>
  <w:footnote w:id="2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75, 26.2.2016,</w:t>
      </w:r>
      <w:r>
        <w:rPr>
          <w:sz w:val="24"/>
          <w:lang w:val="sk-SK"/>
        </w:rPr>
        <w:t xml:space="preserve"> s. 109.</w:t>
      </w:r>
    </w:p>
  </w:footnote>
  <w:footnote w:id="3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114 I, 4.5.2018, s. 1.</w:t>
      </w:r>
    </w:p>
  </w:footnote>
  <w:footnote w:id="4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178, 16.7.2018, s. 1.</w:t>
      </w:r>
    </w:p>
  </w:footnote>
  <w:footnote w:id="5">
    <w:p w:rsidR="004528BD" w:rsidRDefault="001714E4">
      <w:pPr>
        <w:pStyle w:val="FootnoteText"/>
        <w:ind w:left="567" w:hanging="567"/>
        <w:rPr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szCs w:val="24"/>
          <w:u w:val="single" w:color="0000FF"/>
          <w:lang w:val="sk-SK"/>
        </w:rPr>
        <w:t>Ú. v. EÚ C 425, 20.10.2021, s. 98.</w:t>
      </w:r>
    </w:p>
  </w:footnote>
  <w:footnote w:id="6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465, 6.12.2022, s. 171.</w:t>
      </w:r>
    </w:p>
  </w:footnote>
  <w:footnote w:id="7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125, 5.4.2023, s. 485.</w:t>
      </w:r>
    </w:p>
  </w:footnote>
  <w:footnote w:id="8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267, 28.7.2023, s. 36.</w:t>
      </w:r>
    </w:p>
  </w:footnote>
  <w:footnote w:id="9">
    <w:p w:rsidR="004528BD" w:rsidRDefault="001714E4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Prijaté texty, P9_TA(</w:t>
      </w:r>
      <w:r>
        <w:rPr>
          <w:sz w:val="24"/>
          <w:szCs w:val="24"/>
          <w:lang w:val="sk-SK"/>
        </w:rPr>
        <w:t>2023)0330.</w:t>
      </w:r>
    </w:p>
  </w:footnote>
  <w:footnote w:id="10">
    <w:p w:rsidR="004528BD" w:rsidRDefault="001714E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238, 27.9.2023, s.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8BD" w:rsidRDefault="004528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8BD" w:rsidRDefault="004528B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8BD" w:rsidRDefault="004528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2/2023"/>
    <w:docVar w:name="dvlangue" w:val="SK"/>
    <w:docVar w:name="dvnumam" w:val="0"/>
    <w:docVar w:name="dvpe" w:val="751.801"/>
    <w:docVar w:name="dvrapporteur" w:val="Spravodajcovia: "/>
    <w:docVar w:name="dvtitre" w:val="Uznesenie Európskeho parlamentu z xx. novembra 2023 o voľbách do Európskeho parlamentu v roku 2024(2023/2016(INI))"/>
  </w:docVars>
  <w:rsids>
    <w:rsidRoot w:val="004528BD"/>
    <w:rsid w:val="001714E4"/>
    <w:rsid w:val="0045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D937D"/>
  <w15:chartTrackingRefBased/>
  <w15:docId w15:val="{F623E7F0-1235-4565-9A1E-6B528659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customStyle="1" w:styleId="Normal6Char">
    <w:name w:val="Normal6 Char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sk-SK" w:eastAsia="en-US"/>
    </w:rPr>
  </w:style>
  <w:style w:type="paragraph" w:customStyle="1" w:styleId="Normal6a">
    <w:name w:val="Normal6a"/>
    <w:basedOn w:val="Normal"/>
    <w:pPr>
      <w:spacing w:after="120"/>
    </w:pPr>
    <w:rPr>
      <w:szCs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659B0-1484-4DB9-AD1C-ED1E8748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2739</Words>
  <Characters>16809</Characters>
  <Application>Microsoft Office Word</Application>
  <DocSecurity>4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GIRGINOV Kiril</cp:lastModifiedBy>
  <cp:revision>2</cp:revision>
  <cp:lastPrinted>2004-11-19T15:42:00Z</cp:lastPrinted>
  <dcterms:created xsi:type="dcterms:W3CDTF">2024-05-30T08:35:00Z</dcterms:created>
  <dcterms:modified xsi:type="dcterms:W3CDTF">2024-05-30T08:35:00Z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A9-0332/2023</vt:lpwstr>
  </property>
  <property fmtid="{D5CDD505-2E9C-101B-9397-08002B2CF9AE}" pid="4" name="&lt;Type&gt;">
    <vt:lpwstr>RR</vt:lpwstr>
  </property>
</Properties>
</file>