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6BC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6BCC" w:rsidRDefault="003F46B8" w:rsidP="0010095E">
            <w:pPr>
              <w:pStyle w:val="EPName"/>
            </w:pPr>
            <w:bookmarkStart w:id="0" w:name="_GoBack"/>
            <w:bookmarkEnd w:id="0"/>
            <w:r w:rsidRPr="00D86BCC">
              <w:t>Evropski parlament</w:t>
            </w:r>
          </w:p>
          <w:p w:rsidR="00751A4A" w:rsidRPr="00D86B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6BC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86BCC" w:rsidRDefault="00187494" w:rsidP="0010095E">
            <w:pPr>
              <w:pStyle w:val="EPLogo"/>
            </w:pPr>
            <w:r w:rsidRPr="00D86BC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6BCC" w:rsidRDefault="00D058B8" w:rsidP="004C5D52">
      <w:pPr>
        <w:pStyle w:val="LineTop"/>
      </w:pPr>
    </w:p>
    <w:p w:rsidR="00680577" w:rsidRPr="00D86BCC" w:rsidRDefault="003F46B8" w:rsidP="00680577">
      <w:pPr>
        <w:pStyle w:val="EPBodyTA1"/>
      </w:pPr>
      <w:r w:rsidRPr="00D86BCC">
        <w:t>SPREJETA BESEDILA</w:t>
      </w:r>
    </w:p>
    <w:p w:rsidR="00D058B8" w:rsidRPr="00D86BCC" w:rsidRDefault="00D058B8" w:rsidP="00D058B8">
      <w:pPr>
        <w:pStyle w:val="LineBottom"/>
      </w:pPr>
    </w:p>
    <w:p w:rsidR="003F46B8" w:rsidRPr="00D86BCC" w:rsidRDefault="003F46B8" w:rsidP="00481CE8">
      <w:pPr>
        <w:pStyle w:val="ATHeading1"/>
      </w:pPr>
      <w:bookmarkStart w:id="1" w:name="TANumber"/>
      <w:r w:rsidRPr="00D86BCC">
        <w:t>P9_TA(2023)0</w:t>
      </w:r>
      <w:r w:rsidR="00481CE8" w:rsidRPr="00D86BCC">
        <w:t>455</w:t>
      </w:r>
      <w:bookmarkEnd w:id="1"/>
    </w:p>
    <w:p w:rsidR="003F46B8" w:rsidRPr="00D86BCC" w:rsidRDefault="003F46B8" w:rsidP="003F46B8">
      <w:pPr>
        <w:pStyle w:val="ATHeading2"/>
      </w:pPr>
      <w:bookmarkStart w:id="2" w:name="title"/>
      <w:r w:rsidRPr="00D86BCC">
        <w:t>Evropske volitve leta 2024</w:t>
      </w:r>
      <w:bookmarkEnd w:id="2"/>
    </w:p>
    <w:p w:rsidR="003F46B8" w:rsidRPr="00D86BCC" w:rsidRDefault="003F46B8" w:rsidP="003F46B8">
      <w:pPr>
        <w:rPr>
          <w:i/>
          <w:vanish/>
        </w:rPr>
      </w:pPr>
      <w:r w:rsidRPr="00D86BCC">
        <w:rPr>
          <w:i/>
        </w:rPr>
        <w:fldChar w:fldCharType="begin"/>
      </w:r>
      <w:r w:rsidRPr="00D86BCC">
        <w:rPr>
          <w:i/>
        </w:rPr>
        <w:instrText xml:space="preserve"> TC"(</w:instrText>
      </w:r>
      <w:bookmarkStart w:id="3" w:name="DocNumber"/>
      <w:r w:rsidRPr="00D86BCC">
        <w:rPr>
          <w:i/>
        </w:rPr>
        <w:instrText>A9-0332/2023</w:instrText>
      </w:r>
      <w:bookmarkEnd w:id="3"/>
      <w:r w:rsidRPr="00D86BCC">
        <w:rPr>
          <w:i/>
        </w:rPr>
        <w:instrText xml:space="preserve"> - Poročevalca: Sven Simon, Domènec Ruiz Devesa)"\l3 \n&gt; \* MERGEFORMAT </w:instrText>
      </w:r>
      <w:r w:rsidRPr="00D86BCC">
        <w:rPr>
          <w:i/>
        </w:rPr>
        <w:fldChar w:fldCharType="end"/>
      </w:r>
    </w:p>
    <w:p w:rsidR="003F46B8" w:rsidRPr="00D86BCC" w:rsidRDefault="003F46B8" w:rsidP="003F46B8">
      <w:pPr>
        <w:rPr>
          <w:vanish/>
        </w:rPr>
      </w:pPr>
      <w:bookmarkStart w:id="4" w:name="Commission"/>
      <w:r w:rsidRPr="00D86BCC">
        <w:rPr>
          <w:vanish/>
        </w:rPr>
        <w:t>Odbor za ustavne zadeve</w:t>
      </w:r>
      <w:bookmarkEnd w:id="4"/>
    </w:p>
    <w:p w:rsidR="003F46B8" w:rsidRPr="00D86BCC" w:rsidRDefault="003F46B8" w:rsidP="003F46B8">
      <w:pPr>
        <w:rPr>
          <w:vanish/>
        </w:rPr>
      </w:pPr>
      <w:bookmarkStart w:id="5" w:name="PE"/>
      <w:r w:rsidRPr="00D86BCC">
        <w:rPr>
          <w:vanish/>
        </w:rPr>
        <w:t>PE751.801</w:t>
      </w:r>
      <w:bookmarkEnd w:id="5"/>
    </w:p>
    <w:p w:rsidR="003F46B8" w:rsidRPr="00D86BCC" w:rsidRDefault="003F46B8" w:rsidP="00481CE8">
      <w:pPr>
        <w:pStyle w:val="ATHeading3"/>
      </w:pPr>
      <w:bookmarkStart w:id="6" w:name="Sujet"/>
      <w:r w:rsidRPr="00D86BCC">
        <w:t xml:space="preserve">Resolucija Evropskega parlamenta z dne </w:t>
      </w:r>
      <w:r w:rsidR="003E5913" w:rsidRPr="00D86BCC">
        <w:t>1</w:t>
      </w:r>
      <w:r w:rsidR="00481CE8" w:rsidRPr="00D86BCC">
        <w:t>2</w:t>
      </w:r>
      <w:r w:rsidRPr="00D86BCC">
        <w:t>. decembra 2023 o evropskih volitvah leta 2024</w:t>
      </w:r>
      <w:bookmarkEnd w:id="6"/>
      <w:r w:rsidRPr="00D86BCC">
        <w:t xml:space="preserve"> </w:t>
      </w:r>
      <w:bookmarkStart w:id="7" w:name="References"/>
      <w:r w:rsidRPr="00D86BCC">
        <w:t>(2023/2016(INI))</w:t>
      </w:r>
      <w:bookmarkEnd w:id="7"/>
    </w:p>
    <w:p w:rsidR="00E85618" w:rsidRPr="00D86BCC" w:rsidRDefault="00E85618" w:rsidP="00E85618">
      <w:pPr>
        <w:pStyle w:val="EPComma"/>
      </w:pPr>
      <w:bookmarkStart w:id="8" w:name="TextBodyBegin"/>
      <w:bookmarkEnd w:id="8"/>
      <w:r w:rsidRPr="00D86BCC">
        <w:rPr>
          <w:rStyle w:val="Italic"/>
        </w:rPr>
        <w:t>Evropski parlament</w:t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Pogodbe o Evropski uniji (PEU), zlasti členov 10, 14 in 17(7),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Pogodbe o delovanju Evropske unije (PDEU), zlasti členov 20 in 22,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Direktive Sveta 93/109/ES z dne 6. decembra 1993 o podrobni ureditvi uresničevanja aktivne in pasivne volilne pravice na volitvah v Evropski parlament za državljane Unije, ki prebivajo v državi članici, niso pa njeni državljani</w:t>
      </w:r>
      <w:r w:rsidRPr="00D86BCC">
        <w:rPr>
          <w:rStyle w:val="FootnoteReference"/>
        </w:rPr>
        <w:footnoteReference w:id="1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poročila Odbora za ustavne zadeve z dne 28. aprila 2011 o predlogu spremembe Akta o volitvah poslancev Evropskega parlamenta s splošnimi neposrednimi volitvami z dne 20. septembra 1976,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resolucije z dne 4. julija 2013 o izboljšavi praktičnih dogovorov za izvedbo evropskih volitev leta 2014</w:t>
      </w:r>
      <w:r w:rsidRPr="00D86BCC">
        <w:rPr>
          <w:rStyle w:val="FootnoteReference"/>
        </w:rPr>
        <w:footnoteReference w:id="2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Uredbe (EU, Euratom) 2018/673 Evropskega parlamenta in Sveta z dne 3. maja 2018 o spremembi Uredbe (EU, Euratom) št. 1141/2014 o statutu in financiranju evropskih političnih strank in evropskih političnih fundacij</w:t>
      </w:r>
      <w:r w:rsidRPr="00D86BCC">
        <w:rPr>
          <w:rStyle w:val="FootnoteReference"/>
        </w:rPr>
        <w:footnoteReference w:id="3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Sklepa Sveta (EU, Euratom) 2018/994 z dne 13. julija 2018 o spremembi Akta o volitvah članov Evropskega parlamenta s splošnimi neposrednimi volitvami, ki je priložen Sklepu Sveta 76/787/ESPJ, EGS, Euratom z dne 20. septembra 1976</w:t>
      </w:r>
      <w:r w:rsidRPr="00D86BCC">
        <w:rPr>
          <w:rStyle w:val="FootnoteReference"/>
        </w:rPr>
        <w:footnoteReference w:id="4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lastRenderedPageBreak/>
        <w:t>–</w:t>
      </w:r>
      <w:r w:rsidRPr="00D86BCC">
        <w:tab/>
        <w:t>ob upoštevanju resolucije z dne 26. novembra 2020 o analizi evropskih volitev</w:t>
      </w:r>
      <w:r w:rsidRPr="00D86BCC">
        <w:rPr>
          <w:rStyle w:val="FootnoteReference"/>
        </w:rPr>
        <w:footnoteReference w:id="5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sporočila Komisije z dne 3. decembra 2020 o akcijskem načrtu za evropsko demokracijo (COM(2020)0790),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svojega stališča z dne 3. maja 2022 o predlogu uredbe Sveta o volitvah poslancev Evropskega parlamenta s splošnimi neposrednimi volitvami, razveljavitvi Sklepa Sveta 76/787/ESPJ, EGS, Euratom in Akta o volitvah poslancev Evropskega parlamenta s splošnimi neposrednimi volitvami, priloženega temu sklepu</w:t>
      </w:r>
      <w:r w:rsidRPr="00D86BCC">
        <w:rPr>
          <w:rStyle w:val="FootnoteReference"/>
        </w:rPr>
        <w:footnoteReference w:id="6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sprememb Evropskega parlamenta, sprejetih 15. septembra 2022, o predlogu uredbe Evropskega parlamenta in Sveta o statutu in financiranju evropskih političnih strank in evropskih političnih fundacij</w:t>
      </w:r>
      <w:r w:rsidRPr="00D86BCC">
        <w:rPr>
          <w:rStyle w:val="FootnoteReference"/>
        </w:rPr>
        <w:footnoteReference w:id="7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sprememb Evropskega parlamenta, sprejetih 2. februarja 2023, o predlogu uredbe Evropskega parlamenta in Sveta o preglednosti in ciljanju v političnem oglaševanju</w:t>
      </w:r>
      <w:r w:rsidRPr="00D86BCC">
        <w:rPr>
          <w:rStyle w:val="FootnoteReference"/>
        </w:rPr>
        <w:footnoteReference w:id="8"/>
      </w:r>
      <w:r w:rsidRPr="00D86BCC">
        <w:t>,</w:t>
      </w:r>
    </w:p>
    <w:p w:rsidR="00D86BCC" w:rsidRPr="00D86BCC" w:rsidRDefault="00D86BCC" w:rsidP="00D86BCC">
      <w:pPr>
        <w:pStyle w:val="NormalHanging12a"/>
      </w:pPr>
      <w:r w:rsidRPr="00D86BCC">
        <w:t>–</w:t>
      </w:r>
      <w:r w:rsidRPr="00D86BCC">
        <w:tab/>
        <w:t>ob upoštevanju svoje resolucije z dne 14. septembra 2023 o parlamentarizmu, evropskem državljanstvu in demokraciji</w:t>
      </w:r>
      <w:r w:rsidRPr="00D86BCC">
        <w:rPr>
          <w:rStyle w:val="FootnoteReference"/>
        </w:rPr>
        <w:footnoteReference w:id="9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Sklepa Evropskega sveta (EU) 2023/2061 z dne 22. septembra 2023 o sestavi Evropskega parlamenta</w:t>
      </w:r>
      <w:r w:rsidRPr="00D86BCC">
        <w:rPr>
          <w:rStyle w:val="FootnoteReference"/>
        </w:rPr>
        <w:footnoteReference w:id="10"/>
      </w:r>
      <w:r w:rsidRPr="00D86BCC">
        <w:t>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člena 54 Poslovnika,</w:t>
      </w:r>
    </w:p>
    <w:p w:rsidR="00E85618" w:rsidRPr="00D86BCC" w:rsidRDefault="00E85618" w:rsidP="00E85618">
      <w:pPr>
        <w:pStyle w:val="NormalHanging12a"/>
      </w:pPr>
      <w:r w:rsidRPr="00D86BCC">
        <w:t>–</w:t>
      </w:r>
      <w:r w:rsidRPr="00D86BCC">
        <w:tab/>
        <w:t>ob upoštevanju poročila Odbora za ustavne zadeve (A9-0332/2023),</w:t>
      </w:r>
    </w:p>
    <w:p w:rsidR="00E85618" w:rsidRPr="00D86BCC" w:rsidRDefault="00E85618" w:rsidP="00E85618">
      <w:pPr>
        <w:pStyle w:val="NormalHanging12a"/>
      </w:pPr>
      <w:r w:rsidRPr="00D86BCC">
        <w:t>A.</w:t>
      </w:r>
      <w:r w:rsidRPr="00D86BCC">
        <w:tab/>
        <w:t>ker je bila volilna udeležba na evropskih volitvah leta 2019 najvišja od vseh volitev v Evropski parlament v zadnjih 20 letih, in sicer 50,66 % (povečanje za osem odstotnih točk v primerjavi z letom 2014), kar kaže na to, da se evropski državljani vse bolj zanimajo za razvoj dogodkov na ravni EU in menijo, da zakonodaja EU vpliva na njihovo vsakdanje življenje; ker je 19 držav članic poročalo o naraščajoči udeležbi, ki je bila v primerjavi z letom 2014 občutno večja na Poljskem, v Romuniji, Španiji, Avstriji in Nemčiji ter na Madžarskem, Slovaškem in Češkem;</w:t>
      </w:r>
    </w:p>
    <w:p w:rsidR="00E85618" w:rsidRPr="00D86BCC" w:rsidRDefault="00E85618" w:rsidP="00205854">
      <w:pPr>
        <w:pStyle w:val="NormalHanging12a"/>
      </w:pPr>
      <w:r w:rsidRPr="00D86BCC">
        <w:t>B.</w:t>
      </w:r>
      <w:r w:rsidRPr="00D86BCC">
        <w:tab/>
        <w:t xml:space="preserve">ker je sklep Sveta iz leta 2018 o spremembi Akta o volitvah poslancev Evropskega parlamenta s splošnimi neposrednimi volitvami vključeval nekatere izboljšave, kot je dodajanje logotipov evropskih političnih strank na glasovnice za volitve v Evropski parlament; ker ga še niso ratificirale vse države članice; ker </w:t>
      </w:r>
      <w:r w:rsidR="003E5913" w:rsidRPr="00D86BCC">
        <w:t xml:space="preserve">predlagana </w:t>
      </w:r>
      <w:r w:rsidRPr="00D86BCC">
        <w:t>volilna zakonodaja EU, ki jo je sprejel Evropski parlament 3. maja 2022, vsebuje velike izboljšave, s katerimi bi odpravili sedanjo razdrobljenost v 27 različnih volilnih sistemov ter posodobili in poenotili volilne zakone v EU;</w:t>
      </w:r>
    </w:p>
    <w:p w:rsidR="00E85618" w:rsidRPr="00D86BCC" w:rsidRDefault="00E85618" w:rsidP="00205854">
      <w:pPr>
        <w:pStyle w:val="NormalHanging12a"/>
      </w:pPr>
      <w:r w:rsidRPr="00D86BCC">
        <w:lastRenderedPageBreak/>
        <w:t>C.</w:t>
      </w:r>
      <w:r w:rsidRPr="00D86BCC">
        <w:tab/>
        <w:t>ker bi lahko sistem vodilnih kandidatov spodbudil evropsko javno razpravo in okrepil vlogo evropskih političnih strank;</w:t>
      </w:r>
    </w:p>
    <w:p w:rsidR="00E85618" w:rsidRPr="00D86BCC" w:rsidRDefault="00E85618" w:rsidP="003E5913">
      <w:pPr>
        <w:pStyle w:val="Normal6"/>
        <w:ind w:left="567" w:hanging="567"/>
      </w:pPr>
      <w:r w:rsidRPr="00D86BCC">
        <w:t>D.</w:t>
      </w:r>
      <w:r w:rsidRPr="00D86BCC">
        <w:tab/>
        <w:t xml:space="preserve">ker evropske volitve leta 2019 niso privedle do izbire predsednika Komisije prek sistema vodilnih kandidatov; ker je bila odsotnost reforme evropske volilne zakonodaje dodatna ovira za uspešno izvajanje postopka vodilnih kandidatov; ker sistem vodilnih kandidatov ni bil uveden, so bili številni volivci razočarani, njihovo zaupanje v proces pa je bilo omajano; ker je treba na evropskih volitvah </w:t>
      </w:r>
      <w:r w:rsidR="003E5913" w:rsidRPr="00D86BCC">
        <w:t xml:space="preserve">leta 2024 </w:t>
      </w:r>
      <w:r w:rsidRPr="00D86BCC">
        <w:t>preprečiti ponovno razočaranje; ker je za izvolitev predsednika Komisije potrebno zagotoviti podporo večine poslancev Evropskega parlamenta;</w:t>
      </w:r>
    </w:p>
    <w:p w:rsidR="00E85618" w:rsidRPr="00D86BCC" w:rsidRDefault="00E85618" w:rsidP="00E85618">
      <w:pPr>
        <w:pStyle w:val="Normal6"/>
        <w:ind w:left="567" w:hanging="567"/>
      </w:pPr>
      <w:r w:rsidRPr="00D86BCC">
        <w:t>E.</w:t>
      </w:r>
      <w:r w:rsidRPr="00D86BCC">
        <w:tab/>
        <w:t xml:space="preserve">ker mora za učinkovito izvajanje sistema vodilnih kandidatov Parlament pred predlogom Evropskega sveta imenovati skupnega kandidata za predsednika Komisije; </w:t>
      </w:r>
    </w:p>
    <w:p w:rsidR="00E85618" w:rsidRPr="00D86BCC" w:rsidRDefault="00E85618" w:rsidP="00E85618">
      <w:pPr>
        <w:pStyle w:val="NormalHanging12a"/>
      </w:pPr>
      <w:r w:rsidRPr="00D86BCC">
        <w:t>F.</w:t>
      </w:r>
      <w:r w:rsidRPr="00D86BCC">
        <w:tab/>
        <w:t xml:space="preserve">ker številne države članice še vedno niso odpravile dolgotrajnih ovir in niso poskrbele za ustrezne ureditve, ki bi omogočile glasovanje invalidnim državljanom, s čimer so preprečile konstruktivno sodelovanje in zastopanost teh državljanov v demokratičnih procesih; </w:t>
      </w:r>
    </w:p>
    <w:p w:rsidR="00E85618" w:rsidRPr="00D86BCC" w:rsidRDefault="00E85618" w:rsidP="00E85618">
      <w:pPr>
        <w:pStyle w:val="NormalHanging12a"/>
      </w:pPr>
      <w:r w:rsidRPr="00D86BCC">
        <w:t>G.</w:t>
      </w:r>
      <w:r w:rsidRPr="00D86BCC">
        <w:tab/>
        <w:t>ker neupravičene ovire za demokratično udeležbo, vključno s premajhno ozaveščenostjo o veljavnih pogojih in pravilih, še vedno ovirajo polno uveljavljanje volilnih pravic, ki jih pogodbe podeljujejo mobilnim državljanom na volitvah v Evropski parlament; ker je Komisija izdala zakonodajni predlog, ki obravnava nekatera od teh vprašanj;</w:t>
      </w:r>
    </w:p>
    <w:p w:rsidR="00E85618" w:rsidRPr="00D86BCC" w:rsidRDefault="00E85618" w:rsidP="00E85618">
      <w:pPr>
        <w:pStyle w:val="NormalHanging12a"/>
      </w:pPr>
      <w:r w:rsidRPr="00D86BCC">
        <w:t>H.</w:t>
      </w:r>
      <w:r w:rsidRPr="00D86BCC">
        <w:tab/>
        <w:t xml:space="preserve">ker politične kampanje za evropske volitve, ki potekajo v državah članicah, prepogosto niso dovolj „evropske“, temveč v njih prevladujejo politične razprave izključno nacionalne, regionalne in lokalne narave; ker so politične stranke in kandidati odgovorni za ustrezno obveščanje državljanov o političnih izzivih na ravni EU; </w:t>
      </w:r>
    </w:p>
    <w:p w:rsidR="00E85618" w:rsidRPr="00D86BCC" w:rsidRDefault="00E85618" w:rsidP="003E5913">
      <w:pPr>
        <w:pStyle w:val="Normal12a24b"/>
      </w:pPr>
      <w:r w:rsidRPr="00D86BCC">
        <w:rPr>
          <w:rStyle w:val="BoldItalic"/>
        </w:rPr>
        <w:t>Krepitev evropske demokracije na volitvah</w:t>
      </w:r>
      <w:r w:rsidR="003E5913" w:rsidRPr="00D86BCC">
        <w:rPr>
          <w:rStyle w:val="BoldItalic"/>
        </w:rPr>
        <w:t xml:space="preserve"> leta 2024</w:t>
      </w:r>
    </w:p>
    <w:p w:rsidR="00E85618" w:rsidRPr="00D86BCC" w:rsidRDefault="00E85618" w:rsidP="00E85618">
      <w:pPr>
        <w:pStyle w:val="NormalHanging12a"/>
      </w:pPr>
      <w:r w:rsidRPr="00D86BCC">
        <w:t>1.</w:t>
      </w:r>
      <w:r w:rsidRPr="00D86BCC">
        <w:tab/>
        <w:t>je zadovoljen, da je bila udeležba na evropskih volitvah leta 2019 večja, in upa, da mu jo bo uspelo na evropskih volitvah leta 2024 še povečati; poudarja, kako pomembno je povečati udeležbo na volitvah; ugotavlja, da so potrebna nadaljnja prizadevanja za povečanje udeležbe mobilnih državljanov; obžaluje, da Svet ni dosegel napredka pri sprejetju nove evropske volilne zakonodaje, ki jo je Evropski parlament sprejel 3. maja 2022; poziva Svet k hitri odobritvi te zakonodaje; pričakuje, da bo Svet s soglasjem dosegel kompromis o celotnem predlogu Parlamenta;</w:t>
      </w:r>
    </w:p>
    <w:p w:rsidR="00E85618" w:rsidRPr="00D86BCC" w:rsidRDefault="00E85618" w:rsidP="00E85618">
      <w:pPr>
        <w:pStyle w:val="NormalHanging12a"/>
      </w:pPr>
      <w:r w:rsidRPr="00D86BCC">
        <w:t>2.</w:t>
      </w:r>
      <w:r w:rsidRPr="00D86BCC">
        <w:tab/>
        <w:t>poudarja, da imajo evropske politične stranke in vsi pomembni deležniki družbe pomembno vlogo pri razpravi o vprašanjih evropske javne politike in pri oblikovanju evropske politične zavesti; obžaluje pa, da zaradi omejitev sedanjega regulativnega okvira EU in nacionalnih regulativnih okvirov evropske politične stranke ne morejo polno sodelovati v evropskih volilnih kampanjah; spodbuja evropske politične stranke, naj izvajajo lastne kampanje za evropske volitve; poziva nacionalne in evropske politične stranke, po potrebi pa tudi države članice, naj:</w:t>
      </w:r>
    </w:p>
    <w:p w:rsidR="00E85618" w:rsidRPr="00D86BCC" w:rsidRDefault="00E85618" w:rsidP="00E85618">
      <w:pPr>
        <w:pStyle w:val="NormalHanging12a"/>
        <w:ind w:left="1134"/>
      </w:pPr>
      <w:r w:rsidRPr="00D86BCC">
        <w:t>–</w:t>
      </w:r>
      <w:r w:rsidRPr="00D86BCC">
        <w:tab/>
        <w:t>izvajajo evropske volilne kampanje v skladu z vrednotami Unije</w:t>
      </w:r>
      <w:r w:rsidR="003A0CEC" w:rsidRPr="00D86BCC">
        <w:t>,</w:t>
      </w:r>
    </w:p>
    <w:p w:rsidR="00E85618" w:rsidRPr="00D86BCC" w:rsidRDefault="00E85618" w:rsidP="00E85618">
      <w:pPr>
        <w:pStyle w:val="NormalHanging12a"/>
        <w:ind w:left="1134"/>
      </w:pPr>
      <w:r w:rsidRPr="00D86BCC">
        <w:t>–</w:t>
      </w:r>
      <w:r w:rsidRPr="00D86BCC">
        <w:tab/>
        <w:t>spoštujejo demokratične standarde in notranja pravila o strankarski demokraciji, in s tem poskrbijo zlasti za to, da bo imenovanje kandidatov potekalo na demokratičen način, vključno z vodilnimi kandidati za predsednika Evropske komisije</w:t>
      </w:r>
      <w:r w:rsidR="003A0CEC" w:rsidRPr="00D86BCC">
        <w:t>,</w:t>
      </w:r>
    </w:p>
    <w:p w:rsidR="00E85618" w:rsidRPr="00D86BCC" w:rsidRDefault="00E85618" w:rsidP="00E85618">
      <w:pPr>
        <w:pStyle w:val="NormalHanging12a"/>
        <w:ind w:left="1134"/>
      </w:pPr>
      <w:r w:rsidRPr="00D86BCC">
        <w:lastRenderedPageBreak/>
        <w:t>–</w:t>
      </w:r>
      <w:r w:rsidRPr="00D86BCC">
        <w:tab/>
        <w:t>pravočasno pripravijo volilne programe pred začetkom volitev</w:t>
      </w:r>
      <w:r w:rsidR="003A0CEC" w:rsidRPr="00D86BCC">
        <w:t>,</w:t>
      </w:r>
    </w:p>
    <w:p w:rsidR="00E85618" w:rsidRPr="00D86BCC" w:rsidRDefault="00E85618" w:rsidP="00E85618">
      <w:pPr>
        <w:pStyle w:val="NormalHanging12a"/>
        <w:ind w:left="1134"/>
      </w:pPr>
      <w:r w:rsidRPr="00D86BCC">
        <w:t>–</w:t>
      </w:r>
      <w:r w:rsidRPr="00D86BCC">
        <w:tab/>
        <w:t>povečajo prepoznavnost evropskih političnih strank v javnih razpravah in medijskih kampanjah, vključno z njihovimi imeni in/ali logotipi</w:t>
      </w:r>
      <w:r w:rsidR="003A0CEC" w:rsidRPr="00D86BCC">
        <w:t>,</w:t>
      </w:r>
    </w:p>
    <w:p w:rsidR="00E85618" w:rsidRPr="00D86BCC" w:rsidRDefault="00E85618" w:rsidP="00E85618">
      <w:pPr>
        <w:pStyle w:val="NormalHanging12a"/>
        <w:ind w:left="1134"/>
      </w:pPr>
      <w:r w:rsidRPr="00D86BCC">
        <w:t>–</w:t>
      </w:r>
      <w:r w:rsidRPr="00D86BCC">
        <w:tab/>
        <w:t>v svojih javnih sporočilih dosledno navajajo svoje evropske kolege</w:t>
      </w:r>
      <w:r w:rsidR="003A0CEC" w:rsidRPr="00D86BCC">
        <w:t>,</w:t>
      </w:r>
    </w:p>
    <w:p w:rsidR="00E85618" w:rsidRPr="00D86BCC" w:rsidRDefault="00E85618" w:rsidP="00E85618">
      <w:pPr>
        <w:pStyle w:val="NormalHanging12a"/>
        <w:ind w:left="1134"/>
      </w:pPr>
      <w:r w:rsidRPr="00D86BCC">
        <w:t>–</w:t>
      </w:r>
      <w:r w:rsidRPr="00D86BCC">
        <w:tab/>
        <w:t>podprejo imena in/ali logotipe evropskih političnih strank, ki bodo vidni na glasovnicah in gradivu za kampanje</w:t>
      </w:r>
      <w:r w:rsidR="003A0CEC" w:rsidRPr="00D86BCC">
        <w:t>,</w:t>
      </w:r>
    </w:p>
    <w:p w:rsidR="00E85618" w:rsidRPr="00D86BCC" w:rsidRDefault="00E85618" w:rsidP="00E85618">
      <w:pPr>
        <w:pStyle w:val="NormalHanging12a"/>
        <w:ind w:left="1134"/>
      </w:pPr>
      <w:r w:rsidRPr="00D86BCC">
        <w:t>–</w:t>
      </w:r>
      <w:r w:rsidRPr="00D86BCC">
        <w:tab/>
        <w:t>ozaveščajo o novih pravilih za evropske politične stranke in evropske politične fundacije še pred začetkom njihove veljavnosti</w:t>
      </w:r>
      <w:r w:rsidR="003A0CEC" w:rsidRPr="00D86BCC">
        <w:t>,</w:t>
      </w:r>
    </w:p>
    <w:p w:rsidR="00E85618" w:rsidRPr="00D86BCC" w:rsidRDefault="00E85618" w:rsidP="00E85618">
      <w:pPr>
        <w:pStyle w:val="NormalHanging12a"/>
        <w:ind w:left="1134"/>
      </w:pPr>
      <w:r w:rsidRPr="00D86BCC">
        <w:t>–</w:t>
      </w:r>
      <w:r w:rsidRPr="00D86BCC">
        <w:tab/>
        <w:t>se dogovorijo o tem, kako ravnati v povolilnem postopku, vključno s pogajanji o predsednikih institucij Unije;</w:t>
      </w:r>
    </w:p>
    <w:p w:rsidR="00E85618" w:rsidRPr="00D86BCC" w:rsidRDefault="00E85618" w:rsidP="003A0CEC">
      <w:pPr>
        <w:pStyle w:val="NormalHanging12a"/>
      </w:pPr>
      <w:r w:rsidRPr="00D86BCC">
        <w:t>3.</w:t>
      </w:r>
      <w:r w:rsidRPr="00D86BCC">
        <w:tab/>
        <w:t>podpira akcijski načrt za evropske kampanje (E-CAP), ki ga je pripravil Organ za politične stranke in evropske politične fundacije, zlasti kar zadeva prepoznavnost vodilnih kandidatov in evropskih političnih strank; poudarja pomen dela tega organa pri obveščanju državljanov;</w:t>
      </w:r>
    </w:p>
    <w:p w:rsidR="00E85618" w:rsidRPr="00D86BCC" w:rsidRDefault="00E85618" w:rsidP="00E85618">
      <w:pPr>
        <w:pStyle w:val="NormalHanging12a"/>
      </w:pPr>
      <w:r w:rsidRPr="00D86BCC">
        <w:t>4.</w:t>
      </w:r>
      <w:r w:rsidRPr="00D86BCC">
        <w:tab/>
        <w:t xml:space="preserve">obžaluje, da na evropskih volitvah leta 2019 ni bil uveden sistem vodilnih kandidatov za izvolitev predsednika Evropske komisije; ponovno obžaluje, da Evropski svet in Evropska komisija, ki sta se zavezala, da bosta izboljšala evropsko demokracijo, od leta 2019 nista dosegla napredka v zvezi s tem vprašanjem; meni, da je potrebna jasna in verodostojna povezava med izbiro volivcev in izvolitvijo predsednika Komisije; poziva evropske politične stranke, nacionalne politične stranke in nacionalne vlade, naj si skupaj prizadevajo, da bo na naslednjih volitvah to uresničeno; poudarja, da je izvolitev predsednika Komisije odvisna od podpore večine poslancev Evropskega parlamenta, tako da se volilni rezultati v celoti upoštevajo, kot je predvideno v Lizbonski pogodbi; </w:t>
      </w:r>
    </w:p>
    <w:p w:rsidR="00E85618" w:rsidRPr="00D86BCC" w:rsidRDefault="00E85618" w:rsidP="00E85618">
      <w:pPr>
        <w:pStyle w:val="NormalHanging12a"/>
      </w:pPr>
      <w:r w:rsidRPr="00D86BCC">
        <w:t>5.</w:t>
      </w:r>
      <w:r w:rsidRPr="00D86BCC">
        <w:tab/>
        <w:t>poziva Evropski svet, naj evropskim državljanom zagotovi gotovost glede sistema vodilnih kandidatov in ustavi dogovarjanje za zaprtimi vrati; poziva Evropski svet, naj v ta namen dovolj zgodaj začne posvetovanja in tako poskrbi za izvajanje načela vodilnih kandidatov glede na izid evropskih volitev;</w:t>
      </w:r>
    </w:p>
    <w:p w:rsidR="00E85618" w:rsidRPr="00D86BCC" w:rsidRDefault="00E85618" w:rsidP="00E85618">
      <w:pPr>
        <w:pStyle w:val="NormalHanging12a"/>
      </w:pPr>
      <w:r w:rsidRPr="00D86BCC">
        <w:t>6.</w:t>
      </w:r>
      <w:r w:rsidRPr="00D86BCC">
        <w:tab/>
        <w:t xml:space="preserve">pričakuje, da bodo vse evropske politične stranke svoje kandidate za mesto predsednika Komisije pravočasno imenovale vsaj 12 tednov pred dnevom volitev; </w:t>
      </w:r>
    </w:p>
    <w:p w:rsidR="00E85618" w:rsidRPr="00D86BCC" w:rsidRDefault="00E85618" w:rsidP="00E85618">
      <w:pPr>
        <w:pStyle w:val="NormalHanging12a"/>
      </w:pPr>
      <w:r w:rsidRPr="00D86BCC">
        <w:t>7.</w:t>
      </w:r>
      <w:r w:rsidRPr="00D86BCC">
        <w:tab/>
        <w:t>poziva k sklenitvi medinstitucionalnega sporazuma o sistemu vodilnih kandidatov med Parlamentom in Evropskim svetom v okviru člena 17(7) PEU; poziva predsednico Evropskega parlamenta, naj takoj začne pripravljalno delo, ki bo omogočilo sklenitev tega sporazuma; meni, da bi morali vodilni kandidati ter evropske politične stranke in njihove parlamentarne skupine takoj po naslednjih evropskih volitvah začeti pogajanja in se v imenu Evropskega parlamenta dogovoriti o skupnem kandidatu za predsednika Komisije, pred predložitvijo predloga Evropskega sveta;</w:t>
      </w:r>
    </w:p>
    <w:p w:rsidR="00E85618" w:rsidRPr="00D86BCC" w:rsidRDefault="00E85618" w:rsidP="00E85618">
      <w:pPr>
        <w:pStyle w:val="NormalHanging12a"/>
      </w:pPr>
      <w:r w:rsidRPr="00D86BCC">
        <w:t>8.</w:t>
      </w:r>
      <w:r w:rsidRPr="00D86BCC">
        <w:tab/>
        <w:t>meni, da mora pogajanja za določitev skupnega kandidata z največjo večino najprej voditi vodilni kandidat evropske politične stranke, ki je na volitvah v Evropski parlament pridobila največji delež sedežev, kasneje, po potrebi, pa drugi vodilni kandidati, povezani s temi prizadevanji, sorazmerno z deležem sedežev, ki so jih pridobile njihove evropske politične stranke; predlaga, naj bo za usmerjanje tega procesa po potrebi na voljo predsednik Evropskega parlamenta;</w:t>
      </w:r>
    </w:p>
    <w:p w:rsidR="00E85618" w:rsidRPr="00D86BCC" w:rsidRDefault="00E85618" w:rsidP="00E85618">
      <w:pPr>
        <w:pStyle w:val="NormalHanging12a"/>
      </w:pPr>
      <w:r w:rsidRPr="00D86BCC">
        <w:lastRenderedPageBreak/>
        <w:t>9.</w:t>
      </w:r>
      <w:r w:rsidRPr="00D86BCC">
        <w:tab/>
        <w:t>poudarja, da bo imel predsednik Evropskega parlamenta pravico, da Evropskemu svetu sporoči ime skupnega kandidata Parlamenta za položaj predsednika Evropske komisije;</w:t>
      </w:r>
    </w:p>
    <w:p w:rsidR="00E85618" w:rsidRPr="00D86BCC" w:rsidRDefault="00E85618" w:rsidP="00E85618">
      <w:pPr>
        <w:pStyle w:val="NormalHanging12a"/>
      </w:pPr>
      <w:r w:rsidRPr="00D86BCC">
        <w:t>10.</w:t>
      </w:r>
      <w:r w:rsidRPr="00D86BCC">
        <w:tab/>
        <w:t>priporoča, da se mora predsednik Evropskega sveta, če ni skupnega kandidata Evropskega parlamenta za predsednika Komisije, pred predložitvijo predloga Evropskega sveta Evropskemu parlamentu posvetovati s predsednikom Evropskega parlamenta, vodilnimi kandidati, predsedniki evropskih političnih strank in njihovimi parlamentarnimi skupinami;</w:t>
      </w:r>
    </w:p>
    <w:p w:rsidR="00E85618" w:rsidRPr="00D86BCC" w:rsidRDefault="00E85618" w:rsidP="00E85618">
      <w:pPr>
        <w:pStyle w:val="NormalHanging12a"/>
      </w:pPr>
      <w:r w:rsidRPr="00D86BCC">
        <w:t>11.</w:t>
      </w:r>
      <w:r w:rsidRPr="00D86BCC">
        <w:tab/>
        <w:t>zato meni, da bi moral Evropski svet v skladu z ustreznimi posvetovanji iz člena 17(7) PEU in načelom lojalnega sodelovanja počakati s predlogom za predsednika Evropske komisije, dokler Evropski parlament ne predloži skupnega kandidata;</w:t>
      </w:r>
    </w:p>
    <w:p w:rsidR="00E85618" w:rsidRPr="00D86BCC" w:rsidRDefault="00E85618" w:rsidP="00E85618">
      <w:pPr>
        <w:pStyle w:val="NormalHanging12a"/>
      </w:pPr>
      <w:r w:rsidRPr="00D86BCC">
        <w:t>12.</w:t>
      </w:r>
      <w:r w:rsidRPr="00D86BCC">
        <w:tab/>
        <w:t>opozarja na pravico Evropskega parlamenta, da izbere svojega predsednika;</w:t>
      </w:r>
    </w:p>
    <w:p w:rsidR="00E85618" w:rsidRPr="00D86BCC" w:rsidRDefault="00E85618" w:rsidP="00E85618">
      <w:pPr>
        <w:pStyle w:val="NormalHanging12a"/>
      </w:pPr>
      <w:r w:rsidRPr="00D86BCC">
        <w:t>13.</w:t>
      </w:r>
      <w:r w:rsidRPr="00D86BCC">
        <w:tab/>
        <w:t>pričakuje, da bodo evropske politične stranke in njihove parlamentarne skupine za parlamentarno obdobje 2024–2029 sprejele zakonodajni sporazum, da bi si tako pred imenovanjem Komisije zagotovile večino v Parlamentu, ki bo podlaga za delo Parlamenta, evropskim volivcem pa jamstvo za usklajeno nadaljevanje dela po volitvah; vsak kandidat za Evropsko komisijo mora upoštevati ta „zakonodajni sporazum“, da bi dobil večinsko podporo Parlamenta; ugotavlja, da je široka politična podpora ključnega pomena za izvajanje takšnega sporazuma;</w:t>
      </w:r>
    </w:p>
    <w:p w:rsidR="00E85618" w:rsidRPr="00D86BCC" w:rsidRDefault="00E85618" w:rsidP="00E85618">
      <w:pPr>
        <w:pStyle w:val="NormalHanging12a"/>
      </w:pPr>
      <w:r w:rsidRPr="00D86BCC">
        <w:t>14.</w:t>
      </w:r>
      <w:r w:rsidRPr="00D86BCC">
        <w:tab/>
        <w:t>meni, da bi bile z uvedbo enotnega skupnega evropskega volilnega dne vseevropske volitve bolj usklajene;</w:t>
      </w:r>
    </w:p>
    <w:p w:rsidR="00E85618" w:rsidRPr="00D86BCC" w:rsidRDefault="00E85618" w:rsidP="00E85618">
      <w:pPr>
        <w:pStyle w:val="NormalHanging12a"/>
      </w:pPr>
      <w:r w:rsidRPr="00D86BCC">
        <w:t>15.</w:t>
      </w:r>
      <w:r w:rsidRPr="00D86BCC">
        <w:tab/>
        <w:t>spominja, da je bila Parlamentu s Pogodbama podeljena pristojnost za politični nadzor; poudarja, da je odgovornost Komisije Parlamentu pomembno načelo notranjega demokratičnega nadzora; opozarja, da so predstavitve kandidatov za komisarje in kolegija komisarjev ključni korak k nadaljnji demokratizaciji postopka odločanja EU in postajajo vse pomembnejše kot sredstvo, s katerim lahko Parlament prevzame večjo vlogo pri določanju agende na ravni EU;</w:t>
      </w:r>
    </w:p>
    <w:p w:rsidR="00E85618" w:rsidRPr="00D86BCC" w:rsidRDefault="00E85618" w:rsidP="00E85618">
      <w:pPr>
        <w:pStyle w:val="Normal12a24b"/>
      </w:pPr>
      <w:r w:rsidRPr="00D86BCC">
        <w:rPr>
          <w:rStyle w:val="BoldItalic"/>
        </w:rPr>
        <w:t>Državljanska udeležba in volilna pravica</w:t>
      </w:r>
    </w:p>
    <w:p w:rsidR="00E85618" w:rsidRPr="00D86BCC" w:rsidRDefault="00E85618" w:rsidP="00E85618">
      <w:pPr>
        <w:pStyle w:val="NormalHanging12a"/>
      </w:pPr>
      <w:r w:rsidRPr="00D86BCC">
        <w:t>16.</w:t>
      </w:r>
      <w:r w:rsidRPr="00D86BCC">
        <w:tab/>
        <w:t>meni, da je treba obvezno poskrbeti, da bodo lahko vsi državljani Unije, ki imajo aktivno in pasivno volilno pravico, tudi mobilni državljani Unije, invalidi in brezdomci, to pravico uveljavljali;</w:t>
      </w:r>
    </w:p>
    <w:p w:rsidR="00E85618" w:rsidRPr="00D86BCC" w:rsidRDefault="00E85618" w:rsidP="00E85618">
      <w:pPr>
        <w:pStyle w:val="NormalHanging12a"/>
      </w:pPr>
      <w:r w:rsidRPr="00D86BCC">
        <w:t>17.</w:t>
      </w:r>
      <w:r w:rsidRPr="00D86BCC">
        <w:tab/>
        <w:t>poziva države članice, naj poskrbijo za dostopnost volitev z ukrepi za dostopnost informacij in dostopnim glasovanjem, v ta namen pa na primer uporabijo podporne tehnologije, formate in tehnike, kot so brajica, kode QR, veliki tisk, zvočne informacije, tipni naglasi; lahko berljive informacije in sporazumevanje z znakovnim jezikom; meni, da so kampanje ozaveščanja javnosti ključnega pomena za povečanje udeležbe, in poziva države članice, naj si po najboljših močeh prizadevajo za to, tudi z vključevanjem organizacij civilne družbe;</w:t>
      </w:r>
    </w:p>
    <w:p w:rsidR="00E85618" w:rsidRPr="00D86BCC" w:rsidRDefault="00E85618" w:rsidP="00E85618">
      <w:pPr>
        <w:pStyle w:val="NormalHanging12a"/>
      </w:pPr>
      <w:r w:rsidRPr="00D86BCC">
        <w:t>18.</w:t>
      </w:r>
      <w:r w:rsidRPr="00D86BCC">
        <w:tab/>
        <w:t>meni, da je dostop do informacij o volilni kampanji nujen pogoj za izboljšanje udeležbe državljanov na volitvah; poziva države članice, naj svoje nacionalne medije spodbujajo k poročanju o volitvah tako, da bodo lahko evropski državljani uveljavljali svojo volilno pravico in zaznali evropsko razsežnost svoje izbire, tudi na podeželju;</w:t>
      </w:r>
    </w:p>
    <w:p w:rsidR="00205854" w:rsidRPr="00D86BCC" w:rsidRDefault="00205854" w:rsidP="00F6196D">
      <w:pPr>
        <w:pStyle w:val="NormalHanging12a"/>
      </w:pPr>
      <w:r w:rsidRPr="00D86BCC">
        <w:lastRenderedPageBreak/>
        <w:t>1</w:t>
      </w:r>
      <w:r w:rsidR="00F6196D" w:rsidRPr="00D86BCC">
        <w:t>9</w:t>
      </w:r>
      <w:r w:rsidRPr="00D86BCC">
        <w:t>.</w:t>
      </w:r>
      <w:r w:rsidRPr="00D86BCC">
        <w:tab/>
        <w:t>meni, da institucionalna informacijska kampanja Parlamenta v sodelovanju z organizacijami civilne družbe prispeva k razpravi o vprašanjih evropske javne politike in oblikovanju evropske politične zavesti o parlamentarni demokraciji ter podpira volilno kampanjo, ki jo vodijo vse evropske politične stranke; pozdravlja usklajena prizadevanja vseh institucij EU v zvezi s tem;</w:t>
      </w:r>
    </w:p>
    <w:p w:rsidR="00E85618" w:rsidRPr="00D86BCC" w:rsidRDefault="001563BA" w:rsidP="00E85618">
      <w:pPr>
        <w:pStyle w:val="NormalHanging12a"/>
      </w:pPr>
      <w:r w:rsidRPr="00D86BCC">
        <w:t>20</w:t>
      </w:r>
      <w:r w:rsidR="00E85618" w:rsidRPr="00D86BCC">
        <w:t>.</w:t>
      </w:r>
      <w:r w:rsidR="00E85618" w:rsidRPr="00D86BCC">
        <w:tab/>
        <w:t>znova poziva države članice, naj vsem državljanom Unije, ki živijo ali delajo v tretji državi, omogočijo, da na volitvah v Evropski parlament oddajo svoj glas; poziva države članice, naj sodelujejo z Evropskim parlamentom in Evropsko službo za zunanje delovanje in državljane Unije v tretjih državah obveščajo o evropskih volitvah, s čimer jim bodo olajšale udeležbo na teh volitvah;</w:t>
      </w:r>
      <w:r w:rsidR="00205854" w:rsidRPr="00D86BCC">
        <w:t xml:space="preserve"> poziva visokega predstavnika Unije za zunanje zadeve in varnostno politiko, naj zunanje ministre držav članic spodbuja k izmenjavi primerov dobre prakse na področju informacijskih kampanj in olajšanju postopkov glasovanja iz tujine, vključno z vzpostavitvijo dostopnih volišč zunaj EU in uporabo glasovanja po pošti ali drugih oblik glasovanja na daljavo;</w:t>
      </w:r>
    </w:p>
    <w:p w:rsidR="00E85618" w:rsidRPr="00D86BCC" w:rsidRDefault="001563BA" w:rsidP="00E85618">
      <w:pPr>
        <w:pStyle w:val="NormalHanging12a"/>
      </w:pPr>
      <w:r w:rsidRPr="00D86BCC">
        <w:t>21</w:t>
      </w:r>
      <w:r w:rsidR="00E85618" w:rsidRPr="00D86BCC">
        <w:t>.</w:t>
      </w:r>
      <w:r w:rsidR="00E85618" w:rsidRPr="00D86BCC">
        <w:tab/>
        <w:t>obžaluje, da zaradi pomanjkanja napredka v Svetu v zvezi s predlogom Komisije za direktivo Sveta o podrobni ureditvi uresničevanja aktivne in pasivne volilne pravice na volitvah v Evropski parlament za mobilne državljane Unije novosti, ki jih predlagata Komisija in Parlament, ne bodo začele veljati pravočasno pred volitvami leta 2024;</w:t>
      </w:r>
    </w:p>
    <w:p w:rsidR="00E85618" w:rsidRPr="00D86BCC" w:rsidRDefault="001563BA" w:rsidP="00E85618">
      <w:pPr>
        <w:pStyle w:val="NormalHanging12a"/>
      </w:pPr>
      <w:r w:rsidRPr="00D86BCC">
        <w:t>22</w:t>
      </w:r>
      <w:r w:rsidR="00E85618" w:rsidRPr="00D86BCC">
        <w:t>.</w:t>
      </w:r>
      <w:r w:rsidR="00E85618" w:rsidRPr="00D86BCC">
        <w:tab/>
        <w:t>spodbuja uvedbo glasovanja po pošti, saj bi tako lahko glas oddali tudi državljani Unije, ki na dan volitev ne morejo iti na volišče; se poleg tega zavzema za uvedbo dopolnilnih orodij za lažje glasovanje, kot so predhodno fizično glasovanje in glasovanje prek pooblaščenca ter elektronsko in spletno glasovanje;</w:t>
      </w:r>
    </w:p>
    <w:p w:rsidR="00E85618" w:rsidRPr="00D86BCC" w:rsidRDefault="001563BA" w:rsidP="00E85618">
      <w:pPr>
        <w:pStyle w:val="NormalHanging12a"/>
      </w:pPr>
      <w:r w:rsidRPr="00D86BCC">
        <w:t>23</w:t>
      </w:r>
      <w:r w:rsidR="00E85618" w:rsidRPr="00D86BCC">
        <w:t>.</w:t>
      </w:r>
      <w:r w:rsidR="00E85618" w:rsidRPr="00D86BCC">
        <w:tab/>
        <w:t>meni, da je enakost spolov ključni element za izboljšanje zastopanosti na volitvah; pozdravlja napredek v zvezi z uravnoteženo zastopanostjo spolov v Parlamentu po evropskih volitvah leta 2019, a poudarja, da so med državami članicami še vedno razlike, ko gre za zastopanost žensk; v zvezi s tem spodbuja izvajanje določb o novi evropski volilni zakonodaji, ki jih je Parlament sprejel 3. maja 2022;</w:t>
      </w:r>
    </w:p>
    <w:p w:rsidR="00E85618" w:rsidRPr="00D86BCC" w:rsidRDefault="001563BA" w:rsidP="00E85618">
      <w:pPr>
        <w:pStyle w:val="NormalHanging12a"/>
      </w:pPr>
      <w:r w:rsidRPr="00D86BCC">
        <w:t>24</w:t>
      </w:r>
      <w:r w:rsidR="00E85618" w:rsidRPr="00D86BCC">
        <w:t>.</w:t>
      </w:r>
      <w:r w:rsidR="00E85618" w:rsidRPr="00D86BCC">
        <w:tab/>
        <w:t>meni, da bi morale države članice razmisliti o tem, da bi uskladile in znižale starost za volilno pravico in najnižjo starost za kandidaturo, kot je navedeno v predlogu volilne zakonodaje in sklepih Konference o prihodnosti Evrope;</w:t>
      </w:r>
    </w:p>
    <w:p w:rsidR="00E85618" w:rsidRPr="00D86BCC" w:rsidRDefault="00E85618" w:rsidP="00E85618">
      <w:pPr>
        <w:pStyle w:val="NormalHanging12a"/>
        <w:rPr>
          <w:rStyle w:val="BoldItalic"/>
        </w:rPr>
      </w:pPr>
      <w:r w:rsidRPr="00D86BCC">
        <w:rPr>
          <w:rStyle w:val="BoldItalic"/>
        </w:rPr>
        <w:t xml:space="preserve">Odpornost institucij </w:t>
      </w:r>
    </w:p>
    <w:p w:rsidR="00E85618" w:rsidRPr="00D86BCC" w:rsidRDefault="001563BA" w:rsidP="00E85618">
      <w:pPr>
        <w:pStyle w:val="NormalHanging12a"/>
      </w:pPr>
      <w:r w:rsidRPr="00D86BCC">
        <w:t>25</w:t>
      </w:r>
      <w:r w:rsidR="00E85618" w:rsidRPr="00D86BCC">
        <w:t>.</w:t>
      </w:r>
      <w:r w:rsidR="00E85618" w:rsidRPr="00D86BCC">
        <w:tab/>
        <w:t>meni, da so dezinformacije in tuje vmešavanje resen napad na integriteto volilnega procesa in evropsko demokracijo; poudarja, da imajo digitalne platforme bistveno vlogo v boju proti dezinformacijam;</w:t>
      </w:r>
    </w:p>
    <w:p w:rsidR="00E85618" w:rsidRPr="00D86BCC" w:rsidRDefault="001563BA" w:rsidP="00E85618">
      <w:pPr>
        <w:pStyle w:val="NormalHanging12a"/>
      </w:pPr>
      <w:r w:rsidRPr="00D86BCC">
        <w:t>26</w:t>
      </w:r>
      <w:r w:rsidR="00E85618" w:rsidRPr="00D86BCC">
        <w:t>.</w:t>
      </w:r>
      <w:r w:rsidR="00E85618" w:rsidRPr="00D86BCC">
        <w:tab/>
        <w:t>je seznanjen, da se institucije EU borijo proti dezinformacijam in tujemu vmešavanju, na primer s kodeksom ravnanja glede dezinformacij iz leta 2022 in sistemom hitrega obveščanja; kljub temu poudarja, da so potrebni trdnejša varovala in odločnejši ukrepi proti dezinformacijam ter notranjemu in zunanjemu vmešavanju v volilni proces; se zavezuje, da bo okrepil svoja prizadevanja v boju proti poskusom tujega vmešavanja v Evropskem parlamentu;</w:t>
      </w:r>
    </w:p>
    <w:p w:rsidR="00E85618" w:rsidRPr="00D86BCC" w:rsidRDefault="001563BA" w:rsidP="00205854">
      <w:pPr>
        <w:pStyle w:val="NormalHanging12a"/>
      </w:pPr>
      <w:r w:rsidRPr="00D86BCC">
        <w:t>27</w:t>
      </w:r>
      <w:r w:rsidR="00E85618" w:rsidRPr="00D86BCC">
        <w:t>.</w:t>
      </w:r>
      <w:r w:rsidR="00E85618" w:rsidRPr="00D86BCC">
        <w:tab/>
        <w:t>opozarja na potekajoča medinstitucionalna pogajanja o predlogu uredbe Evropskega parlamenta in Sveta o evropskih političnih strankah in fundacijah ter poziva Komisijo in Svet, naj nadaljujeta medinstitucionalna pogajanja v duhu lojalnega sodelovanja</w:t>
      </w:r>
      <w:r w:rsidR="00205854" w:rsidRPr="00D86BCC">
        <w:t xml:space="preserve">; </w:t>
      </w:r>
      <w:r w:rsidR="00205854" w:rsidRPr="00D86BCC">
        <w:lastRenderedPageBreak/>
        <w:t xml:space="preserve">pozdravlja soglasje, ki sta ga </w:t>
      </w:r>
      <w:proofErr w:type="spellStart"/>
      <w:r w:rsidR="00205854" w:rsidRPr="00D86BCC">
        <w:t>sozakonodajalca</w:t>
      </w:r>
      <w:proofErr w:type="spellEnd"/>
      <w:r w:rsidR="00205854" w:rsidRPr="00D86BCC">
        <w:t xml:space="preserve"> dosegla glede predloga uredbe Evropskega parlamenta in Sveta o preglednosti in ciljanju v političnem oglaševanju; pozdravlja izvršljivost nekaterih njegovih določb, kot so določbe o nediskriminaciji, pred volitvami leta 2024; poziva države članice, naj v celoti izvajajo druge določbe uredbe, ko bodo začele veljati;</w:t>
      </w:r>
    </w:p>
    <w:p w:rsidR="00E85618" w:rsidRPr="00D86BCC" w:rsidRDefault="001563BA" w:rsidP="00E85618">
      <w:pPr>
        <w:pStyle w:val="NormalHanging12a"/>
      </w:pPr>
      <w:r w:rsidRPr="00D86BCC">
        <w:t>28</w:t>
      </w:r>
      <w:r w:rsidR="00E85618" w:rsidRPr="00D86BCC">
        <w:t>.</w:t>
      </w:r>
      <w:r w:rsidR="00E85618" w:rsidRPr="00D86BCC">
        <w:tab/>
        <w:t>opozarja, da je Parlament sprejel resolucijo in trenutno pripravlja predloge za spremembo Pogodb, med drugim za povečanje demokratične legitimnosti EU in omogočanje ustreznega nadaljnjega ukrepanja na podlagi predlogov, sprejetih na konferenci o prihodnosti Evrope; ugotavlja, da so volitve leta 2024 edinstvena priložnost za začetek vseevropske razprave o reformi Unije na podlagi predlogov za reformo Pogodb, ki jih je predložil Parlament; poziva Evropski svet, naj hitro sprejme stališče o organizaciji konvencije, potem ko bo Parlament sprejel svoje predloge; v zvezi s tem ponovno izraža podporo reformi Pogodb;</w:t>
      </w:r>
    </w:p>
    <w:p w:rsidR="00E85618" w:rsidRPr="00D86BCC" w:rsidRDefault="001563BA" w:rsidP="00D86BCC">
      <w:pPr>
        <w:pStyle w:val="NormalHanging12a"/>
      </w:pPr>
      <w:r w:rsidRPr="00D86BCC">
        <w:t>29</w:t>
      </w:r>
      <w:r w:rsidR="00E85618" w:rsidRPr="00D86BCC">
        <w:t>.</w:t>
      </w:r>
      <w:r w:rsidR="00E85618" w:rsidRPr="00D86BCC">
        <w:tab/>
        <w:t>poziva k reformi Pogodb</w:t>
      </w:r>
      <w:r w:rsidR="00D86BCC" w:rsidRPr="00D86BCC">
        <w:t xml:space="preserve"> ter</w:t>
      </w:r>
      <w:r w:rsidR="00E85618" w:rsidRPr="00D86BCC">
        <w:t xml:space="preserve"> poziva Svet in nazadnje Evropski svet, naj ukrepata na podlagi njegovega predloga za uporabo člena 48 PEU, da bi oblikovali konvencijo;</w:t>
      </w:r>
    </w:p>
    <w:p w:rsidR="00205854" w:rsidRPr="00D86BCC" w:rsidRDefault="001563BA" w:rsidP="00E85618">
      <w:pPr>
        <w:pStyle w:val="NormalHanging12a"/>
      </w:pPr>
      <w:r w:rsidRPr="00D86BCC">
        <w:t>30</w:t>
      </w:r>
      <w:r w:rsidR="00205854" w:rsidRPr="00D86BCC">
        <w:t>.</w:t>
      </w:r>
      <w:r w:rsidR="00205854" w:rsidRPr="00D86BCC">
        <w:tab/>
        <w:t>poudarja, da je treba volivcem zagotoviti, da so vse volitve svobodne in poštene, ter tako povečati njihovo zaupanje v volilne postopke; v zvezi s tem ugotavlja, da je OVSE od 6. do 9. novembra 2023 v štirih državah članicah izvedla misijo za ugotavljanje potreb, da bi pripravila misijo za opazovanje evropskih volitev; predlaga predsedstvu Sveta, naj spodbuja države članice, naj OVSE povabijo na opazovanje evropskih volitev in v celoti izkoristijo to možnost;</w:t>
      </w:r>
    </w:p>
    <w:p w:rsidR="00E85618" w:rsidRPr="00D86BCC" w:rsidRDefault="001563BA" w:rsidP="00E85618">
      <w:pPr>
        <w:pStyle w:val="NormalHanging12a"/>
      </w:pPr>
      <w:r w:rsidRPr="00D86BCC">
        <w:t>31</w:t>
      </w:r>
      <w:r w:rsidR="00E85618" w:rsidRPr="00D86BCC">
        <w:t>.</w:t>
      </w:r>
      <w:r w:rsidR="00E85618" w:rsidRPr="00D86BCC">
        <w:tab/>
        <w:t>poziva Odbor za ustavne zadeve, naj preuči, ali bi bilo mogoče nekatere določbe in priporočila iz te resolucije vključiti v poslovnik Parlamenta;</w:t>
      </w:r>
    </w:p>
    <w:p w:rsidR="00E85618" w:rsidRPr="00D86BCC" w:rsidRDefault="00E85618" w:rsidP="00E85618">
      <w:pPr>
        <w:pStyle w:val="NormalCenter12a"/>
      </w:pPr>
      <w:r w:rsidRPr="00D86BCC">
        <w:t>°</w:t>
      </w:r>
    </w:p>
    <w:p w:rsidR="00E85618" w:rsidRPr="00D86BCC" w:rsidRDefault="00E85618" w:rsidP="00E85618">
      <w:pPr>
        <w:pStyle w:val="NormalCenter12a"/>
      </w:pPr>
      <w:r w:rsidRPr="00D86BCC">
        <w:t>°</w:t>
      </w:r>
      <w:r w:rsidRPr="00D86BCC">
        <w:tab/>
        <w:t>°</w:t>
      </w:r>
    </w:p>
    <w:p w:rsidR="00E365E1" w:rsidRPr="00D86BCC" w:rsidRDefault="001563BA" w:rsidP="00517864">
      <w:pPr>
        <w:pStyle w:val="NormalHanging12a"/>
      </w:pPr>
      <w:r w:rsidRPr="00D86BCC">
        <w:t>32</w:t>
      </w:r>
      <w:r w:rsidR="00E85618" w:rsidRPr="00D86BCC">
        <w:t>.</w:t>
      </w:r>
      <w:r w:rsidR="00E85618" w:rsidRPr="00D86BCC">
        <w:tab/>
        <w:t>naroči svoji predsednici, naj to resolucijo posreduje Svetu in Komisiji.</w:t>
      </w:r>
      <w:bookmarkStart w:id="9" w:name="TextBodyEnd"/>
      <w:bookmarkEnd w:id="9"/>
    </w:p>
    <w:sectPr w:rsidR="00E365E1" w:rsidRPr="00D86BCC" w:rsidSect="00AD1A1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6B8" w:rsidRPr="00AD1A10" w:rsidRDefault="003F46B8">
      <w:r w:rsidRPr="00AD1A10">
        <w:separator/>
      </w:r>
    </w:p>
  </w:endnote>
  <w:endnote w:type="continuationSeparator" w:id="0">
    <w:p w:rsidR="003F46B8" w:rsidRPr="00AD1A10" w:rsidRDefault="003F46B8">
      <w:r w:rsidRPr="00AD1A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6B8" w:rsidRPr="00AD1A10" w:rsidRDefault="003F46B8">
      <w:r w:rsidRPr="00AD1A10">
        <w:separator/>
      </w:r>
    </w:p>
  </w:footnote>
  <w:footnote w:type="continuationSeparator" w:id="0">
    <w:p w:rsidR="003F46B8" w:rsidRPr="00AD1A10" w:rsidRDefault="003F46B8">
      <w:r w:rsidRPr="00AD1A10">
        <w:continuationSeparator/>
      </w:r>
    </w:p>
  </w:footnote>
  <w:footnote w:id="1">
    <w:p w:rsidR="00E85618" w:rsidRPr="00AD1A10" w:rsidRDefault="00E85618" w:rsidP="00AD1A10">
      <w:pPr>
        <w:pStyle w:val="FootnoteText"/>
        <w:ind w:left="567" w:hanging="567"/>
        <w:rPr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r w:rsidRPr="00AD1A10">
        <w:rPr>
          <w:sz w:val="24"/>
          <w:lang w:val="sl-SI"/>
        </w:rPr>
        <w:t>UL L 329, 30.12.1993, str. 34.</w:t>
      </w:r>
    </w:p>
  </w:footnote>
  <w:footnote w:id="2">
    <w:p w:rsidR="00E85618" w:rsidRPr="00AD1A10" w:rsidRDefault="00E85618" w:rsidP="00AD1A10">
      <w:pPr>
        <w:pStyle w:val="FootnoteText"/>
        <w:ind w:left="567" w:hanging="567"/>
        <w:rPr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r w:rsidRPr="00AD1A10">
        <w:rPr>
          <w:sz w:val="24"/>
          <w:lang w:val="sl-SI"/>
        </w:rPr>
        <w:t>UL C 75, 26.2.2016, str. 109.</w:t>
      </w:r>
    </w:p>
  </w:footnote>
  <w:footnote w:id="3">
    <w:p w:rsidR="00E85618" w:rsidRPr="00D86BCC" w:rsidRDefault="00E85618" w:rsidP="00AD1A10">
      <w:pPr>
        <w:pStyle w:val="FootnoteText"/>
        <w:ind w:left="567" w:hanging="567"/>
        <w:rPr>
          <w:color w:val="000000" w:themeColor="text1"/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r w:rsidR="003E5913" w:rsidRPr="00D86BCC">
        <w:rPr>
          <w:color w:val="000000" w:themeColor="text1"/>
          <w:sz w:val="24"/>
          <w:lang w:val="sl-SI"/>
        </w:rPr>
        <w:t>UL L 114 I, 4.5.2018, str. 1.</w:t>
      </w:r>
    </w:p>
  </w:footnote>
  <w:footnote w:id="4">
    <w:p w:rsidR="00E85618" w:rsidRPr="00AD1A10" w:rsidRDefault="00E85618" w:rsidP="00AD1A10">
      <w:pPr>
        <w:pStyle w:val="FootnoteText"/>
        <w:ind w:left="567" w:hanging="567"/>
        <w:rPr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r w:rsidRPr="00AD1A10">
        <w:rPr>
          <w:sz w:val="24"/>
          <w:lang w:val="sl-SI"/>
        </w:rPr>
        <w:t>UL L 178, 16.7.2018, str. 1.</w:t>
      </w:r>
    </w:p>
  </w:footnote>
  <w:footnote w:id="5">
    <w:p w:rsidR="00E85618" w:rsidRPr="00D86BCC" w:rsidRDefault="00E85618" w:rsidP="00AD1A10">
      <w:pPr>
        <w:pStyle w:val="FootnoteText"/>
        <w:ind w:left="567" w:hanging="567"/>
        <w:rPr>
          <w:color w:val="000000" w:themeColor="text1"/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hyperlink r:id="rId1" w:history="1">
        <w:r w:rsidRPr="00D86BCC">
          <w:rPr>
            <w:color w:val="000000" w:themeColor="text1"/>
            <w:sz w:val="24"/>
            <w:lang w:val="sl-SI"/>
          </w:rPr>
          <w:t>UL C 425, 20.10.2021, str. 98.</w:t>
        </w:r>
      </w:hyperlink>
    </w:p>
  </w:footnote>
  <w:footnote w:id="6">
    <w:p w:rsidR="00E85618" w:rsidRPr="00AD1A10" w:rsidRDefault="00E85618" w:rsidP="00AD1A10">
      <w:pPr>
        <w:pStyle w:val="FootnoteText"/>
        <w:ind w:left="567" w:hanging="567"/>
        <w:rPr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r w:rsidRPr="00AD1A10">
        <w:rPr>
          <w:sz w:val="24"/>
          <w:lang w:val="sl-SI"/>
        </w:rPr>
        <w:t>UL C 465, 6.12.2022, str. 171.</w:t>
      </w:r>
    </w:p>
  </w:footnote>
  <w:footnote w:id="7">
    <w:p w:rsidR="00E85618" w:rsidRPr="00AD1A10" w:rsidRDefault="00E85618" w:rsidP="00AD1A10">
      <w:pPr>
        <w:pStyle w:val="FootnoteText"/>
        <w:ind w:left="567" w:hanging="567"/>
        <w:rPr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r w:rsidRPr="00AD1A10">
        <w:rPr>
          <w:sz w:val="24"/>
          <w:lang w:val="sl-SI"/>
        </w:rPr>
        <w:t>UL C 125, 5.4.2023, str. 485.</w:t>
      </w:r>
    </w:p>
  </w:footnote>
  <w:footnote w:id="8">
    <w:p w:rsidR="00E85618" w:rsidRPr="00AD1A10" w:rsidRDefault="00E85618" w:rsidP="00AD1A10">
      <w:pPr>
        <w:pStyle w:val="FootnoteText"/>
        <w:ind w:left="567" w:hanging="567"/>
        <w:rPr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r w:rsidRPr="00AD1A10">
        <w:rPr>
          <w:sz w:val="24"/>
          <w:lang w:val="sl-SI"/>
        </w:rPr>
        <w:t>UL C 267, 28.7.2023, str. 36.</w:t>
      </w:r>
    </w:p>
  </w:footnote>
  <w:footnote w:id="9">
    <w:p w:rsidR="00D86BCC" w:rsidRPr="00D86BCC" w:rsidRDefault="00D86BCC" w:rsidP="00D86BCC">
      <w:pPr>
        <w:pStyle w:val="FootnoteText"/>
        <w:ind w:left="567" w:hanging="567"/>
        <w:rPr>
          <w:sz w:val="24"/>
          <w:szCs w:val="24"/>
          <w:lang w:val="sl-SI"/>
        </w:rPr>
      </w:pPr>
      <w:r w:rsidRPr="00D86BCC">
        <w:rPr>
          <w:rStyle w:val="FootnoteReference"/>
          <w:sz w:val="24"/>
          <w:szCs w:val="24"/>
        </w:rPr>
        <w:footnoteRef/>
      </w:r>
      <w:r w:rsidRPr="00D86BCC">
        <w:rPr>
          <w:sz w:val="24"/>
          <w:szCs w:val="24"/>
          <w:lang w:val="pl-PL"/>
        </w:rPr>
        <w:t xml:space="preserve"> </w:t>
      </w:r>
      <w:r w:rsidRPr="00D86BCC">
        <w:rPr>
          <w:sz w:val="24"/>
          <w:szCs w:val="24"/>
          <w:lang w:val="sl-SI"/>
        </w:rPr>
        <w:tab/>
      </w:r>
      <w:r w:rsidRPr="00D86BCC">
        <w:rPr>
          <w:sz w:val="24"/>
          <w:szCs w:val="24"/>
          <w:lang w:val="sl-SI"/>
        </w:rPr>
        <w:t>Sprejeta besedila, P9_TA(2023)0330.</w:t>
      </w:r>
    </w:p>
  </w:footnote>
  <w:footnote w:id="10">
    <w:p w:rsidR="00E85618" w:rsidRPr="00AD1A10" w:rsidRDefault="00E85618" w:rsidP="00AD1A10">
      <w:pPr>
        <w:pStyle w:val="FootnoteText"/>
        <w:ind w:left="567" w:hanging="567"/>
        <w:rPr>
          <w:sz w:val="24"/>
          <w:lang w:val="sl-SI"/>
        </w:rPr>
      </w:pPr>
      <w:r w:rsidRPr="00AD1A10">
        <w:rPr>
          <w:rStyle w:val="FootnoteReference"/>
          <w:sz w:val="24"/>
          <w:lang w:val="sl-SI"/>
        </w:rPr>
        <w:footnoteRef/>
      </w:r>
      <w:r w:rsidR="00AD1A10" w:rsidRPr="00AD1A10">
        <w:rPr>
          <w:sz w:val="24"/>
          <w:lang w:val="sl-SI"/>
        </w:rPr>
        <w:t xml:space="preserve"> </w:t>
      </w:r>
      <w:r w:rsidR="00AD1A10" w:rsidRPr="00AD1A10">
        <w:rPr>
          <w:sz w:val="24"/>
          <w:lang w:val="sl-SI"/>
        </w:rPr>
        <w:tab/>
      </w:r>
      <w:r w:rsidRPr="00AD1A10">
        <w:rPr>
          <w:sz w:val="24"/>
          <w:lang w:val="sl-SI"/>
        </w:rPr>
        <w:t>UL L 238, 27.9.2023, str. 114.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2/2023"/>
    <w:docVar w:name="dvlangue" w:val="SL"/>
    <w:docVar w:name="dvnumam" w:val="0"/>
    <w:docVar w:name="dvpe" w:val="751.801"/>
    <w:docVar w:name="dvrapporteur" w:val="Poročevalca: "/>
    <w:docVar w:name="dvtitre" w:val="Resolucija Evropskega parlamenta z dne xx. decembra 2023 o evropskih volitvah leta 2024(2023/2016(INI))"/>
  </w:docVars>
  <w:rsids>
    <w:rsidRoot w:val="003F46B8"/>
    <w:rsid w:val="00002272"/>
    <w:rsid w:val="00064002"/>
    <w:rsid w:val="000677B9"/>
    <w:rsid w:val="000831BA"/>
    <w:rsid w:val="000A42CC"/>
    <w:rsid w:val="000E7DD9"/>
    <w:rsid w:val="0010095E"/>
    <w:rsid w:val="00125B37"/>
    <w:rsid w:val="001563BA"/>
    <w:rsid w:val="00187494"/>
    <w:rsid w:val="001F32AE"/>
    <w:rsid w:val="00205854"/>
    <w:rsid w:val="002767FF"/>
    <w:rsid w:val="002B18FE"/>
    <w:rsid w:val="002B5493"/>
    <w:rsid w:val="00343214"/>
    <w:rsid w:val="00361C00"/>
    <w:rsid w:val="00395FA1"/>
    <w:rsid w:val="003A0CEC"/>
    <w:rsid w:val="003E15D4"/>
    <w:rsid w:val="003E5913"/>
    <w:rsid w:val="003F46B8"/>
    <w:rsid w:val="00411CCE"/>
    <w:rsid w:val="0041666E"/>
    <w:rsid w:val="00421060"/>
    <w:rsid w:val="00471C19"/>
    <w:rsid w:val="00481CE8"/>
    <w:rsid w:val="004867E3"/>
    <w:rsid w:val="00494A28"/>
    <w:rsid w:val="004C0004"/>
    <w:rsid w:val="004C5D52"/>
    <w:rsid w:val="0050519A"/>
    <w:rsid w:val="005072A1"/>
    <w:rsid w:val="00514517"/>
    <w:rsid w:val="00517864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A1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BCC"/>
    <w:rsid w:val="00D872DF"/>
    <w:rsid w:val="00D91E21"/>
    <w:rsid w:val="00DA7FCD"/>
    <w:rsid w:val="00E365E1"/>
    <w:rsid w:val="00E820A4"/>
    <w:rsid w:val="00E85618"/>
    <w:rsid w:val="00EB006A"/>
    <w:rsid w:val="00EB4772"/>
    <w:rsid w:val="00ED169E"/>
    <w:rsid w:val="00ED4235"/>
    <w:rsid w:val="00F04346"/>
    <w:rsid w:val="00F075DC"/>
    <w:rsid w:val="00F149E9"/>
    <w:rsid w:val="00F5134D"/>
    <w:rsid w:val="00F6196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E23D2"/>
  <w15:chartTrackingRefBased/>
  <w15:docId w15:val="{11228C1E-02C9-4173-8189-41F7857C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561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E85618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E85618"/>
    <w:pPr>
      <w:spacing w:after="240"/>
      <w:jc w:val="center"/>
    </w:pPr>
  </w:style>
  <w:style w:type="character" w:customStyle="1" w:styleId="BoldItalic">
    <w:name w:val="BoldItalic"/>
    <w:uiPriority w:val="1"/>
    <w:rsid w:val="00E85618"/>
    <w:rPr>
      <w:b/>
      <w:i/>
      <w:u w:val="none"/>
    </w:rPr>
  </w:style>
  <w:style w:type="character" w:customStyle="1" w:styleId="Italic">
    <w:name w:val="Italic"/>
    <w:uiPriority w:val="1"/>
    <w:rsid w:val="00E85618"/>
    <w:rPr>
      <w:i/>
    </w:rPr>
  </w:style>
  <w:style w:type="paragraph" w:customStyle="1" w:styleId="Normal12a24b">
    <w:name w:val="Normal12a24b"/>
    <w:basedOn w:val="Normal"/>
    <w:rsid w:val="00E85618"/>
    <w:pPr>
      <w:spacing w:before="360" w:after="240"/>
    </w:pPr>
    <w:rPr>
      <w:snapToGrid w:val="0"/>
      <w:lang w:eastAsia="en-US"/>
    </w:rPr>
  </w:style>
  <w:style w:type="character" w:customStyle="1" w:styleId="Normal6Char">
    <w:name w:val="Normal6 Char"/>
    <w:link w:val="Normal6"/>
    <w:locked/>
    <w:rsid w:val="00E85618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E85618"/>
    <w:pPr>
      <w:spacing w:after="120"/>
    </w:pPr>
  </w:style>
  <w:style w:type="character" w:customStyle="1" w:styleId="NormalHanging12aChar">
    <w:name w:val="NormalHanging12a Char"/>
    <w:basedOn w:val="DefaultParagraphFont"/>
    <w:link w:val="NormalHanging12a"/>
    <w:rsid w:val="00E85618"/>
    <w:rPr>
      <w:snapToGrid w:val="0"/>
      <w:sz w:val="24"/>
      <w:lang w:val="sl-SI" w:eastAsia="en-US"/>
    </w:rPr>
  </w:style>
  <w:style w:type="paragraph" w:styleId="BalloonText">
    <w:name w:val="Balloon Text"/>
    <w:basedOn w:val="Normal"/>
    <w:link w:val="BalloonTextChar"/>
    <w:rsid w:val="003E5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5913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L/TXT/HTML/?uri=CELEX:52020IP03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9FE44-4F4F-4DB8-A9DB-FA505A123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2634</Words>
  <Characters>16019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2023-12-12T16:08:00Z</dcterms:created>
  <dcterms:modified xsi:type="dcterms:W3CDTF">2023-12-12T16:08:00Z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A9-0332/2023</vt:lpwstr>
  </property>
  <property fmtid="{D5CDD505-2E9C-101B-9397-08002B2CF9AE}" pid="4" name="&lt;Type&gt;">
    <vt:lpwstr>RR</vt:lpwstr>
  </property>
</Properties>
</file>