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70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70FD" w:rsidRDefault="00533BEC" w:rsidP="0010095E">
            <w:pPr>
              <w:pStyle w:val="EPName"/>
            </w:pPr>
            <w:r w:rsidRPr="002D70FD">
              <w:t>Evropský parlament</w:t>
            </w:r>
          </w:p>
          <w:p w:rsidR="00751A4A" w:rsidRPr="002D70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70F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D70FD" w:rsidRDefault="00187494" w:rsidP="0010095E">
            <w:pPr>
              <w:pStyle w:val="EPLogo"/>
            </w:pPr>
            <w:r w:rsidRPr="002D70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70FD" w:rsidRDefault="00D058B8" w:rsidP="004C5D52">
      <w:pPr>
        <w:pStyle w:val="LineTop"/>
      </w:pPr>
    </w:p>
    <w:p w:rsidR="00680577" w:rsidRPr="002D70FD" w:rsidRDefault="00533BEC" w:rsidP="00680577">
      <w:pPr>
        <w:pStyle w:val="EPBodyTA1"/>
      </w:pPr>
      <w:r w:rsidRPr="002D70FD">
        <w:t>PŘIJATÉ TEXTY</w:t>
      </w:r>
    </w:p>
    <w:p w:rsidR="00D058B8" w:rsidRPr="002D70FD" w:rsidRDefault="00D058B8" w:rsidP="00D058B8">
      <w:pPr>
        <w:pStyle w:val="LineBottom"/>
      </w:pPr>
    </w:p>
    <w:p w:rsidR="00533BEC" w:rsidRPr="002D70FD" w:rsidRDefault="00533BEC" w:rsidP="00533BEC">
      <w:pPr>
        <w:pStyle w:val="ATHeading1"/>
      </w:pPr>
      <w:bookmarkStart w:id="0" w:name="TANumber"/>
      <w:r w:rsidRPr="002D70FD">
        <w:t>P9_TA(2023)0</w:t>
      </w:r>
      <w:r w:rsidR="00E11E61">
        <w:t>456</w:t>
      </w:r>
      <w:bookmarkEnd w:id="0"/>
    </w:p>
    <w:p w:rsidR="00533BEC" w:rsidRPr="002D70FD" w:rsidRDefault="00533BEC" w:rsidP="00533BEC">
      <w:pPr>
        <w:pStyle w:val="ATHeading2"/>
      </w:pPr>
      <w:bookmarkStart w:id="1" w:name="title"/>
      <w:r w:rsidRPr="002D70FD">
        <w:t>Malé modulární reaktory</w:t>
      </w:r>
      <w:bookmarkEnd w:id="1"/>
    </w:p>
    <w:p w:rsidR="00533BEC" w:rsidRPr="002D70FD" w:rsidRDefault="00533BEC" w:rsidP="00533BEC">
      <w:pPr>
        <w:rPr>
          <w:i/>
          <w:vanish/>
        </w:rPr>
      </w:pPr>
      <w:r w:rsidRPr="002D70FD">
        <w:rPr>
          <w:i/>
        </w:rPr>
        <w:fldChar w:fldCharType="begin"/>
      </w:r>
      <w:r w:rsidRPr="002D70FD">
        <w:rPr>
          <w:i/>
        </w:rPr>
        <w:instrText xml:space="preserve"> TC"(</w:instrText>
      </w:r>
      <w:bookmarkStart w:id="2" w:name="DocNumber"/>
      <w:r w:rsidRPr="002D70FD">
        <w:rPr>
          <w:i/>
        </w:rPr>
        <w:instrText>A9-0408/2023</w:instrText>
      </w:r>
      <w:bookmarkEnd w:id="2"/>
      <w:r w:rsidRPr="002D70FD">
        <w:rPr>
          <w:i/>
        </w:rPr>
        <w:instrText xml:space="preserve"> - Zpravodaj: Franc </w:instrText>
      </w:r>
      <w:proofErr w:type="spellStart"/>
      <w:r w:rsidRPr="002D70FD">
        <w:rPr>
          <w:i/>
        </w:rPr>
        <w:instrText>Bogovič</w:instrText>
      </w:r>
      <w:proofErr w:type="spellEnd"/>
      <w:r w:rsidRPr="002D70FD">
        <w:rPr>
          <w:i/>
        </w:rPr>
        <w:instrText xml:space="preserve">)"\l3 \n&gt; \* MERGEFORMAT </w:instrText>
      </w:r>
      <w:r w:rsidRPr="002D70FD">
        <w:rPr>
          <w:i/>
        </w:rPr>
        <w:fldChar w:fldCharType="end"/>
      </w:r>
    </w:p>
    <w:p w:rsidR="00533BEC" w:rsidRPr="002D70FD" w:rsidRDefault="00533BEC" w:rsidP="00533BEC">
      <w:pPr>
        <w:rPr>
          <w:vanish/>
        </w:rPr>
      </w:pPr>
      <w:bookmarkStart w:id="3" w:name="Commission"/>
      <w:r w:rsidRPr="002D70FD">
        <w:rPr>
          <w:vanish/>
        </w:rPr>
        <w:t>Výbor pro průmysl, výzkum a energetiku</w:t>
      </w:r>
      <w:bookmarkEnd w:id="3"/>
    </w:p>
    <w:p w:rsidR="00533BEC" w:rsidRPr="002D70FD" w:rsidRDefault="00533BEC" w:rsidP="00533BEC">
      <w:pPr>
        <w:rPr>
          <w:vanish/>
        </w:rPr>
      </w:pPr>
      <w:bookmarkStart w:id="4" w:name="PE"/>
      <w:r w:rsidRPr="002D70FD">
        <w:rPr>
          <w:vanish/>
        </w:rPr>
        <w:t>PE751.739</w:t>
      </w:r>
      <w:bookmarkEnd w:id="4"/>
    </w:p>
    <w:p w:rsidR="00533BEC" w:rsidRPr="002D70FD" w:rsidRDefault="00533BEC" w:rsidP="00533BEC">
      <w:pPr>
        <w:pStyle w:val="ATHeading3"/>
      </w:pPr>
      <w:bookmarkStart w:id="5" w:name="Sujet"/>
      <w:r w:rsidRPr="002D70FD">
        <w:t>Usnesení Evropského parlamentu ze dne 12. prosince 2023 o malých modulárních reaktorech</w:t>
      </w:r>
      <w:bookmarkEnd w:id="5"/>
      <w:r w:rsidRPr="002D70FD">
        <w:t xml:space="preserve"> </w:t>
      </w:r>
      <w:bookmarkStart w:id="6" w:name="References"/>
      <w:r w:rsidRPr="002D70FD">
        <w:t>(2023/2109(INI))</w:t>
      </w:r>
      <w:bookmarkEnd w:id="6"/>
    </w:p>
    <w:p w:rsidR="00FA3940" w:rsidRPr="002D70FD" w:rsidRDefault="00FA3940" w:rsidP="00FA3940">
      <w:pPr>
        <w:pStyle w:val="EPComma"/>
      </w:pPr>
      <w:bookmarkStart w:id="7" w:name="TextBodyBegin"/>
      <w:bookmarkEnd w:id="7"/>
      <w:r w:rsidRPr="002D70FD">
        <w:rPr>
          <w:rStyle w:val="Italic"/>
        </w:rPr>
        <w:t>Evropský parlament</w:t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Smlouvu o fungování Evropské unie, a zejména na článek 194 této smlouvy,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Smlouvu o založení Evropského společenství pro atomovou energii,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dohodu přijatou dne 12. prosince 2015 na 21. konferenci smluvních stran Rámcové úmluvy Organizace spojených národů o změně klimatu v Paříži (dále jen „Pařížská dohoda“),</w:t>
      </w:r>
    </w:p>
    <w:p w:rsidR="00FA3940" w:rsidRPr="002D70FD" w:rsidRDefault="00FA3940" w:rsidP="003C0D7A">
      <w:pPr>
        <w:pStyle w:val="NormalHanging12a"/>
      </w:pPr>
      <w:r w:rsidRPr="002D70FD">
        <w:t>–</w:t>
      </w:r>
      <w:r w:rsidRPr="002D70FD">
        <w:tab/>
        <w:t xml:space="preserve">s ohledem na návrh nařízení Evropského parlamentu a Rady, </w:t>
      </w:r>
      <w:r w:rsidR="003C0D7A" w:rsidRPr="003C0D7A">
        <w:t>kterým se stanoví rámec pro zajištění bezpečných a udržitelných dodávek kritických surovin a mění nařízení (EU) č. 168/2013, (EU) 2018/858, (EU) 2018/1724 a (EU) 2019/1020</w:t>
      </w:r>
      <w:r w:rsidRPr="002D70FD">
        <w:t>, který dne 16. března 2023 předložila Komise (</w:t>
      </w:r>
      <w:proofErr w:type="gramStart"/>
      <w:r w:rsidRPr="002D70FD">
        <w:t>COM(2023</w:t>
      </w:r>
      <w:proofErr w:type="gramEnd"/>
      <w:r w:rsidRPr="002D70FD">
        <w:t>)0160),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návrh nařízení Evropského parlamentu a Rady, kterým se zřizuje rámec opatření pro posílení evropského ekosystému výroby produktů technologií pro nulové čisté emise (akt o průmyslu pro nulové čisté emise), který dne 16. března 2023 předložila Komise (</w:t>
      </w:r>
      <w:proofErr w:type="gramStart"/>
      <w:r w:rsidRPr="002D70FD">
        <w:t>COM(2023</w:t>
      </w:r>
      <w:proofErr w:type="gramEnd"/>
      <w:r w:rsidRPr="002D70FD">
        <w:t>)0161),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směrnici Evropského parlamentu a Rady (EU) 2019/944 ze dne 5. června 2019 o společných pravidlech pro vnitřní trh s elektřinou a o změně směrnice 2012/27/EU</w:t>
      </w:r>
      <w:r w:rsidRPr="002D70FD">
        <w:rPr>
          <w:rStyle w:val="FootnoteReference"/>
        </w:rPr>
        <w:footnoteReference w:id="1"/>
      </w:r>
      <w:r w:rsidRPr="002D70FD">
        <w:t>, jež v současné době prochází revizí,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nařízení Evropského parlamentu a Rady (EU) 2019/943 ze dne 5. června 2019 o vnitřním trhu s elektřinou</w:t>
      </w:r>
      <w:r w:rsidRPr="002D70FD">
        <w:rPr>
          <w:rStyle w:val="FootnoteReference"/>
        </w:rPr>
        <w:footnoteReference w:id="2"/>
      </w:r>
      <w:r w:rsidRPr="002D70FD">
        <w:t>, jež v současné době prochází revizí,</w:t>
      </w:r>
    </w:p>
    <w:p w:rsidR="00FA3940" w:rsidRPr="002D70FD" w:rsidRDefault="00FA3940" w:rsidP="006C4004">
      <w:pPr>
        <w:pStyle w:val="NormalHanging12a"/>
      </w:pPr>
      <w:r w:rsidRPr="002D70FD">
        <w:lastRenderedPageBreak/>
        <w:t>–</w:t>
      </w:r>
      <w:r w:rsidRPr="002D70FD">
        <w:tab/>
        <w:t>s ohledem na směrnici Evropského parlamentu a Rady 2000/60/ES ze dne 23. října 2000, kterou se stanoví rámec pro činnost Společenství v oblasti vodní politiky</w:t>
      </w:r>
      <w:r w:rsidRPr="002D70FD">
        <w:rPr>
          <w:rStyle w:val="FootnoteReference"/>
        </w:rPr>
        <w:footnoteReference w:id="3"/>
      </w:r>
      <w:r w:rsidRPr="002D70FD">
        <w:t>, jež v současné době prochází revizí,</w:t>
      </w:r>
    </w:p>
    <w:p w:rsidR="00FA3940" w:rsidRPr="002D70FD" w:rsidRDefault="00FA3940" w:rsidP="00AE5013">
      <w:pPr>
        <w:pStyle w:val="NormalHanging12a"/>
      </w:pPr>
      <w:r w:rsidRPr="002D70FD">
        <w:t>–</w:t>
      </w:r>
      <w:r w:rsidRPr="002D70FD">
        <w:tab/>
        <w:t>s ohledem na nařízení Evropského parlamentu a Rady (EU) 2019/941 ze dne 5. června 2019 o rizikové připravenosti v odvětví elektroenergetiky a o zrušení směrnice 2005/89/E</w:t>
      </w:r>
      <w:r w:rsidR="00AE5013">
        <w:t>S</w:t>
      </w:r>
      <w:bookmarkStart w:id="8" w:name="_GoBack"/>
      <w:bookmarkEnd w:id="8"/>
      <w:r w:rsidRPr="002D70FD">
        <w:rPr>
          <w:rStyle w:val="FootnoteReference"/>
        </w:rPr>
        <w:footnoteReference w:id="4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nařízení Evropského parlamentu a Rady (EU) 2020/852 ze dne 18. června 2020 o zřízení rámce pro usnadnění udržitelných investic a o změně nařízení (EU) 2019/2088</w:t>
      </w:r>
      <w:r w:rsidRPr="002D70FD">
        <w:rPr>
          <w:rStyle w:val="FootnoteReference"/>
        </w:rPr>
        <w:footnoteReference w:id="5"/>
      </w:r>
      <w:r w:rsidRPr="002D70FD">
        <w:t xml:space="preserve"> (dále jen „nařízení o taxonomii“),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nařízení Komise v přenesené pravomoci (EU) 2019/856 ze dne 26. února 2019, kterým se doplňuje směrnice Evropského parlamentu a Rady 2003/87/ES, pokud jde o fungování inovačního fondu</w:t>
      </w:r>
      <w:r w:rsidRPr="002D70FD">
        <w:rPr>
          <w:rStyle w:val="FootnoteReference"/>
        </w:rPr>
        <w:footnoteReference w:id="6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nařízení Komise v přenesené pravomoci (EU) 2022/1214 ze dne 9. března 2022, kterým se mění nařízení v přenesené pravomoci (EU) 2021/2139, pokud jde o hospodářské činnosti v některých odvětvích energetiky, a nařízení v přenesené pravomoci (EU) 2021/2178, pokud jde o specifické zveřejňování informací v souvislosti s těmito hospodářskými činnostmi</w:t>
      </w:r>
      <w:r w:rsidRPr="002D70FD">
        <w:rPr>
          <w:rStyle w:val="FootnoteReference"/>
        </w:rPr>
        <w:footnoteReference w:id="7"/>
      </w:r>
      <w:r w:rsidRPr="002D70FD">
        <w:t xml:space="preserve"> (dále jen „doplňkový akt v přenesené pravomoci pro</w:t>
      </w:r>
      <w:r w:rsidR="002A5FB3" w:rsidRPr="002D70FD">
        <w:t> </w:t>
      </w:r>
      <w:r w:rsidRPr="002D70FD">
        <w:t>oblast klimatu“),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směrnici Rady 2009/71/Euratom ze dne 25. června 2009, kterou se stanoví rámec Společenství pro jadernou bezpečnost jaderných zařízení</w:t>
      </w:r>
      <w:r w:rsidRPr="002D70FD">
        <w:rPr>
          <w:rStyle w:val="FootnoteReference"/>
        </w:rPr>
        <w:footnoteReference w:id="8"/>
      </w:r>
      <w:r w:rsidRPr="002D70FD">
        <w:t>, ve znění směrnice Rady 2014/87/Euratom ze dne 8. července 2014</w:t>
      </w:r>
      <w:r w:rsidRPr="002D70FD">
        <w:rPr>
          <w:rStyle w:val="FootnoteReference"/>
        </w:rPr>
        <w:footnoteReference w:id="9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směrnici Rady 2011/70/Euratom ze dne 19. července 2011, kterou se stanoví rámec Společenství pro odpovědné a bezpečné nakládání s vyhořelým palivem a radioaktivním odpadem</w:t>
      </w:r>
      <w:r w:rsidRPr="002D70FD">
        <w:rPr>
          <w:rStyle w:val="FootnoteReference"/>
        </w:rPr>
        <w:footnoteReference w:id="10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směrnici Rady 2013/59/Euratom ze dne 5. prosince 2013, kterou se stanoví základní bezpečnostní standardy ochrany před nebezpečím vystavení ionizujícímu záření a zrušují se směrnice 89/618/Euratom, 90/641/Euratom, 96/29/Euratom, 97/43/Euratom a 2003/122/Euratom</w:t>
      </w:r>
      <w:r w:rsidRPr="002D70FD">
        <w:rPr>
          <w:rStyle w:val="FootnoteReference"/>
        </w:rPr>
        <w:footnoteReference w:id="11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sdělení Komise ze dne 1. února 2023 nazvané „Průmyslový plán Zelené dohody pro věk s nulovými čistými emisemi“ (</w:t>
      </w:r>
      <w:proofErr w:type="gramStart"/>
      <w:r w:rsidRPr="002D70FD">
        <w:t>COM(2023</w:t>
      </w:r>
      <w:proofErr w:type="gramEnd"/>
      <w:r w:rsidRPr="002D70FD">
        <w:t>)0062),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 xml:space="preserve">s ohledem na sdělení Komise ze dne 18. května 2022 s názvem „Plán </w:t>
      </w:r>
      <w:proofErr w:type="spellStart"/>
      <w:r w:rsidRPr="002D70FD">
        <w:t>REPowerEU</w:t>
      </w:r>
      <w:proofErr w:type="spellEnd"/>
      <w:r w:rsidRPr="002D70FD">
        <w:t>“ (</w:t>
      </w:r>
      <w:proofErr w:type="gramStart"/>
      <w:r w:rsidRPr="002D70FD">
        <w:t>COM(2022</w:t>
      </w:r>
      <w:proofErr w:type="gramEnd"/>
      <w:r w:rsidRPr="002D70FD">
        <w:t xml:space="preserve">)0230 </w:t>
      </w:r>
      <w:proofErr w:type="spellStart"/>
      <w:r w:rsidRPr="002D70FD">
        <w:t>final</w:t>
      </w:r>
      <w:proofErr w:type="spellEnd"/>
      <w:r w:rsidRPr="002D70FD">
        <w:t>),</w:t>
      </w:r>
    </w:p>
    <w:p w:rsidR="00FA3940" w:rsidRPr="002D70FD" w:rsidRDefault="00FA3940" w:rsidP="006C4004">
      <w:pPr>
        <w:pStyle w:val="NormalHanging12a"/>
      </w:pPr>
      <w:r w:rsidRPr="002D70FD">
        <w:lastRenderedPageBreak/>
        <w:t>–</w:t>
      </w:r>
      <w:r w:rsidRPr="002D70FD">
        <w:tab/>
        <w:t>s ohledem na sdělení Komise ze dne 10. března 2020 nazvané „Nová průmyslová strategie pro Evropu“ (</w:t>
      </w:r>
      <w:proofErr w:type="gramStart"/>
      <w:r w:rsidRPr="002D70FD">
        <w:t>COM(2020</w:t>
      </w:r>
      <w:proofErr w:type="gramEnd"/>
      <w:r w:rsidRPr="002D70FD">
        <w:t>)0102),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sdělení Komise ze dne 12. května 2017 nazvané „Jaderný ukázkový program“ předložené podle článku 40 Smlouvy o Euratomu – v konečném znění (</w:t>
      </w:r>
      <w:proofErr w:type="gramStart"/>
      <w:r w:rsidRPr="002D70FD">
        <w:t>COM(2017</w:t>
      </w:r>
      <w:proofErr w:type="gramEnd"/>
      <w:r w:rsidRPr="002D70FD">
        <w:t>)0237) a na doprovodný pracovní dokument útvarů Komise,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své usnesení ze dne 19. května 2021 o Evropské strategii pro integraci energetického systému</w:t>
      </w:r>
      <w:r w:rsidRPr="002D70FD">
        <w:rPr>
          <w:rStyle w:val="FootnoteReference"/>
        </w:rPr>
        <w:footnoteReference w:id="12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své usnesení ze dne 10. července 2020 o komplexním evropském přístupu ke skladování energie</w:t>
      </w:r>
      <w:r w:rsidRPr="002D70FD">
        <w:rPr>
          <w:rStyle w:val="FootnoteReference"/>
        </w:rPr>
        <w:footnoteReference w:id="13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své usnesení ze dne 14. března 2019 o změně klimatu – evropská dlouhodobá strategická vize prosperující, moderní, konkurenceschopné a klimaticky neutrální ekonomiky v souladu s Pařížskou dohodou</w:t>
      </w:r>
      <w:r w:rsidRPr="002D70FD">
        <w:rPr>
          <w:rStyle w:val="FootnoteReference"/>
        </w:rPr>
        <w:footnoteReference w:id="14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sdělení Komise ze dne 11. prosince 2019 Zelená dohoda pro Evropu (</w:t>
      </w:r>
      <w:proofErr w:type="gramStart"/>
      <w:r w:rsidRPr="002D70FD">
        <w:t>COM(2019</w:t>
      </w:r>
      <w:proofErr w:type="gramEnd"/>
      <w:r w:rsidRPr="002D70FD">
        <w:t>)0640),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své usnesení ze dne 15. ledna 2020 o Zelené dohodě pro Evropu</w:t>
      </w:r>
      <w:r w:rsidRPr="002D70FD">
        <w:rPr>
          <w:rStyle w:val="FootnoteReference"/>
        </w:rPr>
        <w:footnoteReference w:id="15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své usnesení ze dne 15. prosince 2015 na téma „Směrem k evropské energetické unii“</w:t>
      </w:r>
      <w:r w:rsidRPr="002D70FD">
        <w:rPr>
          <w:rStyle w:val="FootnoteReference"/>
        </w:rPr>
        <w:footnoteReference w:id="16"/>
      </w:r>
      <w:r w:rsidRPr="002D70FD">
        <w:t>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závěry Evropského fóra pro jadernou energii z roku 2022,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společné prohlášení o jaderném spojenectví ze dne 16. května 2023,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návrh evropského partnerství pro malé modulární reaktory, který vzešel z prvního pracovního setkání EU pořádaného Komisí dne 29. června 2021 o malých modulárních reaktorech,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 ohledem na kulatý stůl na vysoké úrovni o jaderné energii, který Komise uspořádala dne 15. března 2022,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prohlášení Komise ze dne 4. dubna 2023 nazvané „Malé modulární reaktory v EU 2030: výzkum a inovace, vzdělávání a odborná příprava“,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zprávu generálního ředitelství Komise pro energetiku ze dne 9. října 2019 nazvanou „Srovnání technických požadavků v oblasti jaderné energetiky vzhledem k referenčním úrovním Asociace západoevropských jaderných dozorů (WENRA), k regulačnímu rámci EU a k normám Mezinárodní agentury pro atomovou energii (IAEA)“</w:t>
      </w:r>
      <w:r w:rsidRPr="002D70FD">
        <w:rPr>
          <w:vertAlign w:val="superscript"/>
        </w:rPr>
        <w:footnoteReference w:id="17"/>
      </w:r>
      <w:r w:rsidRPr="002D70FD">
        <w:t>;</w:t>
      </w:r>
    </w:p>
    <w:p w:rsidR="00FA3940" w:rsidRPr="002D70FD" w:rsidRDefault="00FA3940" w:rsidP="006C4004">
      <w:pPr>
        <w:pStyle w:val="NormalHanging12a"/>
      </w:pPr>
      <w:r w:rsidRPr="002D70FD">
        <w:lastRenderedPageBreak/>
        <w:t>–</w:t>
      </w:r>
      <w:r w:rsidRPr="002D70FD">
        <w:tab/>
        <w:t>s ohledem na pracovní program Euratomu na období 2023–2025 pro jaderný výzkum a odbornou přípravu,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článek 54 jednacího řádu,</w:t>
      </w:r>
    </w:p>
    <w:p w:rsidR="00FA3940" w:rsidRPr="002D70FD" w:rsidRDefault="00FA3940" w:rsidP="006C4004">
      <w:pPr>
        <w:pStyle w:val="NormalHanging12a"/>
      </w:pPr>
      <w:r w:rsidRPr="002D70FD">
        <w:t>–</w:t>
      </w:r>
      <w:r w:rsidRPr="002D70FD">
        <w:tab/>
        <w:t>s ohledem na zprávu Výboru pro průmysl, výzkum a energetiku (A9</w:t>
      </w:r>
      <w:r w:rsidRPr="002D70FD">
        <w:noBreakHyphen/>
        <w:t>0408/2023),</w:t>
      </w:r>
    </w:p>
    <w:p w:rsidR="00FA3940" w:rsidRPr="002D70FD" w:rsidRDefault="00FA3940" w:rsidP="006C4004">
      <w:pPr>
        <w:pStyle w:val="NormalHanging12a"/>
      </w:pPr>
      <w:r w:rsidRPr="002D70FD">
        <w:t>A.</w:t>
      </w:r>
      <w:r w:rsidRPr="002D70FD">
        <w:tab/>
        <w:t>vzhledem k tomu, že EU je stranou Pařížské dohody a zavázala se snížit čisté emise skleníkových plynů do roku 2030 ve srovnání s úrovní z roku 1990 alespoň o 55 % a dosáhnout nejpozději do roku 2050 klimatické neutrality;</w:t>
      </w:r>
    </w:p>
    <w:p w:rsidR="00FA3940" w:rsidRPr="002D70FD" w:rsidRDefault="00FA3940" w:rsidP="006C4004">
      <w:pPr>
        <w:pStyle w:val="NormalHanging12a"/>
      </w:pPr>
      <w:r w:rsidRPr="002D70FD">
        <w:t>B.</w:t>
      </w:r>
      <w:r w:rsidRPr="002D70FD">
        <w:tab/>
        <w:t xml:space="preserve">vzhledem k tomu, že podle nových politických opatření (New </w:t>
      </w:r>
      <w:proofErr w:type="spellStart"/>
      <w:r w:rsidRPr="002D70FD">
        <w:t>Policies</w:t>
      </w:r>
      <w:proofErr w:type="spellEnd"/>
      <w:r w:rsidRPr="002D70FD">
        <w:t xml:space="preserve"> </w:t>
      </w:r>
      <w:proofErr w:type="spellStart"/>
      <w:r w:rsidRPr="002D70FD">
        <w:t>Scenario</w:t>
      </w:r>
      <w:proofErr w:type="spellEnd"/>
      <w:r w:rsidRPr="002D70FD">
        <w:t>) Mezinárodní energetické agentury se očekává, že do roku 2040 dojde k </w:t>
      </w:r>
      <w:proofErr w:type="gramStart"/>
      <w:r w:rsidRPr="002D70FD">
        <w:t>30%</w:t>
      </w:r>
      <w:proofErr w:type="gramEnd"/>
      <w:r w:rsidRPr="002D70FD">
        <w:t xml:space="preserve"> zvýšení celosvětové poptávky po energii; vzhledem k tomu, že podle dokumentu „</w:t>
      </w:r>
      <w:proofErr w:type="spellStart"/>
      <w:r w:rsidRPr="002D70FD">
        <w:t>World</w:t>
      </w:r>
      <w:proofErr w:type="spellEnd"/>
      <w:r w:rsidRPr="002D70FD">
        <w:t xml:space="preserve"> </w:t>
      </w:r>
      <w:proofErr w:type="spellStart"/>
      <w:r w:rsidRPr="002D70FD">
        <w:t>Energy</w:t>
      </w:r>
      <w:proofErr w:type="spellEnd"/>
      <w:r w:rsidRPr="002D70FD">
        <w:t xml:space="preserve"> </w:t>
      </w:r>
      <w:proofErr w:type="spellStart"/>
      <w:r w:rsidRPr="002D70FD">
        <w:t>Scenarios</w:t>
      </w:r>
      <w:proofErr w:type="spellEnd"/>
      <w:r w:rsidRPr="002D70FD">
        <w:t xml:space="preserve">“ (Scénáře světové energetiky) Světové energetické rady </w:t>
      </w:r>
      <w:proofErr w:type="gramStart"/>
      <w:r w:rsidRPr="002D70FD">
        <w:t>byl mohlo</w:t>
      </w:r>
      <w:proofErr w:type="gramEnd"/>
      <w:r w:rsidRPr="002D70FD">
        <w:t xml:space="preserve"> do </w:t>
      </w:r>
      <w:r w:rsidR="003A2A08">
        <w:t>r</w:t>
      </w:r>
      <w:r w:rsidRPr="002D70FD">
        <w:t>oku 2060 dojít ke zdvojnásobení poptávky po elektřině;</w:t>
      </w:r>
    </w:p>
    <w:p w:rsidR="00FA3940" w:rsidRPr="002D70FD" w:rsidRDefault="00FA3940" w:rsidP="006C4004">
      <w:pPr>
        <w:pStyle w:val="NormalHanging12a"/>
      </w:pPr>
      <w:r w:rsidRPr="002D70FD">
        <w:t>C.</w:t>
      </w:r>
      <w:r w:rsidRPr="002D70FD">
        <w:tab/>
        <w:t>vzhledem k tomu, že EU bude čelit rostoucí poptávce po elektřině;</w:t>
      </w:r>
    </w:p>
    <w:p w:rsidR="00FA3940" w:rsidRPr="002D70FD" w:rsidRDefault="00FA3940" w:rsidP="006C4004">
      <w:pPr>
        <w:pStyle w:val="NormalHanging12a"/>
      </w:pPr>
      <w:r w:rsidRPr="002D70FD">
        <w:t>D.</w:t>
      </w:r>
      <w:r w:rsidRPr="002D70FD">
        <w:tab/>
        <w:t>vzhledem k tomu, že podle Komise musí EU zdvojnásobit výrobu elektřiny, aby mohla s ohledem na ekologickou transformaci elektrifikovat taková odvětví, jako je vytápění, chlazení a doprava;</w:t>
      </w:r>
    </w:p>
    <w:p w:rsidR="00FA3940" w:rsidRPr="002D70FD" w:rsidRDefault="00FA3940" w:rsidP="006C4004">
      <w:pPr>
        <w:pStyle w:val="NormalHanging12a"/>
      </w:pPr>
      <w:r w:rsidRPr="002D70FD">
        <w:t>E.</w:t>
      </w:r>
      <w:r w:rsidRPr="002D70FD">
        <w:tab/>
        <w:t>vzhledem k tomu, že EU musí omezit riziko své vnější závislosti na dodávkách energií, mj. na dodávkách paliva pro jaderné elektrárny;</w:t>
      </w:r>
    </w:p>
    <w:p w:rsidR="00FA3940" w:rsidRPr="002D70FD" w:rsidRDefault="00FA3940" w:rsidP="006C4004">
      <w:pPr>
        <w:pStyle w:val="NormalHanging12a"/>
      </w:pPr>
      <w:r w:rsidRPr="002D70FD">
        <w:t>F.</w:t>
      </w:r>
      <w:r w:rsidRPr="002D70FD">
        <w:tab/>
        <w:t>vzhledem k tomu, že EU musí rozvíjet svou strategickou autonomii, zvýšit odolnost svého dodavatelského řetězce a dosáhnout určité míry soběstačnosti, zejména proto, že ruská útočná válka proti Ukrajině ukázala, nakolik je Evropa v těchto oblastech zranitelná;</w:t>
      </w:r>
    </w:p>
    <w:p w:rsidR="00FA3940" w:rsidRPr="002D70FD" w:rsidRDefault="00FA3940" w:rsidP="006C4004">
      <w:pPr>
        <w:pStyle w:val="NormalHanging12a"/>
      </w:pPr>
      <w:r w:rsidRPr="002D70FD">
        <w:t>G.</w:t>
      </w:r>
      <w:r w:rsidRPr="002D70FD">
        <w:tab/>
        <w:t xml:space="preserve">vzhledem k tomu, že energetický mix EU a budoucí trh s elektřinou musí pro průmysl a občany EU zajistit stálé spolehlivé zdroje obnovitelné energie a </w:t>
      </w:r>
      <w:proofErr w:type="spellStart"/>
      <w:r w:rsidRPr="002D70FD">
        <w:t>bezuhlíkovou</w:t>
      </w:r>
      <w:proofErr w:type="spellEnd"/>
      <w:r w:rsidRPr="002D70FD">
        <w:t xml:space="preserve"> energii;</w:t>
      </w:r>
    </w:p>
    <w:p w:rsidR="00FA3940" w:rsidRPr="002D70FD" w:rsidRDefault="00FA3940" w:rsidP="006C4004">
      <w:pPr>
        <w:pStyle w:val="NormalHanging12a"/>
      </w:pPr>
      <w:r w:rsidRPr="002D70FD">
        <w:t>H.</w:t>
      </w:r>
      <w:r w:rsidRPr="002D70FD">
        <w:tab/>
        <w:t>vzhledem k tomu, že jaderná energetik je technologií s nulovými emisemi, která nevede ke znečištění ovzduší, a proto mohou malé modulární reaktory přispět ke splnění cílů EU v oblasti klimatu a životního prostředí;</w:t>
      </w:r>
    </w:p>
    <w:p w:rsidR="00FA3940" w:rsidRPr="002D70FD" w:rsidRDefault="00FA3940" w:rsidP="006C4004">
      <w:pPr>
        <w:pStyle w:val="NormalHanging12a"/>
      </w:pPr>
      <w:r w:rsidRPr="002D70FD">
        <w:t>I.</w:t>
      </w:r>
      <w:r w:rsidRPr="002D70FD">
        <w:tab/>
        <w:t>vzhledem k tomu, že jaderná energetika může s ohledem na relativně nízké náklady na palivo a provozní náklady a na prokázané schopnosti zajistit stabilní a spolehlivou základní kapacitu dodávek elektřiny přispět ke zvýšení energetické bezpečnosti v Evropě, a zejména v členských státech, které se rozhodnou ji využívat;</w:t>
      </w:r>
    </w:p>
    <w:p w:rsidR="00FA3940" w:rsidRPr="002D70FD" w:rsidRDefault="00FA3940" w:rsidP="006C4004">
      <w:pPr>
        <w:pStyle w:val="NormalHanging12a"/>
      </w:pPr>
      <w:r w:rsidRPr="002D70FD">
        <w:t>J.</w:t>
      </w:r>
      <w:r w:rsidRPr="002D70FD">
        <w:tab/>
        <w:t>vzhledem k tomu, že EU by měla při modelování svého energetického systému a jeho dopadu na využívání půdy více zkoumat vztah mezi intenzitou využívání půdy pro výrobu elektřiny a emisemi skleníkových plynů během celého životního cyklu;</w:t>
      </w:r>
    </w:p>
    <w:p w:rsidR="00FA3940" w:rsidRPr="002D70FD" w:rsidRDefault="00FA3940" w:rsidP="006C4004">
      <w:pPr>
        <w:pStyle w:val="NormalHanging12a"/>
      </w:pPr>
      <w:r w:rsidRPr="002D70FD">
        <w:t>K.</w:t>
      </w:r>
      <w:r w:rsidRPr="002D70FD">
        <w:tab/>
        <w:t xml:space="preserve">vzhledem k tomu, že inovativní vývoj týkající se malých modulárních reaktorů a pokročilých modulárních reaktorů může představovat cestu k dosažení cílů Unie v oblasti energetiky a klimatu, je však nutné dále zkoumat možnosti, které nabízejí malé modulární reaktory, pokud jde o výrobu elektřiny a stabilitu dítě, o teplo </w:t>
      </w:r>
      <w:r w:rsidRPr="002D70FD">
        <w:lastRenderedPageBreak/>
        <w:t>pro</w:t>
      </w:r>
      <w:r w:rsidR="00FA492B" w:rsidRPr="002D70FD">
        <w:t> </w:t>
      </w:r>
      <w:r w:rsidRPr="002D70FD">
        <w:t>průmyslové procesy a pro centrální zásobování teplem, chlazení a o výrobu vodíku a odsolování vody;</w:t>
      </w:r>
    </w:p>
    <w:p w:rsidR="00FA3940" w:rsidRPr="002D70FD" w:rsidRDefault="00FA3940" w:rsidP="006C4004">
      <w:pPr>
        <w:pStyle w:val="NormalHanging12a"/>
      </w:pPr>
      <w:r w:rsidRPr="002D70FD">
        <w:t>L.</w:t>
      </w:r>
      <w:r w:rsidRPr="002D70FD">
        <w:tab/>
        <w:t>vzhledem k tomu, že malé modulární reaktory lze definovat jako jaderné reaktory s výkonem obvykle mezi 10 a 300 MW, které jsou navrženy k sestavení v továrnách ve standardizované modulární podobě;</w:t>
      </w:r>
    </w:p>
    <w:p w:rsidR="00FA3940" w:rsidRPr="002D70FD" w:rsidRDefault="00FA3940" w:rsidP="006C4004">
      <w:pPr>
        <w:pStyle w:val="NormalHanging12a"/>
      </w:pPr>
      <w:r w:rsidRPr="002D70FD">
        <w:t>M.</w:t>
      </w:r>
      <w:r w:rsidRPr="002D70FD">
        <w:tab/>
        <w:t>vzhledem k tomu, že mnoho přínosů malých a středně velkých reaktorů je neoddělitelně spojeno s druhem jejich konstrukce (malé a modulární): integrální konstrukce, inherentní bezpečnost, nižší zásoby jádra, lepší modularizace a možnost výroby, vyšší flexibilita; vzhledem k tomu, že tyto reaktory mohou nabízet úspory z hlediska nákladů a doby výstavby a mohou být uváděny do provozu postupně, s cílem uspokojit rostoucí poptávku po energii;</w:t>
      </w:r>
    </w:p>
    <w:p w:rsidR="00FA3940" w:rsidRPr="002D70FD" w:rsidRDefault="00FA3940" w:rsidP="006C4004">
      <w:pPr>
        <w:pStyle w:val="NormalHanging12a"/>
      </w:pPr>
      <w:r w:rsidRPr="002D70FD">
        <w:t>N.</w:t>
      </w:r>
      <w:r w:rsidRPr="002D70FD">
        <w:tab/>
        <w:t xml:space="preserve">vzhledem k tomu, že v rámci konkrétního dialogu o klimatu a energetice týkajícího se malých modulárních reaktorů by bylo možné podpořit osvědčené postupy a řešení, nabídnout nové obchodní příležitosti a příležitosti ke spolupráci a pomáhat členským státům při zjišťování možných nedostatků spojených s budováním těchto reaktorů a při jejich </w:t>
      </w:r>
      <w:proofErr w:type="spellStart"/>
      <w:r w:rsidRPr="002D70FD">
        <w:t>rešení</w:t>
      </w:r>
      <w:proofErr w:type="spellEnd"/>
      <w:r w:rsidRPr="002D70FD">
        <w:t>; vzhledem k tomu, že v rámci tohoto dialogu, který může přispět k dalšímu rozvoji obchodního modelu malých modulárních reaktorů, lze předkládat řešení pro dekarbonizaci průmyslu;</w:t>
      </w:r>
    </w:p>
    <w:p w:rsidR="00FA3940" w:rsidRPr="002D70FD" w:rsidRDefault="00FA3940" w:rsidP="006C4004">
      <w:pPr>
        <w:pStyle w:val="NormalHanging12a"/>
      </w:pPr>
      <w:r w:rsidRPr="002D70FD">
        <w:t>O.</w:t>
      </w:r>
      <w:r w:rsidRPr="002D70FD">
        <w:tab/>
        <w:t>vzhledem k tomu, že EU by měla dále vzhledem ke flexibilní základní kapacitě malých modulárních reaktorů usilovat o vyhodnocení jejich budoucího přínosu z hlediska zabezpečení dodávek energie v EU;</w:t>
      </w:r>
    </w:p>
    <w:p w:rsidR="00FA3940" w:rsidRPr="002D70FD" w:rsidRDefault="00FA3940" w:rsidP="006C4004">
      <w:pPr>
        <w:pStyle w:val="NormalHanging12a"/>
      </w:pPr>
      <w:r w:rsidRPr="002D70FD">
        <w:t>P.</w:t>
      </w:r>
      <w:r w:rsidRPr="002D70FD">
        <w:tab/>
        <w:t>vzhledem k tomu, že malé modulární reaktory by mohly znamenat nižší počáteční kapitálové investice, větší možnost rozšíření a flexibilitu, pokud jde o umístění v dané lokalitě, kde není možné vybudovat tradiční větší reaktory, a nyní mají potenciál z hlediska inherentních prvků bezpečnosti a zabezpečení, zpětné vazby získané díky stávajícím velkým reaktorům, udržitelnějšího řízení odpadu a přínosu spojeného s používání nových systémů chlazení a nových paliv;</w:t>
      </w:r>
    </w:p>
    <w:p w:rsidR="00FA3940" w:rsidRPr="002D70FD" w:rsidRDefault="00FA3940" w:rsidP="006C4004">
      <w:pPr>
        <w:pStyle w:val="NormalHanging12a"/>
      </w:pPr>
      <w:r w:rsidRPr="002D70FD">
        <w:t>Q.</w:t>
      </w:r>
      <w:r w:rsidRPr="002D70FD">
        <w:tab/>
        <w:t>vzhledem k tomu, že zavádění malých modulárních reaktorů může podpořit hospodářský růst a tvorbu pracovních míst a přispět k celosvětové konkurenceschopnosti EU v této rychle se rozvíjející technické oblasti, a učinit tak Evropu atraktivním kontinentem pro investice v tomto odvětví;</w:t>
      </w:r>
    </w:p>
    <w:p w:rsidR="00FA3940" w:rsidRPr="002D70FD" w:rsidRDefault="00FA3940" w:rsidP="006C4004">
      <w:pPr>
        <w:pStyle w:val="NormalHanging12a"/>
      </w:pPr>
      <w:r w:rsidRPr="002D70FD">
        <w:t>R.</w:t>
      </w:r>
      <w:r w:rsidRPr="002D70FD">
        <w:tab/>
        <w:t>vzhledem k tomu, že konkurenti a obchodní partneři EU masivně investují doma i v zahraničí, aby získali vedoucí postavení v oblasti malých modulárních reaktorů nové generace; vzhledem k tomu, že další investice do výzkumu a vývoje malých modulárních reaktorů by mohly být mít rozhodující vliv na to, aby evropský jaderný průmysl znovu získal vedoucí postavení ve světě, a vyžadují předběžné plánování;</w:t>
      </w:r>
    </w:p>
    <w:p w:rsidR="00FA3940" w:rsidRPr="002D70FD" w:rsidRDefault="00FA3940" w:rsidP="006C4004">
      <w:pPr>
        <w:pStyle w:val="NormalHanging12a"/>
      </w:pPr>
      <w:r w:rsidRPr="002D70FD">
        <w:t>S.</w:t>
      </w:r>
      <w:r w:rsidRPr="002D70FD">
        <w:tab/>
        <w:t>vzhledem k tomu, že zájem o budování malých modulárních reaktorů v EU roste, a proto je nutné už v rané fázi potenciálních projektů zvážit zapojení účastníků palivového cyklu;</w:t>
      </w:r>
    </w:p>
    <w:p w:rsidR="00FA3940" w:rsidRPr="002D70FD" w:rsidRDefault="00FA3940" w:rsidP="006C4004">
      <w:pPr>
        <w:pStyle w:val="NormalHanging12a"/>
      </w:pPr>
      <w:r w:rsidRPr="002D70FD">
        <w:t>T.</w:t>
      </w:r>
      <w:r w:rsidRPr="002D70FD">
        <w:tab/>
        <w:t xml:space="preserve">vzhledem k tomu, že Komise ve svém prohlášení ze dne 4. dubna 2023 o malých modulárních reaktorech v EU 2030 uvítala úsilí o spolupráci evropského jaderného průmyslu a vědecké obce za účelem dosažení společného cíle, kterým je moderní </w:t>
      </w:r>
      <w:r w:rsidRPr="002D70FD">
        <w:lastRenderedPageBreak/>
        <w:t>a konkurenceschopné hospodářství účinně využívající zdroje, a uznala, že jaderná energetika a zejména malé modulární reaktory mohou hrát důležitou úlohu i nad rámec výroby elektřiny, pokud finanční prostředky vyčleněné na výzkum, vývoj a inovace v oblasti malých modulárních reaktorů povedou k úspěšným konstrukčním řešením;</w:t>
      </w:r>
    </w:p>
    <w:p w:rsidR="00FA3940" w:rsidRPr="002D70FD" w:rsidRDefault="00FA3940" w:rsidP="006C4004">
      <w:pPr>
        <w:pStyle w:val="NormalHanging12a"/>
      </w:pPr>
      <w:r w:rsidRPr="002D70FD">
        <w:t>U.</w:t>
      </w:r>
      <w:r w:rsidRPr="002D70FD">
        <w:tab/>
        <w:t>vzhledem k tomu, že podle společného prohlášení jaderné aliance ze dne 16. května 2023 by jaderná energetika mohla do roku 2050 poskytnout EU až 150 GW instalovaného výkonu, což by mohlo v příštích 30 letech přímo i nepřímo přispět k 450 000 pracovním místům v EU, včetně 200 000 vysoce kvalifikovaných pracovníků;</w:t>
      </w:r>
    </w:p>
    <w:p w:rsidR="00FA3940" w:rsidRPr="002D70FD" w:rsidRDefault="00FA3940" w:rsidP="006C4004">
      <w:pPr>
        <w:pStyle w:val="NormalHanging12a"/>
      </w:pPr>
      <w:r w:rsidRPr="002D70FD">
        <w:t>V.</w:t>
      </w:r>
      <w:r w:rsidRPr="002D70FD">
        <w:tab/>
        <w:t>vzhledem k tomu, že Komise zdůraznila, že k zajištění bezpečnosti, zabezpečení a ochrany stávajících a budoucích jaderných elektráren včetně malých modulárních reaktorů, průmyslového a zdravotnického použití a iniciativ v oblasti výzkumu vesmíru jsou ve všech členských státech zapotřebí odborné znalosti v oblasti jaderné a radiační ochrany;</w:t>
      </w:r>
    </w:p>
    <w:p w:rsidR="00FA3940" w:rsidRPr="002D70FD" w:rsidRDefault="00FA3940" w:rsidP="006C4004">
      <w:pPr>
        <w:pStyle w:val="NormalHanging12a"/>
      </w:pPr>
      <w:r w:rsidRPr="002D70FD">
        <w:t>1.</w:t>
      </w:r>
      <w:r w:rsidRPr="002D70FD">
        <w:tab/>
        <w:t>vítá prohlášení Komise o malých modulárních reaktorech v EU 2030, v němž se poukazuje na úlohu výzkumu, inovací, vzdělávání a odborné přípravy pro bezpečnost malých modulárních reaktorů v EU a na to, že je nutné, aby se všechna odvětví podílela na transformaci hospodářství EU za účelem dosažení klimatické neutrality, energetické bezpečnosti a strategické autonomie;</w:t>
      </w:r>
    </w:p>
    <w:p w:rsidR="00FA3940" w:rsidRPr="002D70FD" w:rsidRDefault="00FA3940" w:rsidP="006C4004">
      <w:pPr>
        <w:pStyle w:val="NormalHanging12a"/>
      </w:pPr>
      <w:r w:rsidRPr="002D70FD">
        <w:t>2.</w:t>
      </w:r>
      <w:r w:rsidRPr="002D70FD">
        <w:tab/>
        <w:t>uznává, že je třeba vyřešit klimatickou krizi; domnívá se, že EU by se měla zaměřit na celou škálu řešení s nulovými čistými emisemi, aby zvýšila své šance na dosažení klimatické neutrality do roku 2050 a diverzifikovala svou kapacitu pro výrobu energie s cílem zvýšit zabezpečení dodávek;</w:t>
      </w:r>
    </w:p>
    <w:p w:rsidR="00FA3940" w:rsidRPr="002D70FD" w:rsidRDefault="00FA3940" w:rsidP="006C4004">
      <w:pPr>
        <w:pStyle w:val="NormalHanging12a"/>
      </w:pPr>
      <w:r w:rsidRPr="002D70FD">
        <w:t>3.</w:t>
      </w:r>
      <w:r w:rsidRPr="002D70FD">
        <w:tab/>
        <w:t>zdůrazňuje, že je třeba prozkoumat potenciál malých modulárních reaktorů, pokud jde o zajištění spolehlivých, cenově dostupných dodávek elektřiny na vyžádání v EU, potenciální kapacitu pro zajištění stabilní základní kapacity čisté elektřiny a tepla a páry pro průmysl a domácnosti, včetně případného dovybavení uhelných elektráren; poukazuje na to, že k zajištění bezpečnosti, účinnosti a nákladové efektivnosti malých modulárních reaktorů je zapotřebí výzkum a vývoj v oblasti těchto technologií;</w:t>
      </w:r>
    </w:p>
    <w:p w:rsidR="00FA3940" w:rsidRPr="002D70FD" w:rsidRDefault="00FA3940" w:rsidP="006C4004">
      <w:pPr>
        <w:pStyle w:val="NormalHanging12a"/>
      </w:pPr>
      <w:r w:rsidRPr="002D70FD">
        <w:t>4.</w:t>
      </w:r>
      <w:r w:rsidRPr="002D70FD">
        <w:tab/>
        <w:t>vyzývá k vypracování komplexní strategie pro zavádění malých modulárních reaktorů v EU s přihlédnutím ke specifickým potřebám a podmínkám v různých regionech, včetně odlehlých a málo zalidněných oblastí a nejrůznějších hospodářských odvětví; domnívá se, že taková strategie by měla umožnit stanovení jasných pokynů pro</w:t>
      </w:r>
      <w:r w:rsidR="00FA492B" w:rsidRPr="002D70FD">
        <w:t> </w:t>
      </w:r>
      <w:r w:rsidRPr="002D70FD">
        <w:t>plánování, povolování a časové plány, regulaci a bezpečnost;</w:t>
      </w:r>
    </w:p>
    <w:p w:rsidR="00FA3940" w:rsidRPr="002D70FD" w:rsidRDefault="00FA3940" w:rsidP="006C4004">
      <w:pPr>
        <w:pStyle w:val="NormalHanging12a"/>
      </w:pPr>
      <w:r w:rsidRPr="002D70FD">
        <w:t>5.</w:t>
      </w:r>
      <w:r w:rsidRPr="002D70FD">
        <w:tab/>
        <w:t>uznává sociálně ekonomické dopady vyplývající ze zavádění malých modulárních reaktorů, pokud jde o vznik vysoce kvalifikovaných pracovních míst a společností s velkou přidanou hodnotou v EU;</w:t>
      </w:r>
    </w:p>
    <w:p w:rsidR="00FA3940" w:rsidRPr="002D70FD" w:rsidRDefault="00FA3940" w:rsidP="006C4004">
      <w:pPr>
        <w:pStyle w:val="NormalHanging12a"/>
      </w:pPr>
      <w:r w:rsidRPr="002D70FD">
        <w:t>6.</w:t>
      </w:r>
      <w:r w:rsidRPr="002D70FD">
        <w:tab/>
        <w:t>vybízí Komisi a členské státy, aby zvyšovaly povědomí a informovanost veřejnosti o potenciálních výhodách</w:t>
      </w:r>
      <w:r w:rsidR="0013052F">
        <w:t xml:space="preserve"> </w:t>
      </w:r>
      <w:r w:rsidRPr="002D70FD">
        <w:t>malých modulárních reaktorů a zajistily inkluzivní rozhodovací procesy v této oblasti;</w:t>
      </w:r>
    </w:p>
    <w:p w:rsidR="00FA3940" w:rsidRPr="002D70FD" w:rsidRDefault="00FA3940" w:rsidP="006C4004">
      <w:pPr>
        <w:pStyle w:val="Normal12a24b"/>
        <w:spacing w:before="0"/>
        <w:ind w:left="567" w:hanging="567"/>
      </w:pPr>
      <w:r w:rsidRPr="002D70FD">
        <w:rPr>
          <w:rStyle w:val="BoldItalic"/>
        </w:rPr>
        <w:t>EU jako významný potenciální trh pro malé modulární reaktory</w:t>
      </w:r>
    </w:p>
    <w:p w:rsidR="00FA3940" w:rsidRPr="002D70FD" w:rsidRDefault="00FA3940" w:rsidP="006C4004">
      <w:pPr>
        <w:pStyle w:val="NormalHanging12a"/>
      </w:pPr>
      <w:r w:rsidRPr="002D70FD">
        <w:lastRenderedPageBreak/>
        <w:t>7.</w:t>
      </w:r>
      <w:r w:rsidRPr="002D70FD">
        <w:tab/>
        <w:t>uznává, že evropský řetězec dodávek jaderného paliva je strategickým přínosem a že bude hrát důležitou roli při podpoře vývoje technologie reaktorů nové generace;</w:t>
      </w:r>
    </w:p>
    <w:p w:rsidR="00FA3940" w:rsidRPr="002D70FD" w:rsidRDefault="00FA3940" w:rsidP="006C4004">
      <w:pPr>
        <w:pStyle w:val="NormalHanging12a"/>
      </w:pPr>
      <w:r w:rsidRPr="002D70FD">
        <w:t>8.</w:t>
      </w:r>
      <w:r w:rsidRPr="002D70FD">
        <w:tab/>
        <w:t>vybízí k prozkoumání možného využití malých modulárních reaktorů při výrobě nízkouhlíkového vodíku, a to jak v rámci jeho přímého využití v průmyslu, tak i při výrobě udržitelných syntetických paliv; připomíná, že s ohledem na předpovědi týkající se celosvětového nárůstu poptávky po vodíku je k zajištění potřebného rozsahu výroby vodíku nutného k dekarbonizaci evropského průmyslu zapotřebí obrovské množství nových kapacit pro výrobu elektřiny;</w:t>
      </w:r>
    </w:p>
    <w:p w:rsidR="00FA3940" w:rsidRPr="002D70FD" w:rsidRDefault="00FA3940" w:rsidP="006C4004">
      <w:pPr>
        <w:pStyle w:val="NormalHanging12a"/>
      </w:pPr>
      <w:r w:rsidRPr="002D70FD">
        <w:t>9.</w:t>
      </w:r>
      <w:r w:rsidRPr="002D70FD">
        <w:tab/>
        <w:t>uznává potenciální úlohu malých modulárních reaktorů při výrobě tepla a páry pro průmyslové postupy, zejména v těch hospodářských odvětvích, v nichž je obtížné snížit emise CO</w:t>
      </w:r>
      <w:r w:rsidRPr="002D70FD">
        <w:rPr>
          <w:vertAlign w:val="subscript"/>
        </w:rPr>
        <w:t>2</w:t>
      </w:r>
      <w:r w:rsidRPr="002D70FD">
        <w:t>;</w:t>
      </w:r>
    </w:p>
    <w:p w:rsidR="00FA3940" w:rsidRPr="002D70FD" w:rsidRDefault="00FA3940" w:rsidP="006C4004">
      <w:pPr>
        <w:pStyle w:val="NormalHanging12a"/>
      </w:pPr>
      <w:r w:rsidRPr="002D70FD">
        <w:t>10.</w:t>
      </w:r>
      <w:r w:rsidRPr="002D70FD">
        <w:tab/>
        <w:t>vybízí k prozkoumání potenciální úlohy malých modulárních reaktorů při centrálním zásobování teplem a chlazení tam, kde nejsou k dispozici jiné čisté zdroje energie; připomíná, že vytápění a chlazení tvoří přibližně polovinu veškeré spotřeby energie v EU, kterou v současné době z většiny pokrývají fosilní paliva; uznává, že malé modulární reaktory mohou systémy centrálního zásobování zásobovat nízkoteplotním teplem s nulovými emisemi; poznamenává, že malé modulární reaktory mohou být navrženy tak, aby produkovaly pouze teplo, a proto mohou být provozovány při nižších teplotách a nižším tlaku;</w:t>
      </w:r>
    </w:p>
    <w:p w:rsidR="00FA3940" w:rsidRPr="002D70FD" w:rsidRDefault="00FA3940" w:rsidP="006C4004">
      <w:pPr>
        <w:pStyle w:val="NormalHanging12a"/>
      </w:pPr>
      <w:r w:rsidRPr="002D70FD">
        <w:t>11.</w:t>
      </w:r>
      <w:r w:rsidRPr="002D70FD">
        <w:tab/>
        <w:t>uznává potenciál malých modulárních reaktorů, pokud jde o konkurenceschopné a udržitelné odsolování vody;</w:t>
      </w:r>
    </w:p>
    <w:p w:rsidR="00FA3940" w:rsidRPr="002D70FD" w:rsidRDefault="00FA3940" w:rsidP="006C4004">
      <w:pPr>
        <w:pStyle w:val="NormalHanging12a"/>
      </w:pPr>
      <w:r w:rsidRPr="002D70FD">
        <w:t>12.</w:t>
      </w:r>
      <w:r w:rsidRPr="002D70FD">
        <w:tab/>
        <w:t>je si vědom toho, že malé modulární reaktory mohou hrát úlohu při zvyšování objemu výroby elektřiny a</w:t>
      </w:r>
      <w:r w:rsidR="0013052F">
        <w:t xml:space="preserve"> </w:t>
      </w:r>
      <w:r w:rsidRPr="002D70FD">
        <w:t>stability sítě;</w:t>
      </w:r>
    </w:p>
    <w:p w:rsidR="00FA3940" w:rsidRPr="002D70FD" w:rsidRDefault="00FA3940" w:rsidP="006C4004">
      <w:pPr>
        <w:pStyle w:val="Normal12a24b"/>
        <w:spacing w:before="0"/>
        <w:ind w:left="567" w:hanging="567"/>
      </w:pPr>
      <w:r w:rsidRPr="002D70FD">
        <w:rPr>
          <w:rStyle w:val="BoldItalic"/>
        </w:rPr>
        <w:t>Celosvětové soupeření o vedoucí postavení na budoucím trhu malých modulárních reaktorů</w:t>
      </w:r>
    </w:p>
    <w:p w:rsidR="00FA3940" w:rsidRPr="002D70FD" w:rsidRDefault="00FA3940" w:rsidP="006C4004">
      <w:pPr>
        <w:pStyle w:val="NormalHanging12a"/>
      </w:pPr>
      <w:r w:rsidRPr="002D70FD">
        <w:t>13.</w:t>
      </w:r>
      <w:r w:rsidRPr="002D70FD">
        <w:tab/>
        <w:t>zdůrazňuje, že malé modulární reaktory jsou provozovány pouze v Rusku a Číně, ale že více než 80 projektů malých modulárních reaktorů je dnes v 18 zemích v různých fázích vývoje a zavádění; zdůrazňuje, že EU by měla na budoucím trhu malých modulárních reaktorů udržet své postavení technologického lídra; zdůrazňuje, že konkurence v oblasti malých modulárních reaktorů je intenzivní a že již byla zahájena řada iniciativ;</w:t>
      </w:r>
    </w:p>
    <w:p w:rsidR="00FA3940" w:rsidRPr="002D70FD" w:rsidRDefault="00FA3940" w:rsidP="006C4004">
      <w:pPr>
        <w:pStyle w:val="NormalHanging12a"/>
      </w:pPr>
      <w:r w:rsidRPr="002D70FD">
        <w:t>14.</w:t>
      </w:r>
      <w:r w:rsidRPr="002D70FD">
        <w:tab/>
        <w:t>zdůrazňuje, že jaderná energie je v zemích, které ji využívají, důležitá pro vyrovnávání celkového energetického systému, omezování závislosti na třetích zemích a zajišťování energetické bezpečnosti a stabilních cen energie;</w:t>
      </w:r>
    </w:p>
    <w:p w:rsidR="00FA3940" w:rsidRPr="002D70FD" w:rsidRDefault="00FA3940" w:rsidP="006C4004">
      <w:pPr>
        <w:pStyle w:val="NormalHanging12a"/>
      </w:pPr>
      <w:r w:rsidRPr="002D70FD">
        <w:t>15.</w:t>
      </w:r>
      <w:r w:rsidRPr="002D70FD">
        <w:tab/>
        <w:t>konstatuje, že EU již má v oblasti jaderných technologií vysokou úroveň odborných znalostí a zkušeností, které lze při vývoji a zavádění malých modulárních reaktorů využít; upozorňuje, že palivový cyklus bude nutné dále přizpůsobovat tak, aby pro</w:t>
      </w:r>
      <w:r w:rsidR="00006A1E" w:rsidRPr="002D70FD">
        <w:t> </w:t>
      </w:r>
      <w:r w:rsidRPr="002D70FD">
        <w:t>výrobu malých modulárních reaktorů vznikl dodavatelský řetězec, který bude generovat přidanou hodnotu hlavně v Evropě;</w:t>
      </w:r>
    </w:p>
    <w:p w:rsidR="00FA3940" w:rsidRPr="002D70FD" w:rsidRDefault="00FA3940" w:rsidP="006C4004">
      <w:pPr>
        <w:pStyle w:val="NormalHanging12a"/>
      </w:pPr>
      <w:r w:rsidRPr="002D70FD">
        <w:t>16.</w:t>
      </w:r>
      <w:r w:rsidRPr="002D70FD">
        <w:tab/>
        <w:t>zastává názor, že malé modulární reaktory by mohly vytvářet další průmyslové příležitosti nad rámec tradičního jaderného odvětví a mohly by příležitost ke vstupu do</w:t>
      </w:r>
      <w:r w:rsidR="00006A1E" w:rsidRPr="002D70FD">
        <w:t> </w:t>
      </w:r>
      <w:r w:rsidRPr="002D70FD">
        <w:t>jaderného dodavatelského řetězce nabídnout novým aktérům, a tím posílit konkurenceschopnost EU v řadě hospodářských odvětví;</w:t>
      </w:r>
    </w:p>
    <w:p w:rsidR="00FA3940" w:rsidRPr="002D70FD" w:rsidRDefault="00FA3940" w:rsidP="006C4004">
      <w:pPr>
        <w:pStyle w:val="NormalHanging12a"/>
      </w:pPr>
      <w:r w:rsidRPr="002D70FD">
        <w:lastRenderedPageBreak/>
        <w:t>17.</w:t>
      </w:r>
      <w:r w:rsidRPr="002D70FD">
        <w:tab/>
        <w:t>je si vědom toho, že rozsah příspěvku malých modulárních reaktorů k evropské energetické nezávislosti do značné míry závisí na umístění jejich hodnotového řetězce na evropském území; zdůrazňuje, že hodnotový řetězec umístěný v EU posílí i dovednosti a know-how v této technologické oblasti; vyzývá proto, aby se v budoucnosti při zadávání veřejných zakázek v oblasti malých modulárních reaktorů postupovalo na základě evropské preference;</w:t>
      </w:r>
    </w:p>
    <w:p w:rsidR="00FA3940" w:rsidRPr="002D70FD" w:rsidRDefault="00FA3940" w:rsidP="006C4004">
      <w:pPr>
        <w:pStyle w:val="Normal12a24b"/>
        <w:spacing w:before="0"/>
        <w:ind w:left="567" w:hanging="567"/>
      </w:pPr>
      <w:r w:rsidRPr="002D70FD">
        <w:rPr>
          <w:rStyle w:val="BoldItalic"/>
        </w:rPr>
        <w:t xml:space="preserve">Partnerství v oblasti malých modulárních reaktorů </w:t>
      </w:r>
    </w:p>
    <w:p w:rsidR="00FA3940" w:rsidRPr="002D70FD" w:rsidRDefault="00FA3940" w:rsidP="006C4004">
      <w:pPr>
        <w:pStyle w:val="NormalHanging12a"/>
      </w:pPr>
      <w:r w:rsidRPr="002D70FD">
        <w:t>18.</w:t>
      </w:r>
      <w:r w:rsidRPr="002D70FD">
        <w:tab/>
        <w:t>všímá si, že čím dál větší počet členských států zvažuje pro svůj energetický mix jadernou energii, což vyvolává potřebu tyto kroky koordinovat, a upozorňuje, že tato situace nabízí daným členským státům příležitost ke společnému rozvoji evropského malého modulárního reaktoru;</w:t>
      </w:r>
    </w:p>
    <w:p w:rsidR="00FA3940" w:rsidRPr="002D70FD" w:rsidRDefault="00FA3940" w:rsidP="006C4004">
      <w:pPr>
        <w:pStyle w:val="NormalHanging12a"/>
      </w:pPr>
      <w:r w:rsidRPr="002D70FD">
        <w:t>19.</w:t>
      </w:r>
      <w:r w:rsidRPr="002D70FD">
        <w:tab/>
        <w:t>vítá vznik tzv. evropského partnerství pro malé modulární reaktory v podobě systému spolupráce se zapojením průmyslových subjektů, výzkumných a technologických organizací, zainteresovaných zákazníků, evropských regulačních orgánů a Komise;</w:t>
      </w:r>
    </w:p>
    <w:p w:rsidR="00FA3940" w:rsidRPr="002D70FD" w:rsidRDefault="00FA3940" w:rsidP="006C4004">
      <w:pPr>
        <w:pStyle w:val="NormalHanging12a"/>
      </w:pPr>
      <w:r w:rsidRPr="002D70FD">
        <w:t>20.</w:t>
      </w:r>
      <w:r w:rsidRPr="002D70FD">
        <w:tab/>
        <w:t>konstatuje, že jaderná aliance požádala Komisi, aby aktivně podpořila předběžné partnerství v oblasti malých modulárních reaktorů a aby jej transformovala do</w:t>
      </w:r>
      <w:r w:rsidR="0049539A" w:rsidRPr="002D70FD">
        <w:t> </w:t>
      </w:r>
      <w:r w:rsidRPr="002D70FD">
        <w:t>partnerství v plném slova smyslu;</w:t>
      </w:r>
    </w:p>
    <w:p w:rsidR="00FA3940" w:rsidRPr="002D70FD" w:rsidRDefault="00FA3940" w:rsidP="006C4004">
      <w:pPr>
        <w:pStyle w:val="Normal12a24b"/>
        <w:spacing w:before="0"/>
        <w:ind w:left="567" w:hanging="567"/>
      </w:pPr>
      <w:r w:rsidRPr="002D70FD">
        <w:rPr>
          <w:rStyle w:val="BoldItalic"/>
        </w:rPr>
        <w:t xml:space="preserve">Přizpůsobený politický a regulační rámec: technologická neutralita </w:t>
      </w:r>
    </w:p>
    <w:p w:rsidR="00FA3940" w:rsidRPr="002D70FD" w:rsidRDefault="00FA3940" w:rsidP="006C4004">
      <w:pPr>
        <w:pStyle w:val="NormalHanging12a"/>
      </w:pPr>
      <w:r w:rsidRPr="002D70FD">
        <w:t>21.</w:t>
      </w:r>
      <w:r w:rsidRPr="002D70FD">
        <w:tab/>
        <w:t>uznává, že základní podmínkou pro rozvoj malých modulárních reaktorů v EU je podpůrná a technologicky neutrální politika a stabilní, dlouhodobý regulační rámec, který bude zohledňovat různé technologie výroby čisté energie a řešit otázku jaderné bezpečnosti; zdůrazňuje potřebu předvídatelného právního rámce, který bude investorům během celé životnosti malých modulárních reaktorů poskytovat právní jistotu;</w:t>
      </w:r>
    </w:p>
    <w:p w:rsidR="00FA3940" w:rsidRPr="002D70FD" w:rsidRDefault="00FA3940" w:rsidP="006C4004">
      <w:pPr>
        <w:pStyle w:val="NormalHanging12a"/>
      </w:pPr>
      <w:r w:rsidRPr="002D70FD">
        <w:t>22.</w:t>
      </w:r>
      <w:r w:rsidRPr="002D70FD">
        <w:tab/>
        <w:t>konstatuje, že v současné době neexistuje pro malé modulární reaktory žádný sjednocený trh, jelikož otázka jaderné energie je v jednotlivých zemích poměrně citlivá a mnoho zemí se snaží prosazovat vlastní průmysl; je si vědom toho, že má-li se u malých modulárních reaktorů využívat možnosti úspor z rozsahu, je třeba zajistit standardizovaný licenční rámec;</w:t>
      </w:r>
    </w:p>
    <w:p w:rsidR="00FA3940" w:rsidRPr="002D70FD" w:rsidRDefault="00FA3940" w:rsidP="006C4004">
      <w:pPr>
        <w:pStyle w:val="NormalHanging12a"/>
      </w:pPr>
      <w:r w:rsidRPr="002D70FD">
        <w:t>23.</w:t>
      </w:r>
      <w:r w:rsidRPr="002D70FD">
        <w:tab/>
        <w:t>uznává, že pro zajištění dlouhodobé předvídatelnosti vývoje na energetických trzích a pro zajištění investic do malých modulárních reaktorů v budoucnu je zapotřebí provádět příslušné smluvní a finanční mechanismy, jako jsou dvoustranné dlouhodobé smlouvy a rozdílové smlouvy;</w:t>
      </w:r>
    </w:p>
    <w:p w:rsidR="00FA3940" w:rsidRPr="002D70FD" w:rsidRDefault="00FA3940" w:rsidP="006C4004">
      <w:pPr>
        <w:pStyle w:val="NormalHanging12a"/>
      </w:pPr>
      <w:r w:rsidRPr="002D70FD">
        <w:t>24.</w:t>
      </w:r>
      <w:r w:rsidRPr="002D70FD">
        <w:tab/>
        <w:t>vyzývá Komisi, aby zavedla pro malé modulární reaktory zvláštní průmyslovou strategii EU, která se bude mimo jiné zaměřovat na účinné povolovací postupy, přístup k</w:t>
      </w:r>
      <w:r w:rsidR="0049539A" w:rsidRPr="002D70FD">
        <w:t> </w:t>
      </w:r>
      <w:r w:rsidRPr="002D70FD">
        <w:t>financování a stabilní dodavatelské řetězce, s cílem umožnit zavádění domácích technologií malých modulárních reaktorů a rozšířit informovanost o nich;</w:t>
      </w:r>
    </w:p>
    <w:p w:rsidR="00FA3940" w:rsidRPr="002D70FD" w:rsidRDefault="00FA3940" w:rsidP="006C4004">
      <w:pPr>
        <w:pStyle w:val="NormalHanging12a"/>
      </w:pPr>
      <w:r w:rsidRPr="002D70FD">
        <w:t>25.</w:t>
      </w:r>
      <w:r w:rsidRPr="002D70FD">
        <w:tab/>
        <w:t>je si vědom toho, že vzhledem k riziku kybernetických útoků je nezbytné chránit IT systémy, které jsou pro fungování malých modulárních reaktorů potřebné; zdůrazňuje, že kybernetickou bezpečnost je třeba považovat za základní součást jaderné bezpečnosti jako takové;</w:t>
      </w:r>
    </w:p>
    <w:p w:rsidR="00FA3940" w:rsidRPr="002D70FD" w:rsidRDefault="00FA3940" w:rsidP="006C4004">
      <w:pPr>
        <w:pStyle w:val="Normal12a24b"/>
        <w:spacing w:before="0"/>
        <w:ind w:left="567" w:hanging="567"/>
      </w:pPr>
      <w:r w:rsidRPr="002D70FD">
        <w:rPr>
          <w:rStyle w:val="BoldItalic"/>
        </w:rPr>
        <w:lastRenderedPageBreak/>
        <w:t xml:space="preserve">Začleňování a zavádění malých modulárních reaktorů na trh </w:t>
      </w:r>
    </w:p>
    <w:p w:rsidR="00FA3940" w:rsidRPr="002D70FD" w:rsidRDefault="00FA3940" w:rsidP="006C4004">
      <w:pPr>
        <w:pStyle w:val="NormalHanging12a"/>
      </w:pPr>
      <w:r w:rsidRPr="002D70FD">
        <w:t>26.</w:t>
      </w:r>
      <w:r w:rsidRPr="002D70FD">
        <w:tab/>
        <w:t>zdůrazňuje, že mají-li se účinně plnit očekávání vývojářů malých modulárních reaktorů, pokud jde o palivový cyklus a nakládání s odpady, včetně přípravných prací pro</w:t>
      </w:r>
      <w:r w:rsidR="00FA492B" w:rsidRPr="002D70FD">
        <w:t> </w:t>
      </w:r>
      <w:r w:rsidRPr="002D70FD">
        <w:t>zajištění provozní připravenosti v souvislosti s konkrétními požadavky na první část palivového cyklu před zavedením této technologie do praxe, je třeba být aktivní, co se týče anticipace, inovací a adaptace;</w:t>
      </w:r>
    </w:p>
    <w:p w:rsidR="00FA3940" w:rsidRPr="002D70FD" w:rsidRDefault="00FA3940" w:rsidP="006C4004">
      <w:pPr>
        <w:pStyle w:val="NormalHanging12a"/>
      </w:pPr>
      <w:r w:rsidRPr="002D70FD">
        <w:t>27.</w:t>
      </w:r>
      <w:r w:rsidRPr="002D70FD">
        <w:tab/>
        <w:t>zdůrazňuje, že rozhodnutí o otázkách týkajících se obou konců cyklu by měla být přijímána v rané fázi vývoje za aktivní účasti odvětví palivového cyklu s cílem optimalizovat a ověřovat nové koncepce s důrazem na provozní náklady během celé životnosti zařízení a dlouhodobou bezpečnost dodávek, jakož i na programy nakládání s vyhořelým palivem a radioaktivním odpadem; konstatuje, že včasné zapojení účastníků palivového cyklu je klíčové pro snadnější a rychlejší uvedení malých modulárních reaktorů do komerčního oběhu;</w:t>
      </w:r>
    </w:p>
    <w:p w:rsidR="00FA3940" w:rsidRPr="002D70FD" w:rsidRDefault="00FA3940" w:rsidP="006C4004">
      <w:pPr>
        <w:pStyle w:val="NormalHanging12a"/>
      </w:pPr>
      <w:r w:rsidRPr="002D70FD">
        <w:t>28.</w:t>
      </w:r>
      <w:r w:rsidRPr="002D70FD">
        <w:tab/>
        <w:t>zdůrazňuje, že zásadní význam pro to, aby mohli poskytovatelé služeb dlouhodobě plánovat a urychlit své projekty podle tržních příležitostí, bude mít jasná podpora ze strany veřejných orgánů, která dodavatelskému řetězci malých modulárních reaktorů zaručí konkurenceschopnost; zdůrazňuje, že až malé modulární reaktory splní požadavky pro uvedení na trh, musí být k dispozici rychlé povolovací postupy; vybízí Komisi, aby se zamyslela nad tím, jak povolovací postupy pro zavádění malých modulárních reaktorů urychlit;</w:t>
      </w:r>
    </w:p>
    <w:p w:rsidR="00FA3940" w:rsidRPr="002D70FD" w:rsidRDefault="00FA3940" w:rsidP="006C4004">
      <w:pPr>
        <w:pStyle w:val="NormalHanging12a"/>
        <w:rPr>
          <w:b/>
          <w:i/>
        </w:rPr>
      </w:pPr>
      <w:r w:rsidRPr="002D70FD">
        <w:rPr>
          <w:b/>
          <w:i/>
        </w:rPr>
        <w:t>Harmonizace systémů udělování licencí pro malé modulární reaktory</w:t>
      </w:r>
    </w:p>
    <w:p w:rsidR="00FA3940" w:rsidRPr="002D70FD" w:rsidRDefault="00FA3940" w:rsidP="006C4004">
      <w:pPr>
        <w:pStyle w:val="NormalHanging12a"/>
      </w:pPr>
      <w:r w:rsidRPr="002D70FD">
        <w:t>29.</w:t>
      </w:r>
      <w:r w:rsidRPr="002D70FD">
        <w:tab/>
        <w:t>zdůrazňuje, že klíčovým faktorem úspěchu malých modulárních reaktorů je sériová výroba, která by výrobcům umožnila zlepšit jejich procesy, snížit náklady a zkrátit výrobní dobu;</w:t>
      </w:r>
    </w:p>
    <w:p w:rsidR="00FA3940" w:rsidRPr="002D70FD" w:rsidRDefault="00FA3940" w:rsidP="006C4004">
      <w:pPr>
        <w:pStyle w:val="NormalHanging12a"/>
      </w:pPr>
      <w:r w:rsidRPr="002D70FD">
        <w:t>30.</w:t>
      </w:r>
      <w:r w:rsidRPr="002D70FD">
        <w:tab/>
        <w:t>vyzývá k urychlení spolupráce vnitrostátní orgánů dozoru v oblasti jaderné bezpečnosti s cílem harmonizovat proces předběžného udělování licencí a standardizace návrhů malých modulárních reaktorů na základě obecně přijímaných posouzení bezpečnosti; je si vědom toho, že standardní návrhy modelů malých modulárních reaktorů jsou předpokladem pro jejich úspěšné používání v komerčním měřítku, přičemž je nutno se vyrovnat s různorodostí regulačních přístupů v jednotlivých členských státech EU;</w:t>
      </w:r>
    </w:p>
    <w:p w:rsidR="00FA3940" w:rsidRPr="002D70FD" w:rsidRDefault="00FA3940" w:rsidP="006C4004">
      <w:pPr>
        <w:pStyle w:val="NormalHanging12a"/>
      </w:pPr>
      <w:r w:rsidRPr="002D70FD">
        <w:t>31.</w:t>
      </w:r>
      <w:r w:rsidRPr="002D70FD">
        <w:tab/>
        <w:t>vítá mezinárodní iniciativy, které se na rozvoj konkrétních návrhů malých modulárních reaktorů zaměřují; zastává názor, že společné přezkumy návrhů malých modulárních reaktorů mohou proces udělování licencí urychlit, aniž by byla ohrožena jaderná bezpečnost a jaderné zabezpečení;</w:t>
      </w:r>
    </w:p>
    <w:p w:rsidR="00FA3940" w:rsidRPr="002D70FD" w:rsidRDefault="00FA3940" w:rsidP="006C4004">
      <w:pPr>
        <w:pStyle w:val="NormalHanging12a"/>
      </w:pPr>
      <w:r w:rsidRPr="002D70FD">
        <w:t>32.</w:t>
      </w:r>
      <w:r w:rsidRPr="002D70FD">
        <w:tab/>
        <w:t>vyzývá Komisi, aby se aktivně podílela na vytváření a podpoře „regulačních aliancí“ mezi členskými státy, v případě nutnosti ve spolupráci s mezinárodními organizacemi; domnívá se, že jedním z cílů by bylo zajistit v postupech udělování licencí pro malé modulární reaktory vyšší stupeň ekvivalence;</w:t>
      </w:r>
    </w:p>
    <w:p w:rsidR="00FA3940" w:rsidRPr="002D70FD" w:rsidRDefault="00FA3940" w:rsidP="006C4004">
      <w:pPr>
        <w:pStyle w:val="NormalHanging12a"/>
      </w:pPr>
      <w:r w:rsidRPr="002D70FD">
        <w:t>33.</w:t>
      </w:r>
      <w:r w:rsidRPr="002D70FD">
        <w:tab/>
        <w:t>vybízí regulační orgány a vnitrostátní úřady, aby pokračovaly v procesu, jímž pro</w:t>
      </w:r>
      <w:r w:rsidR="0049539A" w:rsidRPr="002D70FD">
        <w:t> </w:t>
      </w:r>
      <w:r w:rsidRPr="002D70FD">
        <w:t xml:space="preserve">zefektivnění a harmonizaci udělování licencí u malých modulárních reaktorů v Unii vytvářejí vhodné podmínky; je přesvědčen, že je ve strategickém zájmu EU vnitrostátní regulační orgány vybízet, aby zaváděly takové postupy pro udělování licencí, které </w:t>
      </w:r>
      <w:r w:rsidRPr="002D70FD">
        <w:lastRenderedPageBreak/>
        <w:t>budou technologicky inkluzivní a založené na výkonnosti a informacích o rizicích a které zefektivní posuzování bezpečnosti, omezí regulační zátěž, zvýší bezpečnost, sníží náklady a usnadní inovace;</w:t>
      </w:r>
    </w:p>
    <w:p w:rsidR="00FA3940" w:rsidRPr="002D70FD" w:rsidRDefault="00FA3940" w:rsidP="006C4004">
      <w:pPr>
        <w:pStyle w:val="Normal12a24b"/>
        <w:spacing w:before="0"/>
        <w:ind w:left="567" w:hanging="567"/>
      </w:pPr>
      <w:r w:rsidRPr="002D70FD">
        <w:rPr>
          <w:rStyle w:val="BoldItalic"/>
        </w:rPr>
        <w:t>Finanční podpora domácí výroby malých modulárních reaktorů</w:t>
      </w:r>
    </w:p>
    <w:p w:rsidR="00FA3940" w:rsidRPr="002D70FD" w:rsidRDefault="00FA3940" w:rsidP="006C4004">
      <w:pPr>
        <w:pStyle w:val="NormalHanging12a"/>
      </w:pPr>
      <w:r w:rsidRPr="002D70FD">
        <w:t>34.</w:t>
      </w:r>
      <w:r w:rsidRPr="002D70FD">
        <w:tab/>
        <w:t>uznává, že je třeba dostatečně prozkoumat a určit všechny možné varianty toho, jak evropskou výrobu malých modulárních reaktorů financovat a jak rozšířit a podporovat související dodavatelský řetězec; vyzývá Komisi a členské státy, aby hledaly zdroje, z nichž lze zavádění malých modulárních reaktorů financovat, a aby vypracovaly plán řešení nedostatku finančních prostředků, pokud to budou považovat za nutné;</w:t>
      </w:r>
    </w:p>
    <w:p w:rsidR="00FA3940" w:rsidRPr="002D70FD" w:rsidRDefault="00FA3940" w:rsidP="006C4004">
      <w:pPr>
        <w:pStyle w:val="NormalHanging12a"/>
      </w:pPr>
      <w:r w:rsidRPr="002D70FD">
        <w:t>35.</w:t>
      </w:r>
      <w:r w:rsidRPr="002D70FD">
        <w:tab/>
        <w:t>zdůrazňuje, že domácí výroba malých modulárních reaktorů vyžaduje vysoké investice, které by mohla podpořit řada nástrojů, jako jsou soukromé investice, státní dotace, evropské fondy a půjčky Evropské investiční banky (EIB); konstatuje, že má-li EIB investice do výroby malých modulárních reaktorů plně podporovat, bude muset sladit svou úvěrovou politiku v oblasti energetiky s taxonomií EU;</w:t>
      </w:r>
    </w:p>
    <w:p w:rsidR="00FA3940" w:rsidRPr="002D70FD" w:rsidRDefault="00FA3940" w:rsidP="006C4004">
      <w:pPr>
        <w:pStyle w:val="NormalHanging12a"/>
      </w:pPr>
      <w:r w:rsidRPr="002D70FD">
        <w:t>36.</w:t>
      </w:r>
      <w:r w:rsidRPr="002D70FD">
        <w:tab/>
        <w:t>vyzývá Komisi, aby se zabývala možností, že by členské státy k financování výzkumu a rozvoje malých modulárních reaktorů využívaly veškeré způsobilé prostředky nebo prostředky z Fondu pro spravedlivou transformaci;</w:t>
      </w:r>
    </w:p>
    <w:p w:rsidR="00FA3940" w:rsidRPr="002D70FD" w:rsidRDefault="00FA3940" w:rsidP="006C4004">
      <w:pPr>
        <w:pStyle w:val="NormalHanging12a"/>
      </w:pPr>
      <w:r w:rsidRPr="002D70FD">
        <w:t>37.</w:t>
      </w:r>
      <w:r w:rsidRPr="002D70FD">
        <w:tab/>
        <w:t>uznává, že je třeba zařadit technologie, které jsou založené na energii z jaderného štěpení a jaderné fúze, včetně technologií jaderného palivového cyklu, na seznam technologií pro nulové čisté emise podle aktu o průmyslu pro nulové čisté emise, které jsou v současné době způsobilé pro podporu v rámci platformy pro strategické technologie pro Evropu (STEP) a potenciálně způsobilé pro podporu v rámci podobných nástrojů v budoucnu;</w:t>
      </w:r>
    </w:p>
    <w:p w:rsidR="00FA3940" w:rsidRPr="002D70FD" w:rsidRDefault="00FA3940" w:rsidP="006C4004">
      <w:pPr>
        <w:pStyle w:val="NormalHanging12a"/>
      </w:pPr>
      <w:r w:rsidRPr="002D70FD">
        <w:t>38.</w:t>
      </w:r>
      <w:r w:rsidRPr="002D70FD">
        <w:tab/>
        <w:t>vítá skutečnost, že program Euratomu pro výzkum a odbornou přípravu již financuje výzkumné projekty týkající se bezpečnosti technologií malých modulárních reaktorů a pokročilých modulárních reaktorů, jakož i udělování příslušných licencí; zdůrazňuje, že pokud chce EU zůstat konkurenceschopná při rozvoji odvětví malých modulárních reaktorů, včetně zlepšení v oblasti nakládání s odpady a recyklace paliv, je naléhavě zapotřebí koordinovanějšího a cílenějšího financování;</w:t>
      </w:r>
    </w:p>
    <w:p w:rsidR="00FA3940" w:rsidRPr="002D70FD" w:rsidRDefault="00FA3940" w:rsidP="006C4004">
      <w:pPr>
        <w:pStyle w:val="NormalHanging12a"/>
      </w:pPr>
      <w:r w:rsidRPr="002D70FD">
        <w:t>39.</w:t>
      </w:r>
      <w:r w:rsidRPr="002D70FD">
        <w:tab/>
        <w:t>doporučuje zvážit inkluzivní přístup malých modulárních reaktorů k financování EU nad rámec režimů financování Euratomu;</w:t>
      </w:r>
    </w:p>
    <w:p w:rsidR="00FA3940" w:rsidRPr="002D70FD" w:rsidRDefault="00FA3940" w:rsidP="006C4004">
      <w:pPr>
        <w:pStyle w:val="NormalHanging12a"/>
      </w:pPr>
      <w:r w:rsidRPr="002D70FD">
        <w:t>40.</w:t>
      </w:r>
      <w:r w:rsidRPr="002D70FD">
        <w:tab/>
        <w:t>vyzývá k vytvoření specializované evropské struktury pro malé modulární reaktory, jako je nový společný podnik nebo průmyslová aliance pro tyto reaktory, nebo k vytvoření významného projektu společného evropského zájmu konkrétně určeného pro malé modulární reaktory, jehož cílem by mohl být vývoj demonstračního programu pokročilého reaktoru;</w:t>
      </w:r>
    </w:p>
    <w:p w:rsidR="00FA3940" w:rsidRPr="002D70FD" w:rsidRDefault="00FA3940" w:rsidP="006C4004">
      <w:pPr>
        <w:pStyle w:val="NormalHanging12a"/>
      </w:pPr>
      <w:r w:rsidRPr="002D70FD">
        <w:t>41.</w:t>
      </w:r>
      <w:r w:rsidRPr="002D70FD">
        <w:tab/>
        <w:t>domnívá se, že k zahájení studií proveditelnosti malých modulárních reaktorů je zapotřebí evropská finanční podpora; domnívá se, že rozvoj vznikajícího odvětví malých modulárních reaktorů v EU by mohl být přínosný pro její cíle v oblasti zaměstnanosti, neboť by mohl podpořit vytváření vysoce kvalitních pracovních míst a stáží a usnadnit rekvalifikaci nebo prohlubování dovedností pracovníků;</w:t>
      </w:r>
    </w:p>
    <w:p w:rsidR="00FA3940" w:rsidRPr="002D70FD" w:rsidRDefault="00FA3940" w:rsidP="006C4004">
      <w:pPr>
        <w:pStyle w:val="NormalHanging12a"/>
      </w:pPr>
      <w:r w:rsidRPr="002D70FD">
        <w:lastRenderedPageBreak/>
        <w:t>42.</w:t>
      </w:r>
      <w:r w:rsidRPr="002D70FD">
        <w:tab/>
        <w:t>vyjadřuje znepokojení nad celkovým rozpočtem na malé modulární reaktory ve</w:t>
      </w:r>
      <w:r w:rsidR="00FA492B" w:rsidRPr="002D70FD">
        <w:t> </w:t>
      </w:r>
      <w:r w:rsidRPr="002D70FD">
        <w:t>srovnání s dotacemi, které poskytují hospodářští partneři a konkurenti, zejména Čína, Rusko a USA;</w:t>
      </w:r>
    </w:p>
    <w:p w:rsidR="00FA3940" w:rsidRPr="002D70FD" w:rsidRDefault="00FA3940" w:rsidP="006C4004">
      <w:pPr>
        <w:pStyle w:val="NormalHanging12a"/>
        <w:rPr>
          <w:b/>
          <w:i/>
        </w:rPr>
      </w:pPr>
      <w:r w:rsidRPr="002D70FD">
        <w:rPr>
          <w:b/>
          <w:i/>
        </w:rPr>
        <w:t>Přizpůsobení dodavatelského řetězce a palivového cyklu</w:t>
      </w:r>
    </w:p>
    <w:p w:rsidR="00FA3940" w:rsidRPr="002D70FD" w:rsidRDefault="00FA3940" w:rsidP="006C4004">
      <w:pPr>
        <w:pStyle w:val="NormalHanging12a"/>
      </w:pPr>
      <w:r w:rsidRPr="002D70FD">
        <w:t>43.</w:t>
      </w:r>
      <w:r w:rsidRPr="002D70FD">
        <w:tab/>
        <w:t>zdůrazňuje, že pro úspěch výroby malých modulárních reaktorů je rozhodující odolný, schopný a spolehlivý dodavatelský řetězec, který bude umístěný v EU; připomíná, že EU je i nadále závislá na dováženém uranu, což představuje přirozené riziko pro její strategickou suverenitu a bezpečnost dodávek;</w:t>
      </w:r>
    </w:p>
    <w:p w:rsidR="00FA3940" w:rsidRPr="002D70FD" w:rsidRDefault="00FA3940" w:rsidP="006C4004">
      <w:pPr>
        <w:pStyle w:val="NormalHanging12a"/>
      </w:pPr>
      <w:r w:rsidRPr="002D70FD">
        <w:t>44.</w:t>
      </w:r>
      <w:r w:rsidRPr="002D70FD">
        <w:tab/>
        <w:t>vyzývá Komisi, aby provedla posouzení s cílem zajistit, aby rozvoji malých modulárních reaktorů nebránily potenciální nedostatky v dodavatelském řetězci, a aby se odpovídajícím způsobem této situaci přizpůsobila;</w:t>
      </w:r>
    </w:p>
    <w:p w:rsidR="00FA3940" w:rsidRPr="002D70FD" w:rsidRDefault="00FA3940" w:rsidP="006C4004">
      <w:pPr>
        <w:pStyle w:val="NormalHanging12a"/>
      </w:pPr>
      <w:r w:rsidRPr="002D70FD">
        <w:t>45.</w:t>
      </w:r>
      <w:r w:rsidRPr="002D70FD">
        <w:tab/>
        <w:t>uznává, že je důležité určit hlavní výzvy při přizpůsobování hodnotového řetězce specifickým vlastnostem malých modulárních reaktorů ve srovnání s velkými reaktory a potřebu konzultací se všemi klíčovými veřejnými a soukromými subjekty na trhu s energií;</w:t>
      </w:r>
    </w:p>
    <w:p w:rsidR="00FA3940" w:rsidRPr="002D70FD" w:rsidRDefault="00FA3940" w:rsidP="006C4004">
      <w:pPr>
        <w:pStyle w:val="NormalHanging12a"/>
      </w:pPr>
      <w:r w:rsidRPr="002D70FD">
        <w:t>46.</w:t>
      </w:r>
      <w:r w:rsidRPr="002D70FD">
        <w:tab/>
        <w:t>bere na vědomí jak nezbytné úpravy palivového cyklu za účelem dodávek malých modulárních reaktorů, tak investiční potřeby do dalších zařízení;</w:t>
      </w:r>
    </w:p>
    <w:p w:rsidR="00FA3940" w:rsidRPr="002D70FD" w:rsidRDefault="00FA3940" w:rsidP="006C4004">
      <w:pPr>
        <w:pStyle w:val="NormalHanging12a"/>
      </w:pPr>
      <w:r w:rsidRPr="002D70FD">
        <w:t>47.</w:t>
      </w:r>
      <w:r w:rsidRPr="002D70FD">
        <w:tab/>
        <w:t>podporuje úsilí evropského průmyslu o zajištění dodávek nových druhů paliv, které by mohly být pro některé malé modulární reaktory nezbytné;</w:t>
      </w:r>
    </w:p>
    <w:p w:rsidR="00FA3940" w:rsidRPr="002D70FD" w:rsidRDefault="00FA3940" w:rsidP="006C4004">
      <w:pPr>
        <w:pStyle w:val="NormalHanging12a"/>
      </w:pPr>
      <w:r w:rsidRPr="002D70FD">
        <w:t>48.</w:t>
      </w:r>
      <w:r w:rsidRPr="002D70FD">
        <w:tab/>
        <w:t>zdůrazňuje, že možnost zahrnout do návrhů malých modulárních reaktorů standardizovaná zařízení a vysoce kvalitní průmyslové součásti obchodní kvality může významně přispět k optimalizaci dodavatelského řetězce, čímž se zkrátí doba schvalování;</w:t>
      </w:r>
    </w:p>
    <w:p w:rsidR="00FA3940" w:rsidRPr="002D70FD" w:rsidRDefault="00FA3940" w:rsidP="006C4004">
      <w:pPr>
        <w:pStyle w:val="Normal12a24b"/>
        <w:spacing w:before="0"/>
        <w:ind w:left="567" w:hanging="567"/>
      </w:pPr>
      <w:r w:rsidRPr="002D70FD">
        <w:rPr>
          <w:rStyle w:val="BoldItalic"/>
        </w:rPr>
        <w:t xml:space="preserve">Inovace, výzkum a vývoj </w:t>
      </w:r>
    </w:p>
    <w:p w:rsidR="00FA3940" w:rsidRPr="002D70FD" w:rsidRDefault="00FA3940" w:rsidP="006C4004">
      <w:pPr>
        <w:pStyle w:val="NormalHanging12a"/>
      </w:pPr>
      <w:r w:rsidRPr="002D70FD">
        <w:t>49.</w:t>
      </w:r>
      <w:r w:rsidRPr="002D70FD">
        <w:tab/>
        <w:t>uznává, že je třeba definovat komplexní plán výzkumu a vývoje, který by splňoval jak očekávání trhu, tak bezpečnostní požadavky, a dále určit experimentální infrastrukturu potřebnou k realizaci tohoto plánu spolu s nezbytnými programy odborné přípravy a vzdělávání;</w:t>
      </w:r>
    </w:p>
    <w:p w:rsidR="00FA3940" w:rsidRPr="002D70FD" w:rsidRDefault="00FA3940" w:rsidP="006C4004">
      <w:pPr>
        <w:pStyle w:val="NormalHanging12a"/>
      </w:pPr>
      <w:r w:rsidRPr="002D70FD">
        <w:t>50.</w:t>
      </w:r>
      <w:r w:rsidRPr="002D70FD">
        <w:tab/>
        <w:t>vítá skutečnost, že společenství Euratomu ve spolupráci se Společným výzkumným střediskem otevírá výzkumnou infrastrukturu EU a podporuje přístup k jedinečné jaderné výzkumné infrastruktuře v Evropě;</w:t>
      </w:r>
    </w:p>
    <w:p w:rsidR="00FA3940" w:rsidRPr="002D70FD" w:rsidRDefault="00FA3940" w:rsidP="006C4004">
      <w:pPr>
        <w:pStyle w:val="NormalHanging12a"/>
      </w:pPr>
      <w:r w:rsidRPr="002D70FD">
        <w:t>51.</w:t>
      </w:r>
      <w:r w:rsidRPr="002D70FD">
        <w:tab/>
        <w:t>zdůrazňuje, že pro zachování nejvyšších standardů bezpečnosti a radiační ochrany je zásadní provádět testování a kvalifikaci nových paliv, materiálů a technologií pro celý životní cyklus pokročilých malých modulárních reaktorů a související experimentování, stejně jako školení, budování lidských kapacit, šíření znalostí a překonávání rozdílů mezi výzkumem a průmyslem;</w:t>
      </w:r>
    </w:p>
    <w:p w:rsidR="00FA3940" w:rsidRPr="002D70FD" w:rsidRDefault="00FA3940" w:rsidP="006C4004">
      <w:pPr>
        <w:pStyle w:val="NormalHanging12a"/>
      </w:pPr>
      <w:r w:rsidRPr="002D70FD">
        <w:t>52.</w:t>
      </w:r>
      <w:r w:rsidRPr="002D70FD">
        <w:tab/>
        <w:t>vítá iniciativy programů Horizont Evropa a Digitální Evropa, které přinášejí nové výhody v oblasti aditivní výroby, digitálních technologií, robotiky a umělé inteligence, a zdůrazňuje, že tyto synergie mezi programem Euratomu a dalšími programy EU by měly být plně realizovány;</w:t>
      </w:r>
    </w:p>
    <w:p w:rsidR="00FA3940" w:rsidRPr="002D70FD" w:rsidRDefault="00FA3940" w:rsidP="006C4004">
      <w:pPr>
        <w:pStyle w:val="NormalHanging12a"/>
      </w:pPr>
      <w:r w:rsidRPr="002D70FD">
        <w:lastRenderedPageBreak/>
        <w:t>53.</w:t>
      </w:r>
      <w:r w:rsidRPr="002D70FD">
        <w:tab/>
        <w:t xml:space="preserve">zdůrazňuje, že výzkum a vývoj by se neměl zaměřit pouze na potřeby první generace </w:t>
      </w:r>
      <w:proofErr w:type="spellStart"/>
      <w:r w:rsidRPr="002D70FD">
        <w:t>lehkovodních</w:t>
      </w:r>
      <w:proofErr w:type="spellEnd"/>
      <w:r w:rsidRPr="002D70FD">
        <w:t xml:space="preserve"> malých modulárních reaktorů, u nichž se očekává zapojení do elektrické sítě do začátku roku 2030, ale měl by rovněž dále podporovat typy reaktorů čtvrté generace, známé jako pokročilé modulární reaktory;</w:t>
      </w:r>
    </w:p>
    <w:p w:rsidR="00FA3940" w:rsidRPr="002D70FD" w:rsidRDefault="00FA3940" w:rsidP="006C4004">
      <w:pPr>
        <w:pStyle w:val="NormalHanging12a"/>
      </w:pPr>
      <w:r w:rsidRPr="002D70FD">
        <w:t>54.</w:t>
      </w:r>
      <w:r w:rsidRPr="002D70FD">
        <w:tab/>
        <w:t>zdůrazňuje, že je zapotřebí navýšit unijní zdroje na výzkum a vývoj v oblasti malých modulárních reaktorů, což může vést k pozitivním socioekonomickým dopadům na EU;</w:t>
      </w:r>
    </w:p>
    <w:p w:rsidR="00FA3940" w:rsidRPr="002D70FD" w:rsidRDefault="00FA3940" w:rsidP="006C4004">
      <w:pPr>
        <w:pStyle w:val="NormalHanging12a"/>
      </w:pPr>
      <w:r w:rsidRPr="002D70FD">
        <w:rPr>
          <w:b/>
          <w:i/>
        </w:rPr>
        <w:t>Dovednosti</w:t>
      </w:r>
    </w:p>
    <w:p w:rsidR="00FA3940" w:rsidRPr="002D70FD" w:rsidRDefault="00FA3940" w:rsidP="006C4004">
      <w:pPr>
        <w:pStyle w:val="NormalHanging12a"/>
      </w:pPr>
      <w:r w:rsidRPr="002D70FD">
        <w:t>55.</w:t>
      </w:r>
      <w:r w:rsidRPr="002D70FD">
        <w:tab/>
        <w:t>uznává, že je třeba zdokonalit stávající odbornou přípravu v oblasti klíčových dovedností v oblasti jaderné výstavby v celém hodnotovém řetězci a sladit je se</w:t>
      </w:r>
      <w:r w:rsidR="00FA492B" w:rsidRPr="002D70FD">
        <w:t> </w:t>
      </w:r>
      <w:r w:rsidRPr="002D70FD">
        <w:t>zvláštními požadavky malých modulárních reaktorů a zároveň zajistit předcházení nedostatku dovedností v širším jaderném průmyslu, zejména pokud jde o vysoce poptávané dovednosti;</w:t>
      </w:r>
    </w:p>
    <w:p w:rsidR="00FA3940" w:rsidRPr="002D70FD" w:rsidRDefault="00FA3940" w:rsidP="006C4004">
      <w:pPr>
        <w:pStyle w:val="NormalHanging12a"/>
      </w:pPr>
      <w:r w:rsidRPr="002D70FD">
        <w:t>56.</w:t>
      </w:r>
      <w:r w:rsidRPr="002D70FD">
        <w:tab/>
        <w:t>zdůrazňuje význam strategického plánování v oblasti pracovních sil, které by mělo být zaměřeno na budoucnost a mělo by být přizpůsobivé s ohledem na možné změny v požadavcích na dovednosti pro zavádění malých modulárních reaktorů v širším dodavatelském řetězci;</w:t>
      </w:r>
    </w:p>
    <w:p w:rsidR="00FA3940" w:rsidRPr="002D70FD" w:rsidRDefault="00FA3940" w:rsidP="006C4004">
      <w:pPr>
        <w:pStyle w:val="NormalHanging12a"/>
        <w:rPr>
          <w:b/>
          <w:i/>
        </w:rPr>
      </w:pPr>
      <w:r w:rsidRPr="002D70FD">
        <w:rPr>
          <w:b/>
          <w:i/>
        </w:rPr>
        <w:t>Vyřazování z provozu a nakládání s odpady</w:t>
      </w:r>
    </w:p>
    <w:p w:rsidR="00FA3940" w:rsidRPr="002D70FD" w:rsidRDefault="00FA3940" w:rsidP="006C4004">
      <w:pPr>
        <w:pStyle w:val="NormalHanging12a"/>
      </w:pPr>
      <w:r w:rsidRPr="002D70FD">
        <w:t>57.</w:t>
      </w:r>
      <w:r w:rsidRPr="002D70FD">
        <w:tab/>
        <w:t>uznává již zavedená pravidla týkající se odpovědnosti vlastníků jaderných elektráren a držitelů povolení za bezpečné nakládání s radioaktivním odpadem a za jeho skladování a ukládání, jakož i za nakládání s vyhořelým jaderným palivem;</w:t>
      </w:r>
    </w:p>
    <w:p w:rsidR="00D448F8" w:rsidRDefault="00FA3940" w:rsidP="006C4004">
      <w:pPr>
        <w:pStyle w:val="NormalHanging12a"/>
      </w:pPr>
      <w:r w:rsidRPr="002D70FD">
        <w:t>58.</w:t>
      </w:r>
      <w:r w:rsidRPr="002D70FD">
        <w:tab/>
        <w:t>vítá potenciál minimalizace odpadu, který s sebou přinášejí nové technologie malých modulárních reaktorů, zejména pokud jde o snížení objemu i </w:t>
      </w:r>
      <w:proofErr w:type="spellStart"/>
      <w:r w:rsidRPr="002D70FD">
        <w:t>radiotoxicity</w:t>
      </w:r>
      <w:proofErr w:type="spellEnd"/>
      <w:r w:rsidRPr="002D70FD">
        <w:t xml:space="preserve"> odpadu; podporuje nejnovější úsilí v oblasti výzkumu a vývoje v oblasti nakládání s jaderným odpadem a jeho recyklace a opětovného použití; zdůrazňuje zásadní význam jeho opětovného</w:t>
      </w:r>
      <w:r w:rsidR="00D448F8">
        <w:t xml:space="preserve"> použití pro stabilitu dodávek;</w:t>
      </w:r>
    </w:p>
    <w:p w:rsidR="00FA3940" w:rsidRPr="002D70FD" w:rsidRDefault="006C4004" w:rsidP="006C4004">
      <w:pPr>
        <w:pStyle w:val="NormalHanging12a"/>
      </w:pPr>
      <w:r>
        <w:t>5</w:t>
      </w:r>
      <w:r w:rsidR="00FA3940" w:rsidRPr="002D70FD">
        <w:t>9.</w:t>
      </w:r>
      <w:r w:rsidR="00FA3940" w:rsidRPr="002D70FD">
        <w:tab/>
        <w:t>vyzývá k vytvoření zvláštní strategie pro uzavírání jaderného palivového cyklu, která se bude opírat o podporu vývojářů inovativních technologií;</w:t>
      </w:r>
    </w:p>
    <w:p w:rsidR="00FA3940" w:rsidRPr="002D70FD" w:rsidRDefault="00FA3940" w:rsidP="006C4004">
      <w:pPr>
        <w:pStyle w:val="NormalHanging12a"/>
      </w:pPr>
      <w:r w:rsidRPr="002D70FD">
        <w:t>60.</w:t>
      </w:r>
      <w:r w:rsidRPr="002D70FD">
        <w:tab/>
        <w:t>konstatuje, že podle Společného výzkumného střediska panuje u vysoce radioaktivního odpadu a vyhořelého paliva široká shoda mezi vědeckými, technologickými a regulačními komunitami na tom, že konečné uložení v hlubinných geologických úložištích je nejúčinnějším a nejbezpečnějším možným řešením, které může zajistit, aby v požadované době nedošlo k významným škodám na lidských životech a životním prostředí; uznává, že některé členské státy jsou v pokročilé fázi zavádění svých vnitrostátních hlubinných geologických zařízení, u nichž se očekává, že začnou fungovat v tomto desetiletí;</w:t>
      </w:r>
    </w:p>
    <w:p w:rsidR="00FA3940" w:rsidRPr="002D70FD" w:rsidRDefault="00FA3940" w:rsidP="006C4004">
      <w:pPr>
        <w:pStyle w:val="Normal12a24b"/>
        <w:spacing w:before="0"/>
        <w:ind w:left="567" w:hanging="567"/>
      </w:pPr>
      <w:r w:rsidRPr="002D70FD">
        <w:rPr>
          <w:rStyle w:val="BoldItalic"/>
        </w:rPr>
        <w:t>Odpovědnost a podávání zpráv</w:t>
      </w:r>
    </w:p>
    <w:p w:rsidR="00FA3940" w:rsidRPr="002D70FD" w:rsidRDefault="00FA3940" w:rsidP="006C4004">
      <w:pPr>
        <w:pStyle w:val="NormalHanging12a"/>
      </w:pPr>
      <w:r w:rsidRPr="002D70FD">
        <w:t>61.</w:t>
      </w:r>
      <w:r w:rsidRPr="002D70FD">
        <w:tab/>
        <w:t xml:space="preserve">zdůrazňuje, že je třeba, aby Komise každoročně předkládala zprávu hodnotící pokrok dosažený v rozvoji malých modulárních reaktorů; žádá, aby tato zpráva zhodnotila geografické rozdělení finančních prostředků, počet vytvořených pracovních míst a změny v nabídce a poptávce a posoudila měnící se náklady na zavádění malých modulárních reaktorů, rozvoj specializovaných infrastruktur těchto reaktorů, jakož </w:t>
      </w:r>
      <w:r w:rsidRPr="002D70FD">
        <w:lastRenderedPageBreak/>
        <w:t>i nadnárodní spolupráci v této oblasti; je toho názoru, že zpráva by měla dodatečně vyhodnotit technickou proveditelnost, udělování licencí, umístění, financování, dodavatelský řetězec, bezpečnostní opatření, zapojení a pokrok v oblasti paliv pro různé malé modulární reaktory; domnívá se, že v neposlední řadě by zpráva měla přezkoumat regulační překážky bránící zavádění technologií malých modulárních reaktorů a doporučit opatření, která by tyto problémy mohla zmírnit;</w:t>
      </w:r>
    </w:p>
    <w:p w:rsidR="00FA3940" w:rsidRPr="002D70FD" w:rsidRDefault="00FA3940" w:rsidP="006C4004">
      <w:pPr>
        <w:pStyle w:val="NormalHanging12a"/>
        <w:rPr>
          <w:u w:val="single"/>
        </w:rPr>
      </w:pPr>
      <w:r w:rsidRPr="002D70FD">
        <w:t>62.</w:t>
      </w:r>
      <w:r w:rsidRPr="002D70FD">
        <w:tab/>
        <w:t>vyzývá Komisi, aby se aktivně zapojila do rozvoje projektů malých modulárních reaktorů a připravila zejména právní rámec pro tuto technologickou volbu tím, že přehodnotí a harmonizuje rámce pro udělování licencí a další právní aspekty;</w:t>
      </w:r>
    </w:p>
    <w:p w:rsidR="00FA3940" w:rsidRPr="002D70FD" w:rsidRDefault="00FA3940" w:rsidP="006C4004">
      <w:pPr>
        <w:pStyle w:val="NormalHanging12a"/>
      </w:pPr>
      <w:r w:rsidRPr="002D70FD">
        <w:t>63.</w:t>
      </w:r>
      <w:r w:rsidRPr="002D70FD">
        <w:tab/>
        <w:t>vyzývá členské státy se silným zájmem o jaderná zařízení a malé modulární reaktory, aby prokázaly finanční a regulační závazek přispívat k úspěšnému rozvoji těchto reaktorů v EU, a to v úzké spolupráci s Komisí, která by měla usilovat o pokrok v této oblasti;</w:t>
      </w:r>
    </w:p>
    <w:p w:rsidR="00EA4A13" w:rsidRDefault="00EA4A13" w:rsidP="006C4004">
      <w:pPr>
        <w:pStyle w:val="NormalHanging12a"/>
        <w:ind w:left="0" w:firstLine="0"/>
        <w:jc w:val="center"/>
      </w:pPr>
      <w:r>
        <w:t>°</w:t>
      </w:r>
    </w:p>
    <w:p w:rsidR="00EA4A13" w:rsidRDefault="00EA4A13" w:rsidP="006C4004">
      <w:pPr>
        <w:pStyle w:val="NormalHanging12a"/>
        <w:ind w:left="0" w:firstLine="0"/>
        <w:jc w:val="center"/>
      </w:pPr>
      <w:r>
        <w:t>°     °</w:t>
      </w:r>
    </w:p>
    <w:p w:rsidR="00FA3940" w:rsidRPr="002D70FD" w:rsidRDefault="00FA3940" w:rsidP="006C4004">
      <w:pPr>
        <w:pStyle w:val="NormalHanging12a"/>
      </w:pPr>
      <w:r w:rsidRPr="002D70FD">
        <w:t>64.</w:t>
      </w:r>
      <w:r w:rsidRPr="002D70FD">
        <w:tab/>
        <w:t>pověřuje svou předsedkyni, aby předala toto usnesení Radě, Komisi, Evropskému hospodářskému a sociálnímu výboru, Evropskému výboru regionů a členským státům.</w:t>
      </w:r>
    </w:p>
    <w:sectPr w:rsidR="00FA3940" w:rsidRPr="002D70FD" w:rsidSect="002D70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BEC" w:rsidRPr="002D70FD" w:rsidRDefault="00533BEC">
      <w:r w:rsidRPr="002D70FD">
        <w:separator/>
      </w:r>
    </w:p>
  </w:endnote>
  <w:endnote w:type="continuationSeparator" w:id="0">
    <w:p w:rsidR="00533BEC" w:rsidRPr="002D70FD" w:rsidRDefault="00533BEC">
      <w:r w:rsidRPr="002D70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BEC" w:rsidRPr="002D70FD" w:rsidRDefault="00533BEC">
      <w:r w:rsidRPr="002D70FD">
        <w:separator/>
      </w:r>
    </w:p>
  </w:footnote>
  <w:footnote w:type="continuationSeparator" w:id="0">
    <w:p w:rsidR="00533BEC" w:rsidRPr="002D70FD" w:rsidRDefault="00533BEC">
      <w:r w:rsidRPr="002D70FD">
        <w:continuationSeparator/>
      </w:r>
    </w:p>
  </w:footnote>
  <w:footnote w:id="1">
    <w:p w:rsidR="00FA3940" w:rsidRPr="002D70FD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2D70FD">
        <w:rPr>
          <w:rStyle w:val="FootnoteReference"/>
          <w:sz w:val="24"/>
          <w:lang w:val="cs-CZ"/>
        </w:rPr>
        <w:footnoteRef/>
      </w:r>
      <w:r w:rsidR="002D70FD" w:rsidRPr="002D70FD">
        <w:rPr>
          <w:sz w:val="24"/>
          <w:lang w:val="cs-CZ"/>
        </w:rPr>
        <w:t xml:space="preserve"> </w:t>
      </w:r>
      <w:r w:rsidR="002D70FD" w:rsidRPr="002D70FD">
        <w:rPr>
          <w:sz w:val="24"/>
          <w:lang w:val="cs-CZ"/>
        </w:rPr>
        <w:tab/>
      </w:r>
      <w:proofErr w:type="spellStart"/>
      <w:r w:rsidRPr="002D70FD">
        <w:rPr>
          <w:sz w:val="24"/>
          <w:lang w:val="cs-CZ"/>
        </w:rPr>
        <w:t>Úř</w:t>
      </w:r>
      <w:proofErr w:type="spellEnd"/>
      <w:r w:rsidRPr="002D70FD">
        <w:rPr>
          <w:sz w:val="24"/>
          <w:lang w:val="cs-CZ"/>
        </w:rPr>
        <w:t xml:space="preserve">. </w:t>
      </w:r>
      <w:proofErr w:type="spellStart"/>
      <w:proofErr w:type="gramStart"/>
      <w:r w:rsidRPr="002D70FD">
        <w:rPr>
          <w:sz w:val="24"/>
          <w:lang w:val="cs-CZ"/>
        </w:rPr>
        <w:t>věst</w:t>
      </w:r>
      <w:proofErr w:type="spellEnd"/>
      <w:proofErr w:type="gramEnd"/>
      <w:r w:rsidRPr="002D70FD">
        <w:rPr>
          <w:sz w:val="24"/>
          <w:lang w:val="cs-CZ"/>
        </w:rPr>
        <w:t xml:space="preserve">. L 158, </w:t>
      </w:r>
      <w:proofErr w:type="gramStart"/>
      <w:r w:rsidRPr="002D70FD">
        <w:rPr>
          <w:sz w:val="24"/>
          <w:lang w:val="cs-CZ"/>
        </w:rPr>
        <w:t>14.6.2019</w:t>
      </w:r>
      <w:proofErr w:type="gramEnd"/>
      <w:r w:rsidRPr="002D70FD">
        <w:rPr>
          <w:sz w:val="24"/>
          <w:lang w:val="cs-CZ"/>
        </w:rPr>
        <w:t>, s. 125.</w:t>
      </w:r>
    </w:p>
  </w:footnote>
  <w:footnote w:id="2">
    <w:p w:rsidR="00FA3940" w:rsidRPr="002D70FD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2D70FD">
        <w:rPr>
          <w:rStyle w:val="FootnoteReference"/>
          <w:sz w:val="24"/>
          <w:lang w:val="cs-CZ"/>
        </w:rPr>
        <w:footnoteRef/>
      </w:r>
      <w:r w:rsidR="002D70FD" w:rsidRPr="002D70FD">
        <w:rPr>
          <w:sz w:val="24"/>
          <w:lang w:val="cs-CZ"/>
        </w:rPr>
        <w:t xml:space="preserve"> </w:t>
      </w:r>
      <w:r w:rsidR="002D70FD" w:rsidRPr="002D70FD">
        <w:rPr>
          <w:sz w:val="24"/>
          <w:lang w:val="cs-CZ"/>
        </w:rPr>
        <w:tab/>
      </w:r>
      <w:proofErr w:type="spellStart"/>
      <w:r w:rsidRPr="002D70FD">
        <w:rPr>
          <w:sz w:val="24"/>
          <w:lang w:val="cs-CZ"/>
        </w:rPr>
        <w:t>Úř</w:t>
      </w:r>
      <w:proofErr w:type="spellEnd"/>
      <w:r w:rsidRPr="002D70FD">
        <w:rPr>
          <w:sz w:val="24"/>
          <w:lang w:val="cs-CZ"/>
        </w:rPr>
        <w:t xml:space="preserve">. </w:t>
      </w:r>
      <w:proofErr w:type="spellStart"/>
      <w:proofErr w:type="gramStart"/>
      <w:r w:rsidRPr="002D70FD">
        <w:rPr>
          <w:sz w:val="24"/>
          <w:lang w:val="cs-CZ"/>
        </w:rPr>
        <w:t>věst</w:t>
      </w:r>
      <w:proofErr w:type="spellEnd"/>
      <w:proofErr w:type="gramEnd"/>
      <w:r w:rsidRPr="002D70FD">
        <w:rPr>
          <w:sz w:val="24"/>
          <w:lang w:val="cs-CZ"/>
        </w:rPr>
        <w:t>. L 158</w:t>
      </w:r>
      <w:r w:rsidR="003C0D7A">
        <w:rPr>
          <w:sz w:val="24"/>
          <w:lang w:val="cs-CZ"/>
        </w:rPr>
        <w:t>,</w:t>
      </w:r>
      <w:r w:rsidRPr="002D70FD">
        <w:rPr>
          <w:sz w:val="24"/>
          <w:lang w:val="cs-CZ"/>
        </w:rPr>
        <w:t xml:space="preserve"> </w:t>
      </w:r>
      <w:proofErr w:type="gramStart"/>
      <w:r w:rsidRPr="002D70FD">
        <w:rPr>
          <w:sz w:val="24"/>
          <w:lang w:val="cs-CZ"/>
        </w:rPr>
        <w:t>14.6.2019</w:t>
      </w:r>
      <w:proofErr w:type="gramEnd"/>
      <w:r w:rsidRPr="002D70FD">
        <w:rPr>
          <w:sz w:val="24"/>
          <w:lang w:val="cs-CZ"/>
        </w:rPr>
        <w:t>, s. 54.</w:t>
      </w:r>
    </w:p>
  </w:footnote>
  <w:footnote w:id="3">
    <w:p w:rsidR="00FA3940" w:rsidRPr="00442455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2D70FD">
        <w:rPr>
          <w:rStyle w:val="FootnoteReference"/>
          <w:sz w:val="24"/>
          <w:lang w:val="cs-CZ"/>
        </w:rPr>
        <w:footnoteRef/>
      </w:r>
      <w:r w:rsidR="002D70FD" w:rsidRPr="002D70FD">
        <w:rPr>
          <w:sz w:val="24"/>
          <w:lang w:val="cs-CZ"/>
        </w:rPr>
        <w:t xml:space="preserve"> </w:t>
      </w:r>
      <w:r w:rsidR="002D70FD" w:rsidRPr="002D70FD">
        <w:rPr>
          <w:sz w:val="24"/>
          <w:lang w:val="cs-CZ"/>
        </w:rPr>
        <w:tab/>
      </w:r>
      <w:proofErr w:type="spellStart"/>
      <w:r w:rsidRPr="00442455">
        <w:rPr>
          <w:sz w:val="24"/>
          <w:lang w:val="cs-CZ"/>
        </w:rPr>
        <w:t>Úř</w:t>
      </w:r>
      <w:proofErr w:type="spellEnd"/>
      <w:r w:rsidRPr="00442455">
        <w:rPr>
          <w:sz w:val="24"/>
          <w:lang w:val="cs-CZ"/>
        </w:rPr>
        <w:t xml:space="preserve">. </w:t>
      </w:r>
      <w:proofErr w:type="spellStart"/>
      <w:proofErr w:type="gramStart"/>
      <w:r w:rsidRPr="00442455">
        <w:rPr>
          <w:sz w:val="24"/>
          <w:lang w:val="cs-CZ"/>
        </w:rPr>
        <w:t>věst</w:t>
      </w:r>
      <w:proofErr w:type="spellEnd"/>
      <w:proofErr w:type="gramEnd"/>
      <w:r w:rsidRPr="00442455">
        <w:rPr>
          <w:sz w:val="24"/>
          <w:lang w:val="cs-CZ"/>
        </w:rPr>
        <w:t xml:space="preserve">. L 327, </w:t>
      </w:r>
      <w:proofErr w:type="gramStart"/>
      <w:r w:rsidRPr="00442455">
        <w:rPr>
          <w:sz w:val="24"/>
          <w:lang w:val="cs-CZ"/>
        </w:rPr>
        <w:t>22.12.2000</w:t>
      </w:r>
      <w:proofErr w:type="gramEnd"/>
      <w:r w:rsidRPr="00442455">
        <w:rPr>
          <w:sz w:val="24"/>
          <w:lang w:val="cs-CZ"/>
        </w:rPr>
        <w:t>, s. 1.</w:t>
      </w:r>
    </w:p>
  </w:footnote>
  <w:footnote w:id="4">
    <w:p w:rsidR="00FA3940" w:rsidRPr="00442455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442455">
        <w:rPr>
          <w:rStyle w:val="FootnoteReference"/>
          <w:sz w:val="24"/>
          <w:lang w:val="cs-CZ"/>
        </w:rPr>
        <w:footnoteRef/>
      </w:r>
      <w:r w:rsidR="002D70FD" w:rsidRPr="00442455">
        <w:rPr>
          <w:sz w:val="24"/>
          <w:lang w:val="cs-CZ"/>
        </w:rPr>
        <w:t xml:space="preserve"> </w:t>
      </w:r>
      <w:r w:rsidR="002D70FD" w:rsidRPr="00442455">
        <w:rPr>
          <w:sz w:val="24"/>
          <w:lang w:val="cs-CZ"/>
        </w:rPr>
        <w:tab/>
      </w:r>
      <w:proofErr w:type="spellStart"/>
      <w:r w:rsidRPr="00442455">
        <w:rPr>
          <w:sz w:val="24"/>
          <w:lang w:val="cs-CZ"/>
        </w:rPr>
        <w:t>Úř</w:t>
      </w:r>
      <w:proofErr w:type="spellEnd"/>
      <w:r w:rsidRPr="00442455">
        <w:rPr>
          <w:sz w:val="24"/>
          <w:lang w:val="cs-CZ"/>
        </w:rPr>
        <w:t xml:space="preserve">. </w:t>
      </w:r>
      <w:proofErr w:type="spellStart"/>
      <w:proofErr w:type="gramStart"/>
      <w:r w:rsidRPr="00442455">
        <w:rPr>
          <w:sz w:val="24"/>
          <w:lang w:val="cs-CZ"/>
        </w:rPr>
        <w:t>věst</w:t>
      </w:r>
      <w:proofErr w:type="spellEnd"/>
      <w:proofErr w:type="gramEnd"/>
      <w:r w:rsidRPr="00442455">
        <w:rPr>
          <w:sz w:val="24"/>
          <w:lang w:val="cs-CZ"/>
        </w:rPr>
        <w:t xml:space="preserve">. L 158, </w:t>
      </w:r>
      <w:proofErr w:type="gramStart"/>
      <w:r w:rsidRPr="00442455">
        <w:rPr>
          <w:sz w:val="24"/>
          <w:lang w:val="cs-CZ"/>
        </w:rPr>
        <w:t>14.6.2019</w:t>
      </w:r>
      <w:proofErr w:type="gramEnd"/>
      <w:r w:rsidRPr="00442455">
        <w:rPr>
          <w:sz w:val="24"/>
          <w:lang w:val="cs-CZ"/>
        </w:rPr>
        <w:t>, s. 1.</w:t>
      </w:r>
    </w:p>
  </w:footnote>
  <w:footnote w:id="5">
    <w:p w:rsidR="00FA3940" w:rsidRPr="00442455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442455">
        <w:rPr>
          <w:rStyle w:val="FootnoteReference"/>
          <w:sz w:val="24"/>
          <w:lang w:val="cs-CZ"/>
        </w:rPr>
        <w:footnoteRef/>
      </w:r>
      <w:r w:rsidR="002D70FD" w:rsidRPr="00442455">
        <w:rPr>
          <w:sz w:val="24"/>
          <w:lang w:val="cs-CZ"/>
        </w:rPr>
        <w:t xml:space="preserve"> </w:t>
      </w:r>
      <w:r w:rsidR="002D70FD" w:rsidRPr="00442455">
        <w:rPr>
          <w:sz w:val="24"/>
          <w:lang w:val="cs-CZ"/>
        </w:rPr>
        <w:tab/>
      </w:r>
      <w:proofErr w:type="spellStart"/>
      <w:r w:rsidRPr="00442455">
        <w:rPr>
          <w:sz w:val="24"/>
          <w:lang w:val="cs-CZ"/>
        </w:rPr>
        <w:t>Úř</w:t>
      </w:r>
      <w:proofErr w:type="spellEnd"/>
      <w:r w:rsidRPr="00442455">
        <w:rPr>
          <w:sz w:val="24"/>
          <w:lang w:val="cs-CZ"/>
        </w:rPr>
        <w:t xml:space="preserve">. </w:t>
      </w:r>
      <w:proofErr w:type="spellStart"/>
      <w:proofErr w:type="gramStart"/>
      <w:r w:rsidRPr="00442455">
        <w:rPr>
          <w:sz w:val="24"/>
          <w:lang w:val="cs-CZ"/>
        </w:rPr>
        <w:t>věst</w:t>
      </w:r>
      <w:proofErr w:type="spellEnd"/>
      <w:proofErr w:type="gramEnd"/>
      <w:r w:rsidRPr="00442455">
        <w:rPr>
          <w:sz w:val="24"/>
          <w:lang w:val="cs-CZ"/>
        </w:rPr>
        <w:t xml:space="preserve">. L 198, </w:t>
      </w:r>
      <w:proofErr w:type="gramStart"/>
      <w:r w:rsidRPr="00442455">
        <w:rPr>
          <w:sz w:val="24"/>
          <w:lang w:val="cs-CZ"/>
        </w:rPr>
        <w:t>22.6.2020</w:t>
      </w:r>
      <w:proofErr w:type="gramEnd"/>
      <w:r w:rsidRPr="00442455">
        <w:rPr>
          <w:sz w:val="24"/>
          <w:lang w:val="cs-CZ"/>
        </w:rPr>
        <w:t>, s. 13.</w:t>
      </w:r>
    </w:p>
  </w:footnote>
  <w:footnote w:id="6">
    <w:p w:rsidR="00FA3940" w:rsidRPr="00442455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442455">
        <w:rPr>
          <w:rStyle w:val="FootnoteReference"/>
          <w:sz w:val="24"/>
          <w:lang w:val="cs-CZ"/>
        </w:rPr>
        <w:footnoteRef/>
      </w:r>
      <w:r w:rsidR="002D70FD" w:rsidRPr="00442455">
        <w:rPr>
          <w:sz w:val="24"/>
          <w:lang w:val="cs-CZ"/>
        </w:rPr>
        <w:t xml:space="preserve"> </w:t>
      </w:r>
      <w:r w:rsidR="002D70FD" w:rsidRPr="00442455">
        <w:rPr>
          <w:sz w:val="24"/>
          <w:lang w:val="cs-CZ"/>
        </w:rPr>
        <w:tab/>
      </w:r>
      <w:proofErr w:type="spellStart"/>
      <w:r w:rsidRPr="00442455">
        <w:rPr>
          <w:sz w:val="24"/>
          <w:lang w:val="cs-CZ"/>
        </w:rPr>
        <w:t>Úř</w:t>
      </w:r>
      <w:proofErr w:type="spellEnd"/>
      <w:r w:rsidRPr="00442455">
        <w:rPr>
          <w:sz w:val="24"/>
          <w:lang w:val="cs-CZ"/>
        </w:rPr>
        <w:t xml:space="preserve">. </w:t>
      </w:r>
      <w:proofErr w:type="spellStart"/>
      <w:proofErr w:type="gramStart"/>
      <w:r w:rsidRPr="00442455">
        <w:rPr>
          <w:sz w:val="24"/>
          <w:lang w:val="cs-CZ"/>
        </w:rPr>
        <w:t>věst</w:t>
      </w:r>
      <w:proofErr w:type="spellEnd"/>
      <w:proofErr w:type="gramEnd"/>
      <w:r w:rsidRPr="00442455">
        <w:rPr>
          <w:sz w:val="24"/>
          <w:lang w:val="cs-CZ"/>
        </w:rPr>
        <w:t xml:space="preserve">. L 140, </w:t>
      </w:r>
      <w:proofErr w:type="gramStart"/>
      <w:r w:rsidRPr="00442455">
        <w:rPr>
          <w:sz w:val="24"/>
          <w:lang w:val="cs-CZ"/>
        </w:rPr>
        <w:t>28.5.2019</w:t>
      </w:r>
      <w:proofErr w:type="gramEnd"/>
      <w:r w:rsidRPr="00442455">
        <w:rPr>
          <w:sz w:val="24"/>
          <w:lang w:val="cs-CZ"/>
        </w:rPr>
        <w:t>, s. 6.</w:t>
      </w:r>
    </w:p>
  </w:footnote>
  <w:footnote w:id="7">
    <w:p w:rsidR="00FA3940" w:rsidRPr="00442455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442455">
        <w:rPr>
          <w:rStyle w:val="FootnoteReference"/>
          <w:sz w:val="24"/>
          <w:lang w:val="cs-CZ"/>
        </w:rPr>
        <w:footnoteRef/>
      </w:r>
      <w:r w:rsidR="002D70FD" w:rsidRPr="00442455">
        <w:rPr>
          <w:sz w:val="24"/>
          <w:lang w:val="cs-CZ"/>
        </w:rPr>
        <w:t xml:space="preserve"> </w:t>
      </w:r>
      <w:r w:rsidR="002D70FD" w:rsidRPr="00442455">
        <w:rPr>
          <w:sz w:val="24"/>
          <w:lang w:val="cs-CZ"/>
        </w:rPr>
        <w:tab/>
      </w:r>
      <w:proofErr w:type="spellStart"/>
      <w:r w:rsidRPr="00442455">
        <w:rPr>
          <w:sz w:val="24"/>
          <w:lang w:val="cs-CZ"/>
        </w:rPr>
        <w:t>Úř</w:t>
      </w:r>
      <w:proofErr w:type="spellEnd"/>
      <w:r w:rsidRPr="00442455">
        <w:rPr>
          <w:sz w:val="24"/>
          <w:lang w:val="cs-CZ"/>
        </w:rPr>
        <w:t xml:space="preserve">. </w:t>
      </w:r>
      <w:proofErr w:type="spellStart"/>
      <w:proofErr w:type="gramStart"/>
      <w:r w:rsidRPr="00442455">
        <w:rPr>
          <w:sz w:val="24"/>
          <w:lang w:val="cs-CZ"/>
        </w:rPr>
        <w:t>věst</w:t>
      </w:r>
      <w:proofErr w:type="spellEnd"/>
      <w:proofErr w:type="gramEnd"/>
      <w:r w:rsidRPr="00442455">
        <w:rPr>
          <w:sz w:val="24"/>
          <w:lang w:val="cs-CZ"/>
        </w:rPr>
        <w:t xml:space="preserve">. L 188, </w:t>
      </w:r>
      <w:proofErr w:type="gramStart"/>
      <w:r w:rsidRPr="00442455">
        <w:rPr>
          <w:sz w:val="24"/>
          <w:lang w:val="cs-CZ"/>
        </w:rPr>
        <w:t>15.7.2022</w:t>
      </w:r>
      <w:proofErr w:type="gramEnd"/>
      <w:r w:rsidRPr="00442455">
        <w:rPr>
          <w:sz w:val="24"/>
          <w:lang w:val="cs-CZ"/>
        </w:rPr>
        <w:t>, s. 1</w:t>
      </w:r>
    </w:p>
  </w:footnote>
  <w:footnote w:id="8">
    <w:p w:rsidR="00FA3940" w:rsidRPr="00442455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442455">
        <w:rPr>
          <w:rStyle w:val="FootnoteReference"/>
          <w:sz w:val="24"/>
          <w:lang w:val="cs-CZ"/>
        </w:rPr>
        <w:footnoteRef/>
      </w:r>
      <w:r w:rsidR="002D70FD" w:rsidRPr="00442455">
        <w:rPr>
          <w:sz w:val="24"/>
          <w:lang w:val="cs-CZ"/>
        </w:rPr>
        <w:t xml:space="preserve"> </w:t>
      </w:r>
      <w:r w:rsidR="002D70FD" w:rsidRPr="00442455">
        <w:rPr>
          <w:sz w:val="24"/>
          <w:lang w:val="cs-CZ"/>
        </w:rPr>
        <w:tab/>
      </w:r>
      <w:proofErr w:type="spellStart"/>
      <w:r w:rsidRPr="00442455">
        <w:rPr>
          <w:sz w:val="24"/>
          <w:lang w:val="cs-CZ"/>
        </w:rPr>
        <w:t>Úř</w:t>
      </w:r>
      <w:proofErr w:type="spellEnd"/>
      <w:r w:rsidRPr="00442455">
        <w:rPr>
          <w:sz w:val="24"/>
          <w:lang w:val="cs-CZ"/>
        </w:rPr>
        <w:t xml:space="preserve">. </w:t>
      </w:r>
      <w:proofErr w:type="spellStart"/>
      <w:proofErr w:type="gramStart"/>
      <w:r w:rsidRPr="00442455">
        <w:rPr>
          <w:sz w:val="24"/>
          <w:lang w:val="cs-CZ"/>
        </w:rPr>
        <w:t>věst</w:t>
      </w:r>
      <w:proofErr w:type="spellEnd"/>
      <w:proofErr w:type="gramEnd"/>
      <w:r w:rsidRPr="00442455">
        <w:rPr>
          <w:sz w:val="24"/>
          <w:lang w:val="cs-CZ"/>
        </w:rPr>
        <w:t xml:space="preserve">. L 172, </w:t>
      </w:r>
      <w:proofErr w:type="gramStart"/>
      <w:r w:rsidRPr="00442455">
        <w:rPr>
          <w:sz w:val="24"/>
          <w:lang w:val="cs-CZ"/>
        </w:rPr>
        <w:t>2.7.2009</w:t>
      </w:r>
      <w:proofErr w:type="gramEnd"/>
      <w:r w:rsidRPr="00442455">
        <w:rPr>
          <w:sz w:val="24"/>
          <w:lang w:val="cs-CZ"/>
        </w:rPr>
        <w:t>, s. 18.</w:t>
      </w:r>
    </w:p>
  </w:footnote>
  <w:footnote w:id="9">
    <w:p w:rsidR="00FA3940" w:rsidRPr="00442455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442455">
        <w:rPr>
          <w:rStyle w:val="FootnoteReference"/>
          <w:sz w:val="24"/>
          <w:lang w:val="cs-CZ"/>
        </w:rPr>
        <w:footnoteRef/>
      </w:r>
      <w:r w:rsidR="002D70FD" w:rsidRPr="00442455">
        <w:rPr>
          <w:sz w:val="24"/>
          <w:lang w:val="cs-CZ"/>
        </w:rPr>
        <w:t xml:space="preserve"> </w:t>
      </w:r>
      <w:r w:rsidR="002D70FD" w:rsidRPr="00442455">
        <w:rPr>
          <w:sz w:val="24"/>
          <w:lang w:val="cs-CZ"/>
        </w:rPr>
        <w:tab/>
      </w:r>
      <w:proofErr w:type="spellStart"/>
      <w:r w:rsidRPr="00442455">
        <w:rPr>
          <w:sz w:val="24"/>
          <w:lang w:val="cs-CZ"/>
        </w:rPr>
        <w:t>Úř</w:t>
      </w:r>
      <w:proofErr w:type="spellEnd"/>
      <w:r w:rsidRPr="00442455">
        <w:rPr>
          <w:sz w:val="24"/>
          <w:lang w:val="cs-CZ"/>
        </w:rPr>
        <w:t xml:space="preserve">. </w:t>
      </w:r>
      <w:proofErr w:type="spellStart"/>
      <w:proofErr w:type="gramStart"/>
      <w:r w:rsidRPr="00442455">
        <w:rPr>
          <w:sz w:val="24"/>
          <w:lang w:val="cs-CZ"/>
        </w:rPr>
        <w:t>věst</w:t>
      </w:r>
      <w:proofErr w:type="spellEnd"/>
      <w:proofErr w:type="gramEnd"/>
      <w:r w:rsidRPr="00442455">
        <w:rPr>
          <w:sz w:val="24"/>
          <w:lang w:val="cs-CZ"/>
        </w:rPr>
        <w:t xml:space="preserve">. L 219, </w:t>
      </w:r>
      <w:proofErr w:type="gramStart"/>
      <w:r w:rsidRPr="00442455">
        <w:rPr>
          <w:sz w:val="24"/>
          <w:lang w:val="cs-CZ"/>
        </w:rPr>
        <w:t>25.7.2014</w:t>
      </w:r>
      <w:proofErr w:type="gramEnd"/>
      <w:r w:rsidRPr="00442455">
        <w:rPr>
          <w:sz w:val="24"/>
          <w:lang w:val="cs-CZ"/>
        </w:rPr>
        <w:t>, s. 42.</w:t>
      </w:r>
    </w:p>
  </w:footnote>
  <w:footnote w:id="10">
    <w:p w:rsidR="00FA3940" w:rsidRPr="00442455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442455">
        <w:rPr>
          <w:rStyle w:val="FootnoteReference"/>
          <w:sz w:val="24"/>
          <w:lang w:val="cs-CZ"/>
        </w:rPr>
        <w:footnoteRef/>
      </w:r>
      <w:r w:rsidR="002D70FD" w:rsidRPr="00442455">
        <w:rPr>
          <w:sz w:val="24"/>
          <w:lang w:val="cs-CZ"/>
        </w:rPr>
        <w:t xml:space="preserve"> </w:t>
      </w:r>
      <w:r w:rsidR="002D70FD" w:rsidRPr="00442455">
        <w:rPr>
          <w:sz w:val="24"/>
          <w:lang w:val="cs-CZ"/>
        </w:rPr>
        <w:tab/>
      </w:r>
      <w:proofErr w:type="spellStart"/>
      <w:r w:rsidRPr="00442455">
        <w:rPr>
          <w:sz w:val="24"/>
          <w:lang w:val="cs-CZ"/>
        </w:rPr>
        <w:t>Úř</w:t>
      </w:r>
      <w:proofErr w:type="spellEnd"/>
      <w:r w:rsidRPr="00442455">
        <w:rPr>
          <w:sz w:val="24"/>
          <w:lang w:val="cs-CZ"/>
        </w:rPr>
        <w:t xml:space="preserve">. </w:t>
      </w:r>
      <w:proofErr w:type="spellStart"/>
      <w:proofErr w:type="gramStart"/>
      <w:r w:rsidRPr="00442455">
        <w:rPr>
          <w:sz w:val="24"/>
          <w:lang w:val="cs-CZ"/>
        </w:rPr>
        <w:t>věst</w:t>
      </w:r>
      <w:proofErr w:type="spellEnd"/>
      <w:proofErr w:type="gramEnd"/>
      <w:r w:rsidRPr="00442455">
        <w:rPr>
          <w:sz w:val="24"/>
          <w:lang w:val="cs-CZ"/>
        </w:rPr>
        <w:t xml:space="preserve">. L 199, </w:t>
      </w:r>
      <w:proofErr w:type="gramStart"/>
      <w:r w:rsidRPr="00442455">
        <w:rPr>
          <w:sz w:val="24"/>
          <w:lang w:val="cs-CZ"/>
        </w:rPr>
        <w:t>2.8.2011</w:t>
      </w:r>
      <w:proofErr w:type="gramEnd"/>
      <w:r w:rsidRPr="00442455">
        <w:rPr>
          <w:sz w:val="24"/>
          <w:lang w:val="cs-CZ"/>
        </w:rPr>
        <w:t>, s. 48.</w:t>
      </w:r>
    </w:p>
  </w:footnote>
  <w:footnote w:id="11">
    <w:p w:rsidR="00FA3940" w:rsidRPr="00442455" w:rsidRDefault="00FA3940" w:rsidP="002D70FD">
      <w:pPr>
        <w:pStyle w:val="FootnoteText"/>
        <w:ind w:left="567" w:hanging="567"/>
        <w:rPr>
          <w:sz w:val="24"/>
          <w:u w:val="single" w:color="0000FF"/>
          <w:lang w:val="cs-CZ"/>
        </w:rPr>
      </w:pPr>
      <w:r w:rsidRPr="00442455">
        <w:rPr>
          <w:rStyle w:val="FootnoteReference"/>
          <w:sz w:val="24"/>
          <w:lang w:val="cs-CZ"/>
        </w:rPr>
        <w:footnoteRef/>
      </w:r>
      <w:r w:rsidR="002D70FD" w:rsidRPr="00442455">
        <w:rPr>
          <w:sz w:val="24"/>
          <w:lang w:val="cs-CZ"/>
        </w:rPr>
        <w:t xml:space="preserve"> </w:t>
      </w:r>
      <w:r w:rsidR="002D70FD" w:rsidRPr="00442455">
        <w:rPr>
          <w:sz w:val="24"/>
          <w:lang w:val="cs-CZ"/>
        </w:rPr>
        <w:tab/>
      </w:r>
      <w:hyperlink r:id="rId1" w:history="1">
        <w:proofErr w:type="spellStart"/>
        <w:r w:rsidRPr="00442455">
          <w:rPr>
            <w:sz w:val="24"/>
            <w:lang w:val="cs-CZ"/>
          </w:rPr>
          <w:t>Úř</w:t>
        </w:r>
        <w:proofErr w:type="spellEnd"/>
        <w:r w:rsidRPr="00442455">
          <w:rPr>
            <w:sz w:val="24"/>
            <w:lang w:val="cs-CZ"/>
          </w:rPr>
          <w:t xml:space="preserve">. </w:t>
        </w:r>
        <w:proofErr w:type="spellStart"/>
        <w:proofErr w:type="gramStart"/>
        <w:r w:rsidRPr="00442455">
          <w:rPr>
            <w:sz w:val="24"/>
            <w:lang w:val="cs-CZ"/>
          </w:rPr>
          <w:t>věst</w:t>
        </w:r>
        <w:proofErr w:type="spellEnd"/>
        <w:proofErr w:type="gramEnd"/>
        <w:r w:rsidRPr="00442455">
          <w:rPr>
            <w:sz w:val="24"/>
            <w:lang w:val="cs-CZ"/>
          </w:rPr>
          <w:t>. L 13</w:t>
        </w:r>
        <w:r w:rsidR="00BF3F68" w:rsidRPr="00442455">
          <w:rPr>
            <w:sz w:val="24"/>
            <w:lang w:val="cs-CZ"/>
          </w:rPr>
          <w:t>,</w:t>
        </w:r>
        <w:r w:rsidRPr="00442455">
          <w:rPr>
            <w:sz w:val="24"/>
            <w:lang w:val="cs-CZ"/>
          </w:rPr>
          <w:t xml:space="preserve"> </w:t>
        </w:r>
        <w:proofErr w:type="gramStart"/>
        <w:r w:rsidRPr="00442455">
          <w:rPr>
            <w:sz w:val="24"/>
            <w:lang w:val="cs-CZ"/>
          </w:rPr>
          <w:t>17.1.2014</w:t>
        </w:r>
        <w:proofErr w:type="gramEnd"/>
        <w:r w:rsidRPr="00442455">
          <w:rPr>
            <w:sz w:val="24"/>
            <w:lang w:val="cs-CZ"/>
          </w:rPr>
          <w:t>, s. 1.</w:t>
        </w:r>
      </w:hyperlink>
    </w:p>
  </w:footnote>
  <w:footnote w:id="12">
    <w:p w:rsidR="00FA3940" w:rsidRPr="002D70FD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2D70FD">
        <w:rPr>
          <w:rStyle w:val="FootnoteReference"/>
          <w:sz w:val="24"/>
          <w:lang w:val="cs-CZ"/>
        </w:rPr>
        <w:footnoteRef/>
      </w:r>
      <w:r w:rsidR="002D70FD" w:rsidRPr="002D70FD">
        <w:rPr>
          <w:sz w:val="24"/>
          <w:lang w:val="cs-CZ"/>
        </w:rPr>
        <w:t xml:space="preserve"> </w:t>
      </w:r>
      <w:r w:rsidR="002D70FD" w:rsidRPr="002D70FD">
        <w:rPr>
          <w:sz w:val="24"/>
          <w:lang w:val="cs-CZ"/>
        </w:rPr>
        <w:tab/>
      </w:r>
      <w:proofErr w:type="spellStart"/>
      <w:r w:rsidRPr="002D70FD">
        <w:rPr>
          <w:sz w:val="24"/>
          <w:lang w:val="cs-CZ"/>
        </w:rPr>
        <w:t>Úř</w:t>
      </w:r>
      <w:proofErr w:type="spellEnd"/>
      <w:r w:rsidRPr="002D70FD">
        <w:rPr>
          <w:sz w:val="24"/>
          <w:lang w:val="cs-CZ"/>
        </w:rPr>
        <w:t xml:space="preserve">. </w:t>
      </w:r>
      <w:proofErr w:type="spellStart"/>
      <w:proofErr w:type="gramStart"/>
      <w:r w:rsidRPr="002D70FD">
        <w:rPr>
          <w:sz w:val="24"/>
          <w:lang w:val="cs-CZ"/>
        </w:rPr>
        <w:t>věst</w:t>
      </w:r>
      <w:proofErr w:type="spellEnd"/>
      <w:proofErr w:type="gramEnd"/>
      <w:r w:rsidRPr="002D70FD">
        <w:rPr>
          <w:sz w:val="24"/>
          <w:lang w:val="cs-CZ"/>
        </w:rPr>
        <w:t xml:space="preserve">. C 15, </w:t>
      </w:r>
      <w:proofErr w:type="gramStart"/>
      <w:r w:rsidRPr="002D70FD">
        <w:rPr>
          <w:sz w:val="24"/>
          <w:lang w:val="cs-CZ"/>
        </w:rPr>
        <w:t>12.1.2022</w:t>
      </w:r>
      <w:proofErr w:type="gramEnd"/>
      <w:r w:rsidRPr="002D70FD">
        <w:rPr>
          <w:sz w:val="24"/>
          <w:lang w:val="cs-CZ"/>
        </w:rPr>
        <w:t>, s. 45.</w:t>
      </w:r>
    </w:p>
  </w:footnote>
  <w:footnote w:id="13">
    <w:p w:rsidR="00FA3940" w:rsidRPr="002D70FD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2D70FD">
        <w:rPr>
          <w:rStyle w:val="FootnoteReference"/>
          <w:sz w:val="24"/>
          <w:lang w:val="cs-CZ"/>
        </w:rPr>
        <w:footnoteRef/>
      </w:r>
      <w:r w:rsidR="002D70FD" w:rsidRPr="002D70FD">
        <w:rPr>
          <w:sz w:val="24"/>
          <w:lang w:val="cs-CZ"/>
        </w:rPr>
        <w:t xml:space="preserve"> </w:t>
      </w:r>
      <w:r w:rsidR="002D70FD" w:rsidRPr="002D70FD">
        <w:rPr>
          <w:sz w:val="24"/>
          <w:lang w:val="cs-CZ"/>
        </w:rPr>
        <w:tab/>
      </w:r>
      <w:proofErr w:type="spellStart"/>
      <w:r w:rsidRPr="002D70FD">
        <w:rPr>
          <w:sz w:val="24"/>
          <w:lang w:val="cs-CZ"/>
        </w:rPr>
        <w:t>Úř</w:t>
      </w:r>
      <w:proofErr w:type="spellEnd"/>
      <w:r w:rsidRPr="002D70FD">
        <w:rPr>
          <w:sz w:val="24"/>
          <w:lang w:val="cs-CZ"/>
        </w:rPr>
        <w:t xml:space="preserve">. </w:t>
      </w:r>
      <w:proofErr w:type="spellStart"/>
      <w:proofErr w:type="gramStart"/>
      <w:r w:rsidRPr="002D70FD">
        <w:rPr>
          <w:sz w:val="24"/>
          <w:lang w:val="cs-CZ"/>
        </w:rPr>
        <w:t>věst</w:t>
      </w:r>
      <w:proofErr w:type="spellEnd"/>
      <w:proofErr w:type="gramEnd"/>
      <w:r w:rsidRPr="002D70FD">
        <w:rPr>
          <w:sz w:val="24"/>
          <w:lang w:val="cs-CZ"/>
        </w:rPr>
        <w:t xml:space="preserve">. C 371, </w:t>
      </w:r>
      <w:proofErr w:type="gramStart"/>
      <w:r w:rsidRPr="002D70FD">
        <w:rPr>
          <w:sz w:val="24"/>
          <w:lang w:val="cs-CZ"/>
        </w:rPr>
        <w:t>15.9.2021</w:t>
      </w:r>
      <w:proofErr w:type="gramEnd"/>
      <w:r w:rsidRPr="002D70FD">
        <w:rPr>
          <w:sz w:val="24"/>
          <w:lang w:val="cs-CZ"/>
        </w:rPr>
        <w:t>, s. 58.</w:t>
      </w:r>
    </w:p>
  </w:footnote>
  <w:footnote w:id="14">
    <w:p w:rsidR="00FA3940" w:rsidRPr="002D70FD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2D70FD">
        <w:rPr>
          <w:rStyle w:val="FootnoteReference"/>
          <w:sz w:val="24"/>
          <w:lang w:val="cs-CZ"/>
        </w:rPr>
        <w:footnoteRef/>
      </w:r>
      <w:r w:rsidR="002D70FD" w:rsidRPr="002D70FD">
        <w:rPr>
          <w:sz w:val="24"/>
          <w:lang w:val="cs-CZ"/>
        </w:rPr>
        <w:t xml:space="preserve"> </w:t>
      </w:r>
      <w:r w:rsidR="002D70FD" w:rsidRPr="002D70FD">
        <w:rPr>
          <w:sz w:val="24"/>
          <w:lang w:val="cs-CZ"/>
        </w:rPr>
        <w:tab/>
      </w:r>
      <w:proofErr w:type="spellStart"/>
      <w:r w:rsidRPr="002D70FD">
        <w:rPr>
          <w:sz w:val="24"/>
          <w:lang w:val="cs-CZ"/>
        </w:rPr>
        <w:t>Úř</w:t>
      </w:r>
      <w:proofErr w:type="spellEnd"/>
      <w:r w:rsidRPr="002D70FD">
        <w:rPr>
          <w:sz w:val="24"/>
          <w:lang w:val="cs-CZ"/>
        </w:rPr>
        <w:t xml:space="preserve">. </w:t>
      </w:r>
      <w:proofErr w:type="spellStart"/>
      <w:proofErr w:type="gramStart"/>
      <w:r w:rsidRPr="002D70FD">
        <w:rPr>
          <w:sz w:val="24"/>
          <w:lang w:val="cs-CZ"/>
        </w:rPr>
        <w:t>věst</w:t>
      </w:r>
      <w:proofErr w:type="spellEnd"/>
      <w:proofErr w:type="gramEnd"/>
      <w:r w:rsidRPr="002D70FD">
        <w:rPr>
          <w:sz w:val="24"/>
          <w:lang w:val="cs-CZ"/>
        </w:rPr>
        <w:t xml:space="preserve">. C 23, </w:t>
      </w:r>
      <w:proofErr w:type="gramStart"/>
      <w:r w:rsidRPr="002D70FD">
        <w:rPr>
          <w:sz w:val="24"/>
          <w:lang w:val="cs-CZ"/>
        </w:rPr>
        <w:t>21.1.2021</w:t>
      </w:r>
      <w:proofErr w:type="gramEnd"/>
      <w:r w:rsidRPr="002D70FD">
        <w:rPr>
          <w:sz w:val="24"/>
          <w:lang w:val="cs-CZ"/>
        </w:rPr>
        <w:t>, s. 116.</w:t>
      </w:r>
    </w:p>
  </w:footnote>
  <w:footnote w:id="15">
    <w:p w:rsidR="00FA3940" w:rsidRPr="00C30CA0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2D70FD">
        <w:rPr>
          <w:rStyle w:val="FootnoteReference"/>
          <w:sz w:val="24"/>
          <w:lang w:val="cs-CZ"/>
        </w:rPr>
        <w:footnoteRef/>
      </w:r>
      <w:r w:rsidR="002D70FD" w:rsidRPr="002D70FD">
        <w:rPr>
          <w:sz w:val="24"/>
          <w:lang w:val="cs-CZ"/>
        </w:rPr>
        <w:t xml:space="preserve"> </w:t>
      </w:r>
      <w:r w:rsidR="002D70FD" w:rsidRPr="002D70FD">
        <w:rPr>
          <w:sz w:val="24"/>
          <w:lang w:val="cs-CZ"/>
        </w:rPr>
        <w:tab/>
      </w:r>
      <w:hyperlink r:id="rId2" w:history="1">
        <w:proofErr w:type="spellStart"/>
        <w:r w:rsidRPr="00C30CA0">
          <w:rPr>
            <w:sz w:val="24"/>
            <w:lang w:val="cs-CZ"/>
          </w:rPr>
          <w:t>Úř</w:t>
        </w:r>
        <w:proofErr w:type="spellEnd"/>
        <w:r w:rsidRPr="00C30CA0">
          <w:rPr>
            <w:sz w:val="24"/>
            <w:lang w:val="cs-CZ"/>
          </w:rPr>
          <w:t xml:space="preserve">. </w:t>
        </w:r>
        <w:proofErr w:type="spellStart"/>
        <w:proofErr w:type="gramStart"/>
        <w:r w:rsidRPr="00C30CA0">
          <w:rPr>
            <w:sz w:val="24"/>
            <w:lang w:val="cs-CZ"/>
          </w:rPr>
          <w:t>věst</w:t>
        </w:r>
        <w:proofErr w:type="spellEnd"/>
        <w:proofErr w:type="gramEnd"/>
        <w:r w:rsidRPr="00C30CA0">
          <w:rPr>
            <w:sz w:val="24"/>
            <w:lang w:val="cs-CZ"/>
          </w:rPr>
          <w:t>.</w:t>
        </w:r>
        <w:r w:rsidR="0013052F" w:rsidRPr="00C30CA0">
          <w:rPr>
            <w:sz w:val="24"/>
            <w:lang w:val="cs-CZ"/>
          </w:rPr>
          <w:t xml:space="preserve"> </w:t>
        </w:r>
        <w:r w:rsidRPr="00C30CA0">
          <w:rPr>
            <w:sz w:val="24"/>
            <w:lang w:val="cs-CZ"/>
          </w:rPr>
          <w:t xml:space="preserve">C 270, </w:t>
        </w:r>
        <w:proofErr w:type="gramStart"/>
        <w:r w:rsidRPr="00C30CA0">
          <w:rPr>
            <w:sz w:val="24"/>
            <w:lang w:val="cs-CZ"/>
          </w:rPr>
          <w:t>7.7.2021</w:t>
        </w:r>
        <w:proofErr w:type="gramEnd"/>
        <w:r w:rsidRPr="00C30CA0">
          <w:rPr>
            <w:sz w:val="24"/>
            <w:lang w:val="cs-CZ"/>
          </w:rPr>
          <w:t>, s. 2.</w:t>
        </w:r>
      </w:hyperlink>
    </w:p>
  </w:footnote>
  <w:footnote w:id="16">
    <w:p w:rsidR="00FA3940" w:rsidRPr="002D70FD" w:rsidRDefault="00FA3940" w:rsidP="002D70FD">
      <w:pPr>
        <w:pStyle w:val="FootnoteText"/>
        <w:ind w:left="567" w:hanging="567"/>
        <w:rPr>
          <w:color w:val="0000FF"/>
          <w:sz w:val="24"/>
          <w:u w:val="single" w:color="0000FF"/>
          <w:lang w:val="cs-CZ"/>
        </w:rPr>
      </w:pPr>
      <w:r w:rsidRPr="0013052F">
        <w:rPr>
          <w:rStyle w:val="FootnoteReference"/>
          <w:sz w:val="24"/>
          <w:lang w:val="cs-CZ"/>
        </w:rPr>
        <w:footnoteRef/>
      </w:r>
      <w:r w:rsidR="002D70FD" w:rsidRPr="0013052F">
        <w:rPr>
          <w:sz w:val="24"/>
          <w:lang w:val="cs-CZ"/>
        </w:rPr>
        <w:t xml:space="preserve"> </w:t>
      </w:r>
      <w:r w:rsidR="002D70FD" w:rsidRPr="0013052F">
        <w:rPr>
          <w:sz w:val="24"/>
          <w:lang w:val="cs-CZ"/>
        </w:rPr>
        <w:tab/>
      </w:r>
      <w:hyperlink r:id="rId3" w:history="1">
        <w:proofErr w:type="spellStart"/>
        <w:r w:rsidRPr="00C30CA0">
          <w:rPr>
            <w:sz w:val="24"/>
            <w:lang w:val="cs-CZ"/>
          </w:rPr>
          <w:t>Úř</w:t>
        </w:r>
        <w:proofErr w:type="spellEnd"/>
        <w:r w:rsidRPr="00C30CA0">
          <w:rPr>
            <w:sz w:val="24"/>
            <w:lang w:val="cs-CZ"/>
          </w:rPr>
          <w:t xml:space="preserve">. </w:t>
        </w:r>
        <w:proofErr w:type="spellStart"/>
        <w:proofErr w:type="gramStart"/>
        <w:r w:rsidRPr="00C30CA0">
          <w:rPr>
            <w:sz w:val="24"/>
            <w:lang w:val="cs-CZ"/>
          </w:rPr>
          <w:t>věst</w:t>
        </w:r>
        <w:proofErr w:type="spellEnd"/>
        <w:proofErr w:type="gramEnd"/>
        <w:r w:rsidRPr="00C30CA0">
          <w:rPr>
            <w:sz w:val="24"/>
            <w:lang w:val="cs-CZ"/>
          </w:rPr>
          <w:t>.</w:t>
        </w:r>
        <w:r w:rsidR="0013052F" w:rsidRPr="00C30CA0">
          <w:rPr>
            <w:sz w:val="24"/>
            <w:lang w:val="cs-CZ"/>
          </w:rPr>
          <w:t xml:space="preserve"> </w:t>
        </w:r>
        <w:r w:rsidRPr="00C30CA0">
          <w:rPr>
            <w:sz w:val="24"/>
            <w:lang w:val="cs-CZ"/>
          </w:rPr>
          <w:t xml:space="preserve">C 399, </w:t>
        </w:r>
        <w:proofErr w:type="gramStart"/>
        <w:r w:rsidRPr="00C30CA0">
          <w:rPr>
            <w:sz w:val="24"/>
            <w:lang w:val="cs-CZ"/>
          </w:rPr>
          <w:t>24.11.2017</w:t>
        </w:r>
        <w:proofErr w:type="gramEnd"/>
        <w:r w:rsidRPr="00C30CA0">
          <w:rPr>
            <w:sz w:val="24"/>
            <w:lang w:val="cs-CZ"/>
          </w:rPr>
          <w:t>, s. 21.</w:t>
        </w:r>
      </w:hyperlink>
    </w:p>
  </w:footnote>
  <w:footnote w:id="17">
    <w:p w:rsidR="00FA3940" w:rsidRPr="002D70FD" w:rsidRDefault="00FA3940" w:rsidP="002D70FD">
      <w:pPr>
        <w:pStyle w:val="FootnoteText"/>
        <w:ind w:left="567" w:hanging="567"/>
        <w:rPr>
          <w:sz w:val="24"/>
          <w:lang w:val="cs-CZ"/>
        </w:rPr>
      </w:pPr>
      <w:r w:rsidRPr="002D70FD">
        <w:rPr>
          <w:rStyle w:val="FootnoteReference"/>
          <w:sz w:val="24"/>
          <w:lang w:val="cs-CZ"/>
        </w:rPr>
        <w:footnoteRef/>
      </w:r>
      <w:r w:rsidR="002D70FD" w:rsidRPr="002D70FD">
        <w:rPr>
          <w:sz w:val="24"/>
          <w:lang w:val="cs-CZ"/>
        </w:rPr>
        <w:t xml:space="preserve"> </w:t>
      </w:r>
      <w:r w:rsidR="002D70FD" w:rsidRPr="002D70FD">
        <w:rPr>
          <w:sz w:val="24"/>
          <w:lang w:val="cs-CZ"/>
        </w:rPr>
        <w:tab/>
      </w:r>
      <w:hyperlink r:id="rId4" w:history="1">
        <w:r w:rsidRPr="0013052F">
          <w:rPr>
            <w:rStyle w:val="Hyperlink"/>
            <w:sz w:val="24"/>
            <w:lang w:val="cs-CZ"/>
          </w:rPr>
          <w:t>https://data.europa.eu/doi/10.2833/972513</w:t>
        </w:r>
      </w:hyperlink>
      <w:r w:rsidRPr="002D70FD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8/2023"/>
    <w:docVar w:name="dvlangue" w:val="CS"/>
    <w:docVar w:name="dvnumam" w:val="0"/>
    <w:docVar w:name="dvpe" w:val="751.739"/>
    <w:docVar w:name="dvrapporteur" w:val="Zpravodaj: "/>
    <w:docVar w:name="dvtitre" w:val="Usnesení Evropského parlamentu ze dne 12. prosince 2023 o malých modulárních reaktorech(2023/2109(INI))"/>
  </w:docVars>
  <w:rsids>
    <w:rsidRoot w:val="00533BEC"/>
    <w:rsid w:val="00002272"/>
    <w:rsid w:val="00006A1E"/>
    <w:rsid w:val="00064002"/>
    <w:rsid w:val="000677B9"/>
    <w:rsid w:val="000831BA"/>
    <w:rsid w:val="000A42CC"/>
    <w:rsid w:val="000E7DD9"/>
    <w:rsid w:val="0010095E"/>
    <w:rsid w:val="00125B37"/>
    <w:rsid w:val="0013052F"/>
    <w:rsid w:val="00187494"/>
    <w:rsid w:val="001F32AE"/>
    <w:rsid w:val="002767FF"/>
    <w:rsid w:val="002A5FB3"/>
    <w:rsid w:val="002B18FE"/>
    <w:rsid w:val="002B5493"/>
    <w:rsid w:val="002D70FD"/>
    <w:rsid w:val="00343214"/>
    <w:rsid w:val="00361C00"/>
    <w:rsid w:val="00395FA1"/>
    <w:rsid w:val="003A2A08"/>
    <w:rsid w:val="003C0D7A"/>
    <w:rsid w:val="003E15D4"/>
    <w:rsid w:val="00411CCE"/>
    <w:rsid w:val="0041666E"/>
    <w:rsid w:val="00421060"/>
    <w:rsid w:val="00442455"/>
    <w:rsid w:val="00471C19"/>
    <w:rsid w:val="004867E3"/>
    <w:rsid w:val="00494A28"/>
    <w:rsid w:val="0049539A"/>
    <w:rsid w:val="004C0004"/>
    <w:rsid w:val="004C5D52"/>
    <w:rsid w:val="0050519A"/>
    <w:rsid w:val="005072A1"/>
    <w:rsid w:val="00514517"/>
    <w:rsid w:val="00533BEC"/>
    <w:rsid w:val="00545827"/>
    <w:rsid w:val="00560270"/>
    <w:rsid w:val="005C2568"/>
    <w:rsid w:val="006037C0"/>
    <w:rsid w:val="006631B6"/>
    <w:rsid w:val="00680577"/>
    <w:rsid w:val="006C400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B36"/>
    <w:rsid w:val="00A1687D"/>
    <w:rsid w:val="00A43E52"/>
    <w:rsid w:val="00A4678D"/>
    <w:rsid w:val="00A778C7"/>
    <w:rsid w:val="00AB441E"/>
    <w:rsid w:val="00AB6293"/>
    <w:rsid w:val="00AE0928"/>
    <w:rsid w:val="00AE5013"/>
    <w:rsid w:val="00AF3B82"/>
    <w:rsid w:val="00B12E95"/>
    <w:rsid w:val="00B22876"/>
    <w:rsid w:val="00B342C7"/>
    <w:rsid w:val="00B558F0"/>
    <w:rsid w:val="00BD48FE"/>
    <w:rsid w:val="00BD7BD8"/>
    <w:rsid w:val="00BE6ADC"/>
    <w:rsid w:val="00BF3F68"/>
    <w:rsid w:val="00C05BFE"/>
    <w:rsid w:val="00C23CD4"/>
    <w:rsid w:val="00C30CA0"/>
    <w:rsid w:val="00C61C0C"/>
    <w:rsid w:val="00C941CB"/>
    <w:rsid w:val="00CC2357"/>
    <w:rsid w:val="00CF071A"/>
    <w:rsid w:val="00D058B8"/>
    <w:rsid w:val="00D448F8"/>
    <w:rsid w:val="00D56C11"/>
    <w:rsid w:val="00D834A0"/>
    <w:rsid w:val="00D872DF"/>
    <w:rsid w:val="00D91E21"/>
    <w:rsid w:val="00DA7FCD"/>
    <w:rsid w:val="00E11E61"/>
    <w:rsid w:val="00E365E1"/>
    <w:rsid w:val="00E820A4"/>
    <w:rsid w:val="00EA4A1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940"/>
    <w:rsid w:val="00FA492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53B3F"/>
  <w15:chartTrackingRefBased/>
  <w15:docId w15:val="{F594289A-61AC-4808-8A9E-8D509B7D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A394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A394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A3940"/>
    <w:pPr>
      <w:spacing w:after="240"/>
      <w:jc w:val="center"/>
    </w:pPr>
  </w:style>
  <w:style w:type="character" w:customStyle="1" w:styleId="BoldItalic">
    <w:name w:val="BoldItalic"/>
    <w:uiPriority w:val="1"/>
    <w:rsid w:val="00FA3940"/>
    <w:rPr>
      <w:b/>
      <w:i/>
      <w:u w:val="none"/>
    </w:rPr>
  </w:style>
  <w:style w:type="character" w:customStyle="1" w:styleId="Italic">
    <w:name w:val="Italic"/>
    <w:uiPriority w:val="1"/>
    <w:rsid w:val="00FA3940"/>
    <w:rPr>
      <w:i/>
    </w:rPr>
  </w:style>
  <w:style w:type="paragraph" w:customStyle="1" w:styleId="Normal12a24b">
    <w:name w:val="Normal12a24b"/>
    <w:basedOn w:val="Normal"/>
    <w:rsid w:val="00FA3940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A3940"/>
    <w:rPr>
      <w:snapToGrid w:val="0"/>
      <w:sz w:val="24"/>
      <w:lang w:val="cs-CZ" w:eastAsia="en-US"/>
    </w:rPr>
  </w:style>
  <w:style w:type="paragraph" w:styleId="BalloonText">
    <w:name w:val="Balloon Text"/>
    <w:basedOn w:val="Normal"/>
    <w:link w:val="BalloonTextChar"/>
    <w:rsid w:val="001305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052F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1305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CS/TXT/?uri=uriserv:OJ.C_.2017.399.01.0021.01.ENG" TargetMode="External"/><Relationship Id="rId2" Type="http://schemas.openxmlformats.org/officeDocument/2006/relationships/hyperlink" Target="https://eur-lex.europa.eu/legal-content/CS/TXT/?uri=uriserv:OJ.C_.2021.270.01.0002.01.ENG" TargetMode="External"/><Relationship Id="rId1" Type="http://schemas.openxmlformats.org/officeDocument/2006/relationships/hyperlink" Target="https://eur-lex.europa.eu/legal-content/CS/TXT/?uri=uriserv:OJ.L_.2014.013.01.0001.01.ENG" TargetMode="External"/><Relationship Id="rId4" Type="http://schemas.openxmlformats.org/officeDocument/2006/relationships/hyperlink" Target="https://data.europa.eu/doi/10.2833/9725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E1EC6-7597-468D-97EB-B258FF4B7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4780</Words>
  <Characters>28755</Characters>
  <Application>Microsoft Office Word</Application>
  <DocSecurity>0</DocSecurity>
  <Lines>239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2024-01-25T12:54:00Z</dcterms:created>
  <dcterms:modified xsi:type="dcterms:W3CDTF">2024-01-25T12:54:00Z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A9-0408/2023</vt:lpwstr>
  </property>
  <property fmtid="{D5CDD505-2E9C-101B-9397-08002B2CF9AE}" pid="4" name="&lt;Type&gt;">
    <vt:lpwstr>RR</vt:lpwstr>
  </property>
</Properties>
</file>