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E07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FE075E" w:rsidRDefault="00E31638">
            <w:pPr>
              <w:pStyle w:val="EPName"/>
            </w:pPr>
            <w:r>
              <w:t>Európsky parlament</w:t>
            </w:r>
          </w:p>
          <w:p w:rsidR="00FE075E" w:rsidRDefault="00E3163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FE075E" w:rsidRDefault="00E31638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075E" w:rsidRDefault="00FE075E">
      <w:pPr>
        <w:pStyle w:val="LineTop"/>
      </w:pPr>
    </w:p>
    <w:p w:rsidR="00FE075E" w:rsidRDefault="00E31638">
      <w:pPr>
        <w:pStyle w:val="EPBodyTA1"/>
      </w:pPr>
      <w:r>
        <w:t>PRIJATÉ TEXTY</w:t>
      </w:r>
    </w:p>
    <w:p w:rsidR="00FE075E" w:rsidRDefault="00FE075E">
      <w:pPr>
        <w:pStyle w:val="LineBottom"/>
      </w:pPr>
    </w:p>
    <w:p w:rsidR="00FE075E" w:rsidRDefault="00E31638">
      <w:pPr>
        <w:pStyle w:val="ATHeading1"/>
      </w:pPr>
      <w:bookmarkStart w:id="0" w:name="TANumber"/>
      <w:r>
        <w:t>P9_TA(2023)0458</w:t>
      </w:r>
      <w:bookmarkEnd w:id="0"/>
    </w:p>
    <w:p w:rsidR="00FE075E" w:rsidRDefault="00E31638">
      <w:pPr>
        <w:pStyle w:val="ATHeading2"/>
      </w:pPr>
      <w:bookmarkStart w:id="1" w:name="title"/>
      <w:r>
        <w:t>Vykonávanie Nástroja susedstva a rozvojovej a medzinárodnej spolupráce – Globálna Európa</w:t>
      </w:r>
      <w:bookmarkEnd w:id="1"/>
    </w:p>
    <w:p w:rsidR="00FE075E" w:rsidRDefault="00E31638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A9-0374/2023</w:instrText>
      </w:r>
      <w:bookmarkEnd w:id="2"/>
      <w:r>
        <w:rPr>
          <w:i/>
        </w:rPr>
        <w:instrText xml:space="preserve"> - Spravodajcovia: Michael Gahler, Charles Goerens, Pedro Marques, Tomas Tobé)"\l3 \n&gt; \* MERGEFORMAT </w:instrText>
      </w:r>
      <w:r>
        <w:rPr>
          <w:i/>
        </w:rPr>
        <w:fldChar w:fldCharType="end"/>
      </w:r>
    </w:p>
    <w:p w:rsidR="00FE075E" w:rsidRDefault="00E31638">
      <w:pPr>
        <w:rPr>
          <w:vanish/>
        </w:rPr>
      </w:pPr>
      <w:bookmarkStart w:id="3" w:name="Commission"/>
      <w:r>
        <w:rPr>
          <w:vanish/>
        </w:rPr>
        <w:t>Výbor pre zahraničné veci a Výbor pre rozvoj</w:t>
      </w:r>
    </w:p>
    <w:p w:rsidR="00FE075E" w:rsidRDefault="00E31638">
      <w:pPr>
        <w:rPr>
          <w:vanish/>
        </w:rPr>
      </w:pPr>
      <w:bookmarkStart w:id="4" w:name="PE"/>
      <w:r>
        <w:rPr>
          <w:vanish/>
        </w:rPr>
        <w:t>PE749.124</w:t>
      </w:r>
      <w:bookmarkEnd w:id="4"/>
    </w:p>
    <w:p w:rsidR="00FE075E" w:rsidRDefault="00E31638">
      <w:pPr>
        <w:pStyle w:val="ATHeading3"/>
      </w:pPr>
      <w:bookmarkStart w:id="5" w:name="Sujet"/>
      <w:r>
        <w:t>Uznesenie Európskeho parlamentu z 12. decembra 2023 o vykonávaní Nástroja susedstva a rozvojovej</w:t>
      </w:r>
      <w:r>
        <w:t xml:space="preserve"> a medzinárodnej spolupráce – Globálna Európa</w:t>
      </w:r>
      <w:bookmarkEnd w:id="5"/>
      <w:r>
        <w:t xml:space="preserve"> </w:t>
      </w:r>
      <w:bookmarkStart w:id="6" w:name="References"/>
      <w:r>
        <w:t>(2023/2029(INI))</w:t>
      </w:r>
      <w:bookmarkEnd w:id="6"/>
    </w:p>
    <w:p w:rsidR="00FE075E" w:rsidRDefault="00E31638">
      <w:pPr>
        <w:pStyle w:val="EPComma"/>
        <w:rPr>
          <w:i/>
        </w:rPr>
      </w:pPr>
      <w:bookmarkStart w:id="7" w:name="TextBodyBegin"/>
      <w:bookmarkEnd w:id="3"/>
      <w:bookmarkEnd w:id="7"/>
      <w:r>
        <w:rPr>
          <w:i/>
        </w:rPr>
        <w:t>Európsky parlament,</w:t>
      </w:r>
    </w:p>
    <w:p w:rsidR="00FE075E" w:rsidRDefault="00E31638">
      <w:pPr>
        <w:pStyle w:val="NormalHanging12a"/>
      </w:pPr>
      <w:r>
        <w:rPr>
          <w:b/>
        </w:rPr>
        <w:t>–</w:t>
      </w:r>
      <w:r>
        <w:rPr>
          <w:b/>
        </w:rPr>
        <w:tab/>
      </w:r>
      <w:r>
        <w:t>so zreteľom na Zmluvu o fungovaní Európskej únie (ďalej len „ZFEÚ“), a najmä na jej články 209 a 212 a článok 322 ods. 1,</w:t>
      </w:r>
    </w:p>
    <w:p w:rsidR="00FE075E" w:rsidRDefault="00E31638">
      <w:pPr>
        <w:pStyle w:val="NormalHanging12a"/>
        <w:rPr>
          <w:szCs w:val="24"/>
        </w:rPr>
      </w:pPr>
      <w:r>
        <w:rPr>
          <w:b/>
        </w:rPr>
        <w:t>–</w:t>
      </w:r>
      <w:r>
        <w:rPr>
          <w:b/>
        </w:rPr>
        <w:tab/>
      </w:r>
      <w:r>
        <w:t>so zreteľom na nariadenie Európskeho parlamentu</w:t>
      </w:r>
      <w:r>
        <w:t xml:space="preserve"> a Rady (EÚ) 2021/947 z 9. júna 2021, ktorým sa zriaďuje Nástroj susedstva a rozvojovej a medzinárodnej spolupráce – Globálna Európa, mení a zrušuje rozhodnutie Európskeho parlamentu a Rady č. 466/2014/EÚ a zrušuje nariadenie Európskeho parlamentu a Rady (</w:t>
      </w:r>
      <w:r>
        <w:t xml:space="preserve">EÚ) 2017/1601 a nariadenie Rady (ES, </w:t>
      </w:r>
      <w:proofErr w:type="spellStart"/>
      <w:r>
        <w:t>Euratom</w:t>
      </w:r>
      <w:proofErr w:type="spellEnd"/>
      <w:r>
        <w:t>) č. 480/2009</w:t>
      </w:r>
      <w:r>
        <w:rPr>
          <w:rStyle w:val="FootnoteReference"/>
          <w:szCs w:val="24"/>
        </w:rPr>
        <w:footnoteReference w:id="1"/>
      </w:r>
      <w:r>
        <w:t>,</w:t>
      </w:r>
    </w:p>
    <w:p w:rsidR="00FE075E" w:rsidRDefault="00E31638">
      <w:pPr>
        <w:pStyle w:val="NormalHanging12a"/>
      </w:pPr>
      <w:r>
        <w:rPr>
          <w:b/>
        </w:rPr>
        <w:t>–</w:t>
      </w:r>
      <w:r>
        <w:rPr>
          <w:b/>
        </w:rPr>
        <w:tab/>
      </w:r>
      <w:r>
        <w:t>so zreteľom na správu Komisie z 8. novembra 2022 s názvom Výročná správa za rok 2022 o vykonávaní nástrojov vonkajšej činnosti Európskej únie v roku 2021 (COM(2022)0578),</w:t>
      </w:r>
    </w:p>
    <w:p w:rsidR="00FE075E" w:rsidRDefault="00E31638">
      <w:pPr>
        <w:pStyle w:val="NormalHanging12a"/>
      </w:pPr>
      <w:r>
        <w:t>–</w:t>
      </w:r>
      <w:r>
        <w:tab/>
        <w:t xml:space="preserve">so zreteľom na rôzne </w:t>
      </w:r>
      <w:r>
        <w:t>správy Európskeho dvora audítorov (EDA) o vonkajšom financovaní EÚ, najmä na osobitnú správu č.</w:t>
      </w:r>
      <w:r>
        <w:t> </w:t>
      </w:r>
      <w:r>
        <w:t>14/2023 s názvom Programovanie Nástroja susedstva, rozvojovej a medzinárodnej spolupráce – Globálna Európa: Ucelené programy s nedostatočnými metódami na prideľova</w:t>
      </w:r>
      <w:r>
        <w:t>nie finančných prostriedkov a monitorovaním vplyvu a osobitnú správu č.</w:t>
      </w:r>
      <w:r>
        <w:t> 09/20</w:t>
      </w:r>
      <w:r>
        <w:t>18 s názvom Verejno-súkromné partnerstvá v EÚ: Rozsiahle nedostatky a obmedzené prínosy,</w:t>
      </w:r>
    </w:p>
    <w:p w:rsidR="00FE075E" w:rsidRDefault="00E31638">
      <w:pPr>
        <w:pStyle w:val="NormalHanging12a"/>
      </w:pPr>
      <w:r>
        <w:t>–</w:t>
      </w:r>
      <w:r>
        <w:tab/>
        <w:t>so zreteľom na spoločné oznámenie Komisie a vysokého predstaviteľa Únie pre zahraničné veci a</w:t>
      </w:r>
      <w:r>
        <w:t xml:space="preserve"> bezpečnostnú politiku z 1. decembra 2021 s názvom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(JOIN(2021)0030),</w:t>
      </w:r>
    </w:p>
    <w:p w:rsidR="00FE075E" w:rsidRDefault="00E31638">
      <w:pPr>
        <w:pStyle w:val="NormalHanging12a"/>
      </w:pPr>
      <w:r>
        <w:t>–</w:t>
      </w:r>
      <w:r>
        <w:tab/>
        <w:t>so zreteľom na závery Rady zo 14. júna 2021 o posilnení európskej finančnej štruktúry pre rozvoj,</w:t>
      </w:r>
    </w:p>
    <w:p w:rsidR="00FE075E" w:rsidRDefault="00E31638">
      <w:pPr>
        <w:pStyle w:val="NormalHanging12a"/>
      </w:pPr>
      <w:r>
        <w:t>–</w:t>
      </w:r>
      <w:r>
        <w:tab/>
        <w:t>so zreteľom na správu Komisie z 24. marca 2022 s názvom Plán Komisie n</w:t>
      </w:r>
      <w:r>
        <w:t xml:space="preserve">a zlepšenie európskej finančnej štruktúry pre rozvoj a správa o pokroku za rok 2021 </w:t>
      </w:r>
      <w:r>
        <w:lastRenderedPageBreak/>
        <w:t>(COM(2022)0139),</w:t>
      </w:r>
    </w:p>
    <w:p w:rsidR="00FE075E" w:rsidRDefault="00E31638">
      <w:pPr>
        <w:pStyle w:val="NormalHanging12a"/>
      </w:pPr>
      <w:r>
        <w:rPr>
          <w:b/>
        </w:rPr>
        <w:t>–</w:t>
      </w:r>
      <w:r>
        <w:rPr>
          <w:b/>
        </w:rPr>
        <w:tab/>
      </w:r>
      <w:r>
        <w:t>so zreteľom na závery Rady zo 14. júna 2021 o posilnení záväzku Tímu Európa v oblasti ľudského rozvoja,</w:t>
      </w:r>
    </w:p>
    <w:p w:rsidR="00FE075E" w:rsidRDefault="00E31638">
      <w:pPr>
        <w:pStyle w:val="NormalHanging12a"/>
      </w:pPr>
      <w:r>
        <w:rPr>
          <w:b/>
        </w:rPr>
        <w:t>–</w:t>
      </w:r>
      <w:r>
        <w:rPr>
          <w:b/>
        </w:rPr>
        <w:tab/>
      </w:r>
      <w:r>
        <w:t>so zreteľom na závery Rady z 20. mája 2022 o ob</w:t>
      </w:r>
      <w:r>
        <w:t>novenom partnerstve EÚ s najmenej rozvinutými krajinami,</w:t>
      </w:r>
    </w:p>
    <w:p w:rsidR="00FE075E" w:rsidRDefault="00E31638">
      <w:pPr>
        <w:pStyle w:val="NormalHanging12a"/>
        <w:rPr>
          <w:szCs w:val="24"/>
        </w:rPr>
      </w:pPr>
      <w:r>
        <w:rPr>
          <w:b/>
        </w:rPr>
        <w:t>–</w:t>
      </w:r>
      <w:r>
        <w:rPr>
          <w:b/>
        </w:rPr>
        <w:tab/>
      </w:r>
      <w:r>
        <w:rPr>
          <w:color w:val="1E1E1F"/>
        </w:rPr>
        <w:t xml:space="preserve">so zreteľom na </w:t>
      </w:r>
      <w:r>
        <w:t>svoje uznesenie z 18. apríla 2018 o vykonávaní nástrojov Únie na financovanie vonkajšej činnosti: preskúmanie v polovici trvania v roku 2017 a budúca architektúra po roku 2020</w:t>
      </w:r>
      <w:r>
        <w:rPr>
          <w:rStyle w:val="FootnoteReference"/>
          <w:szCs w:val="24"/>
        </w:rPr>
        <w:footnoteReference w:id="2"/>
      </w:r>
      <w:r>
        <w:t>,</w:t>
      </w:r>
    </w:p>
    <w:p w:rsidR="00FE075E" w:rsidRDefault="00E31638">
      <w:pPr>
        <w:pStyle w:val="NormalHanging12a"/>
      </w:pPr>
      <w:r>
        <w:t>–</w:t>
      </w:r>
      <w:r>
        <w:tab/>
        <w:t>so</w:t>
      </w:r>
      <w:r>
        <w:t xml:space="preserve"> zreteľom na svoje uznesenie zo 17. apríla 2018 o vykonávaní nástroja rozvojovej spolupráce, nástroja humanitárnej pomoci a Európskeho rozvojového fondu</w:t>
      </w:r>
      <w:r>
        <w:rPr>
          <w:rStyle w:val="FootnoteReference"/>
        </w:rPr>
        <w:footnoteReference w:id="3"/>
      </w:r>
      <w:r>
        <w:t>,</w:t>
      </w:r>
    </w:p>
    <w:p w:rsidR="00FE075E" w:rsidRDefault="00E31638">
      <w:pPr>
        <w:pStyle w:val="NormalHanging12a"/>
      </w:pPr>
      <w:r>
        <w:t>–</w:t>
      </w:r>
      <w:r>
        <w:tab/>
        <w:t>so zreteľom na svoju pozíciu prijatú v prvom čítaní 27. marca 2019 k návrhu nariadenia Európskeho p</w:t>
      </w:r>
      <w:r>
        <w:t>arlamentu a Rady, ktorým sa zriaďuje Nástroj susedstva a rozvojovej a medzinárodnej spolupráce</w:t>
      </w:r>
      <w:r>
        <w:rPr>
          <w:rStyle w:val="FootnoteReference"/>
        </w:rPr>
        <w:footnoteReference w:id="4"/>
      </w:r>
      <w:r>
        <w:t>,</w:t>
      </w:r>
    </w:p>
    <w:p w:rsidR="00FE075E" w:rsidRDefault="00E31638">
      <w:pPr>
        <w:pStyle w:val="NormalHanging12a"/>
      </w:pPr>
      <w:r>
        <w:t>–</w:t>
      </w:r>
      <w:r>
        <w:tab/>
        <w:t>so zreteľom na svoje uznesenie z 24. novembra 2022 o budúcej európskej finančnej štruktúre pre rozvoj</w:t>
      </w:r>
      <w:r>
        <w:rPr>
          <w:rStyle w:val="FootnoteReference"/>
        </w:rPr>
        <w:footnoteReference w:id="5"/>
      </w:r>
      <w:r>
        <w:t>,</w:t>
      </w:r>
    </w:p>
    <w:p w:rsidR="00FE075E" w:rsidRDefault="00E31638">
      <w:pPr>
        <w:pStyle w:val="NormalHanging12a"/>
        <w:rPr>
          <w:szCs w:val="24"/>
        </w:rPr>
      </w:pPr>
      <w:r>
        <w:rPr>
          <w:b/>
        </w:rPr>
        <w:t>–</w:t>
      </w:r>
      <w:r>
        <w:rPr>
          <w:b/>
        </w:rPr>
        <w:tab/>
      </w:r>
      <w:r>
        <w:t xml:space="preserve">so zreteľom na svoje uznesenie z 23. júna 2022 </w:t>
      </w:r>
      <w:r>
        <w:t>o implementácii a plnení cieľov udržateľného rozvoja</w:t>
      </w:r>
      <w:r>
        <w:rPr>
          <w:rStyle w:val="FootnoteReference"/>
          <w:szCs w:val="24"/>
        </w:rPr>
        <w:footnoteReference w:id="6"/>
      </w:r>
      <w:r>
        <w:t>,</w:t>
      </w:r>
    </w:p>
    <w:p w:rsidR="00FE075E" w:rsidRDefault="00E31638">
      <w:pPr>
        <w:pStyle w:val="NormalHanging12a"/>
        <w:rPr>
          <w:szCs w:val="24"/>
        </w:rPr>
      </w:pPr>
      <w:r>
        <w:t>–</w:t>
      </w:r>
      <w:r>
        <w:tab/>
        <w:t>so zreteľom na svoje uznesenie z 15. júna 2023 o implementácii a plnení cieľov udržateľného rozvoja</w:t>
      </w:r>
      <w:r>
        <w:rPr>
          <w:rStyle w:val="FootnoteReference"/>
          <w:szCs w:val="24"/>
        </w:rPr>
        <w:footnoteReference w:id="7"/>
      </w:r>
      <w:r>
        <w:t>,</w:t>
      </w:r>
    </w:p>
    <w:p w:rsidR="00FE075E" w:rsidRDefault="00E31638">
      <w:pPr>
        <w:pStyle w:val="NormalHanging12a"/>
      </w:pPr>
      <w:r>
        <w:t>–</w:t>
      </w:r>
      <w:r>
        <w:tab/>
        <w:t>so zreteľom na svoje odporúčanie z 15. marca 2023 Rade a podpredsedovi Komisie/vysokému predsta</w:t>
      </w:r>
      <w:r>
        <w:t>viteľovi Únie pre zahraničné veci a bezpečnostnú politiku o zhodnotení fungovania ESVČ a o posilnení postavenia EÚ vo svete</w:t>
      </w:r>
      <w:r>
        <w:rPr>
          <w:rStyle w:val="FootnoteReference"/>
        </w:rPr>
        <w:footnoteReference w:id="8"/>
      </w:r>
      <w:r>
        <w:t>,</w:t>
      </w:r>
    </w:p>
    <w:p w:rsidR="00FE075E" w:rsidRDefault="00E31638">
      <w:pPr>
        <w:pStyle w:val="NormalHanging12a"/>
      </w:pPr>
      <w:r>
        <w:t>–</w:t>
      </w:r>
      <w:r>
        <w:tab/>
        <w:t>so zreteľom na svoje uznesenie z 25. novembra 2020 o zlepšovaní účinnosti rozvoja a efektívnosti pomoci</w:t>
      </w:r>
      <w:r>
        <w:rPr>
          <w:rStyle w:val="FootnoteReference"/>
        </w:rPr>
        <w:footnoteReference w:id="9"/>
      </w:r>
      <w:r>
        <w:t>,</w:t>
      </w:r>
    </w:p>
    <w:p w:rsidR="00FE075E" w:rsidRDefault="00E31638">
      <w:pPr>
        <w:pStyle w:val="NormalHanging12a"/>
        <w:rPr>
          <w:szCs w:val="24"/>
        </w:rPr>
      </w:pPr>
      <w:r>
        <w:rPr>
          <w:b/>
        </w:rPr>
        <w:t>–</w:t>
      </w:r>
      <w:r>
        <w:rPr>
          <w:b/>
        </w:rPr>
        <w:tab/>
      </w:r>
      <w:r>
        <w:t>so zreteľom na článo</w:t>
      </w:r>
      <w:r>
        <w:t>k 54 rokovacieho poriadku, ako aj na článok 1 ods. 1 písm. e) rozhodnutia Konferencie predsedov z 12. decembra 2002 o postupe schvaľovania vypracovania iniciatívnych správ a na prílohu 3 k tomuto rozhodnutiu,</w:t>
      </w:r>
    </w:p>
    <w:p w:rsidR="00FE075E" w:rsidRDefault="00E31638">
      <w:pPr>
        <w:pStyle w:val="NormalHanging12a"/>
      </w:pPr>
      <w:r>
        <w:t>–</w:t>
      </w:r>
      <w:r>
        <w:tab/>
        <w:t xml:space="preserve">so zreteľom na spoločné rokovania Výboru pre </w:t>
      </w:r>
      <w:r>
        <w:t>zahraničné veci a Výboru pre rozvoj podľa článku 58 rokovacieho poriadku,</w:t>
      </w:r>
    </w:p>
    <w:p w:rsidR="00FE075E" w:rsidRDefault="00E31638">
      <w:pPr>
        <w:pStyle w:val="NormalHanging12a"/>
      </w:pPr>
      <w:r>
        <w:t>–</w:t>
      </w:r>
      <w:r>
        <w:tab/>
        <w:t>so zreteľom na stanovisko Výboru pre rozpočet,</w:t>
      </w:r>
    </w:p>
    <w:p w:rsidR="00FE075E" w:rsidRDefault="00E31638">
      <w:pPr>
        <w:pStyle w:val="NormalHanging12a"/>
      </w:pPr>
      <w:r>
        <w:lastRenderedPageBreak/>
        <w:t>–</w:t>
      </w:r>
      <w:r>
        <w:tab/>
        <w:t>so zreteľom na správu Výboru pre zahraničné veci a Výboru pre rozpočet (A9-0374/2023),</w:t>
      </w:r>
    </w:p>
    <w:p w:rsidR="00FE075E" w:rsidRDefault="00E31638">
      <w:pPr>
        <w:pStyle w:val="NormalHanging12a"/>
      </w:pPr>
      <w:r>
        <w:t>A.</w:t>
      </w:r>
      <w:r>
        <w:tab/>
        <w:t>keďže Európska únia a jej 27 členských št</w:t>
      </w:r>
      <w:r>
        <w:t xml:space="preserve">átov EÚ spolu sú aj naďalej najväčším poskytovateľom vonkajšej pomoci na svete, ktorý predstavuje približne 43 % celkovej oficiálnej rozvojovej pomoci (ďalej len „ODA“) poskytovanej rozvojovým krajinám všetkými darcami OECD; keďže nástroje na financovanie </w:t>
      </w:r>
      <w:r>
        <w:t>vonkajšej činnosti sú hlavné mechanizmy na podporu činnosti EÚ na svetovej scéne a keďže vonkajšia činnosť EÚ má pre európskych občanov čoraz väčší význam;</w:t>
      </w:r>
    </w:p>
    <w:p w:rsidR="00FE075E" w:rsidRDefault="00E31638">
      <w:pPr>
        <w:pStyle w:val="NormalHanging12a"/>
        <w:rPr>
          <w:szCs w:val="24"/>
        </w:rPr>
      </w:pPr>
      <w:r>
        <w:t>B.</w:t>
      </w:r>
      <w:r>
        <w:tab/>
        <w:t>keďže Nástroj susedstva, rozvojovej a medzinárodnej spolupráce – Globálna Európa (ďalej len „nást</w:t>
      </w:r>
      <w:r>
        <w:t>roj“) nadobudol účinnosť 14. júna 2021 a spojil predchádzajúce nástroje do jedného nástroja; keďže tento nástroj s celkovým rozpočtom 79,5 miliardy EUR predstavuje historickú zmenu vo vonkajšej a rozvojovej politike EÚ;</w:t>
      </w:r>
    </w:p>
    <w:p w:rsidR="00FE075E" w:rsidRDefault="00E31638">
      <w:pPr>
        <w:pStyle w:val="NormalHanging12a"/>
        <w:rPr>
          <w:szCs w:val="24"/>
        </w:rPr>
      </w:pPr>
      <w:r>
        <w:t>C.</w:t>
      </w:r>
      <w:r>
        <w:tab/>
        <w:t>keďže Komisia je zodpovedná za id</w:t>
      </w:r>
      <w:r>
        <w:t>entifikáciu, formulovanie, vykonávanie, monitorovanie a hodnotenie pomoci EÚ; keďže Európska služba pre vonkajšiu činnosť (ďalej len „ESVČ“) má za úlohu zabezpečiť kontinuitu a súdržnosť vonkajších politík EÚ s integrovaným prístupom, ktorý zahŕňa tento ná</w:t>
      </w:r>
      <w:r>
        <w:t xml:space="preserve">stroj; keďže Európsky parlament zodpovedá za demokratický dohľad a kontrolu a v rámci </w:t>
      </w:r>
      <w:proofErr w:type="spellStart"/>
      <w:r>
        <w:t>spolurozhodovacieho</w:t>
      </w:r>
      <w:proofErr w:type="spellEnd"/>
      <w:r>
        <w:t xml:space="preserve"> postupu je </w:t>
      </w:r>
      <w:proofErr w:type="spellStart"/>
      <w:r>
        <w:t>spoluzákonodarcom</w:t>
      </w:r>
      <w:proofErr w:type="spellEnd"/>
      <w:r>
        <w:t>; keďže vytvorenie prístupu Tímu Európa by malo prispieť k vytvoreniu jednotného strategického koordinačného rámca pre von</w:t>
      </w:r>
      <w:r>
        <w:t>kajšiu reakciu EÚ na hlavné výzvy; keďže tento prístup umožňuje ďalšiu spoluprácu medzi inštitúciami EÚ, členskými štátmi a Európska investičná banka (ďalej len „EIB“), čím sa neustále zvyšuje kolektívna účinnosť a viditeľnosť EÚ; keďže nástroj sa má vykon</w:t>
      </w:r>
      <w:r>
        <w:t>ávať prostredníctvom kombinácie spôsobov vrátane dvojstrannej spolupráce, grantov pre rôznych partnerov a investičného rámca;</w:t>
      </w:r>
    </w:p>
    <w:p w:rsidR="00FE075E" w:rsidRDefault="00E31638">
      <w:pPr>
        <w:pStyle w:val="NormalHanging12a"/>
        <w:rPr>
          <w:szCs w:val="24"/>
        </w:rPr>
      </w:pPr>
      <w:r>
        <w:t>D.</w:t>
      </w:r>
      <w:r>
        <w:tab/>
        <w:t>keďže rámec nástroja pre vonkajšie investície spája kombinované financovanie a záruky v rámci záruky pre vonkajšiu činnosť (EAG</w:t>
      </w:r>
      <w:r>
        <w:t>) Európskeho fondu pre udržateľný rozvoj plus (ďalej len „EFSD+“), ktorú majú realizovať oprávnení partneri na základe otvoreného prístupu a spolupráce, pričom osobitnú úlohu zohráva EIB; keďže EFSD+ výrazne rozširuje finančné krytie svojho predchodcu, EFS</w:t>
      </w:r>
      <w:r>
        <w:t>D, a prostredníctvom EAG bude môcť zaručiť operácie až do výšky 53,4 miliardy EUR; keďže zásada prvoradosti politiky musí viesť k spolupráci, ktorá sa riadi politickými cieľmi, a zabezpečiť, aby bola európska finančná štruktúra pre rozvoj v tomto ohľade zo</w:t>
      </w:r>
      <w:r>
        <w:t>súladená;</w:t>
      </w:r>
    </w:p>
    <w:p w:rsidR="00FE075E" w:rsidRDefault="00E31638">
      <w:pPr>
        <w:pStyle w:val="NormalHanging12a"/>
      </w:pPr>
      <w:r>
        <w:t>E.</w:t>
      </w:r>
      <w:r>
        <w:tab/>
        <w:t xml:space="preserve">keďže cieľom stratégie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je zvýšiť geopolitickú váhu EÚ na globálnej scéne prostredníctvom posilnenia inteligentných, čistých a bezpečných prepojení v oblasti digitálnych technológií, energetiky a dopravy a posilnenia systémov zdr</w:t>
      </w:r>
      <w:r>
        <w:t>avotníctva, vzdelávania a výskumu na celom svete v rámci Agendy OSN 2030 pre udržateľný rozvoj a jej cieľov udržateľného rozvoja;</w:t>
      </w:r>
    </w:p>
    <w:p w:rsidR="00FE075E" w:rsidRDefault="00E31638">
      <w:pPr>
        <w:pStyle w:val="NormalHanging12a"/>
      </w:pPr>
      <w:r>
        <w:t>F.</w:t>
      </w:r>
      <w:r>
        <w:tab/>
        <w:t>keďže nerovnosti sú jednou z hlavných príčin nestability, neistoty a násilia;</w:t>
      </w:r>
    </w:p>
    <w:p w:rsidR="00FE075E" w:rsidRDefault="00E31638">
      <w:pPr>
        <w:pStyle w:val="NormalHanging12a"/>
      </w:pPr>
      <w:r>
        <w:t>G.</w:t>
      </w:r>
      <w:r>
        <w:tab/>
        <w:t>keďže podpora ľudských práv je základom vo</w:t>
      </w:r>
      <w:r>
        <w:t>nkajšej činnosti EÚ;</w:t>
      </w:r>
    </w:p>
    <w:p w:rsidR="00FE075E" w:rsidRDefault="00E31638">
      <w:pPr>
        <w:pStyle w:val="NormalHanging12a"/>
      </w:pPr>
      <w:r>
        <w:t>H.</w:t>
      </w:r>
      <w:r>
        <w:tab/>
        <w:t>keďže ľudský rozvoj zostáva kľúčovou oblasťou vonkajšej a rozvojovej politiky EÚ; keďže investície do zdravotnej starostlivosti, vzdelávania, výživy a sociálnej ochrany sú mimoriadne dôležité na zabezpečenie všeobecného prístupu k t</w:t>
      </w:r>
      <w:r>
        <w:t>ýmto službám, ktoré predstavujú základné ľudské práva;</w:t>
      </w:r>
    </w:p>
    <w:p w:rsidR="00FE075E" w:rsidRDefault="00E31638">
      <w:pPr>
        <w:pStyle w:val="NormalHanging12a"/>
        <w:rPr>
          <w:szCs w:val="24"/>
        </w:rPr>
      </w:pPr>
      <w:r>
        <w:lastRenderedPageBreak/>
        <w:t>I.</w:t>
      </w:r>
      <w:r>
        <w:tab/>
        <w:t>keďže nástroje EÚ na financovanie vonkajšej činnosti často dosahujú hranice svojich možností v dôsledku obmedzeného množstva zdrojov; keďže od prijatia nariadenia, ktorým sa ustanovuje nástroj, došl</w:t>
      </w:r>
      <w:r>
        <w:t xml:space="preserve">o k udalostiam, ako je ruská agresívna vojna proti Ukrajine, ktorá zhoršila globálnu potravinovú krízu a vyvolala energetickú krízu a krízu životných nákladov a štátneho dlhu na celom svete a vytvorila hospodársku neistotu, ktorá môže ďalej destabilizovať </w:t>
      </w:r>
      <w:r>
        <w:t>členské štáty a tretie krajiny, a vplyv pandémie ochorenia COVID-19 zhoršil situáciu do takej miery, že je potrebné vykonať skoré hodnotenie nástroja v polovici trvania a revíziu viacročného finančného rámca (ďalej len „VFR“) v polovici trvania;</w:t>
      </w:r>
    </w:p>
    <w:p w:rsidR="00FE075E" w:rsidRDefault="00E31638">
      <w:pPr>
        <w:pStyle w:val="NormalHanging12a"/>
        <w:rPr>
          <w:szCs w:val="24"/>
        </w:rPr>
      </w:pPr>
      <w:r>
        <w:t>J.</w:t>
      </w:r>
      <w:r>
        <w:tab/>
        <w:t>keďže p</w:t>
      </w:r>
      <w:r>
        <w:t>andémia ochorenia COVID-19 prehĺbila už aj tak značnú medzeru vo financovaní cieľov udržateľného rozvoja a spôsobila celkový pokles zdrojov o 700 miliárd USD, pričom zároveň je potrebné ich výrazne zvýšiť, aby sa reagovalo na existujúcu medzeru v rozvojový</w:t>
      </w:r>
      <w:r>
        <w:t>ch krajinách ešte pred pandémiou; keďže 80 % rezervy sa už využilo a malo by sa zvážiť jej zvýšenie; keďže súčasné politické a finančné vedenie EÚ a úsilie EÚ nie sú dostatočné na dosiahnutie Európskeho konsenzu o rozvoji, cieľov udržateľného rozvoja a cie</w:t>
      </w:r>
      <w:r>
        <w:t>ľov Parížskej dohody a na riešenie ďalších naliehavých globálnych výziev, najmä zhoršujúcej sa zmeny klímy, dôsledkov pandémie ochorenia COVID-19 a násilných konfliktov, čo znamená, že treba vyvinúť spoločné úsilie na medzinárodnej úrovni s cieľom zabezpeč</w:t>
      </w:r>
      <w:r>
        <w:t>iť, aby bol nástroj schopný reagovať na tieto nové výzvy;</w:t>
      </w:r>
    </w:p>
    <w:p w:rsidR="00FE075E" w:rsidRDefault="00E31638">
      <w:pPr>
        <w:pStyle w:val="NormalHanging12a"/>
        <w:rPr>
          <w:szCs w:val="24"/>
        </w:rPr>
      </w:pPr>
      <w:r>
        <w:t>K.</w:t>
      </w:r>
      <w:r>
        <w:tab/>
        <w:t>keďže realizáciu projektov v rámci nástroja zatiaľ nemožno úplne vyhodnotiť, pretože je ešte len v počiatočnom štádiu; keďže v hodnotení v polovici obdobia, ktoré sa očakáva v roku 2024, by sa ma</w:t>
      </w:r>
      <w:r>
        <w:t>lo posúdiť, či nástroj prispieva k strategickým prioritám EÚ a či účinne presadzuje jej hodnoty v partnerských krajinách, podporuje ľudské práva, prispieva k znižovaniu chudoby a nerovností a podporuje udržateľný rozvoj tretích krajín a či sa finančné pros</w:t>
      </w:r>
      <w:r>
        <w:t>triedky v rámci nástroja prideľujú na základe potrieb a rozvojových stratégií tretích krajín;</w:t>
      </w:r>
    </w:p>
    <w:p w:rsidR="00FE075E" w:rsidRDefault="00E31638">
      <w:pPr>
        <w:pStyle w:val="NormalHanging12a"/>
        <w:rPr>
          <w:szCs w:val="24"/>
        </w:rPr>
      </w:pPr>
      <w:r>
        <w:t>L.</w:t>
      </w:r>
      <w:r>
        <w:tab/>
        <w:t xml:space="preserve">keďže Európsky dvor audítorov dospel v roku 2023 k záveru, že v metódach prideľovania finančných prostriedkov a monitorovania vplyvu existovali nedostatky, že </w:t>
      </w:r>
      <w:r>
        <w:t>široký rozsah pôsobnosti nástroja mohol obmedziť jeho vplyv a že bolo potrebné zlepšiť spôsob prideľovania a monitorovania rozvojovej pomoci;</w:t>
      </w:r>
    </w:p>
    <w:p w:rsidR="00FE075E" w:rsidRDefault="00E31638">
      <w:pPr>
        <w:pStyle w:val="NormalHanging12a"/>
        <w:rPr>
          <w:szCs w:val="24"/>
        </w:rPr>
      </w:pPr>
      <w:r>
        <w:t>M.</w:t>
      </w:r>
      <w:r>
        <w:tab/>
        <w:t>keďže tento nástroj by sa mal využívať na vytváranie užších a účinnejších partnerstiev s tretími krajinami, kto</w:t>
      </w:r>
      <w:r>
        <w:t>ré prinášajú hmatateľné výsledky na základe spoločných záujmov, strategických priorít, štruktúrovanej a účinnej spolupráce a jasných dlhodobých cieľov; keďže vzťahy medzi EÚ a Afrikou a susedské vzťahy majú mimoriadny strategický význam; keďže nástroj by s</w:t>
      </w:r>
      <w:r>
        <w:t>a mal využívať na zabezpečenie spravodlivej zelenej transformácie, podporu miestnej pridanej hodnoty a dodržiavanie zásady „nespôsobovať významnú škodu“; keďže účinnosť, efektívnosť a vplyv nástroja na rozvoj sú kľúčové ukazovatele, ktoré treba sledovať;</w:t>
      </w:r>
    </w:p>
    <w:p w:rsidR="00FE075E" w:rsidRDefault="00E31638">
      <w:pPr>
        <w:pStyle w:val="NormalHanging12a"/>
        <w:rPr>
          <w:szCs w:val="24"/>
        </w:rPr>
      </w:pPr>
      <w:r>
        <w:t>N</w:t>
      </w:r>
      <w:r>
        <w:t>.</w:t>
      </w:r>
      <w:r>
        <w:tab/>
        <w:t xml:space="preserve">keďže od prijatia nástroja sa geopolitická súťaž vyvíjala a zvyšovala; keďže to stavia nástroj do nového a naliehavejšieho svetla; keďže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je odpoveďou na túto výzvu, ktorej cieľom je poskytnúť partnerským krajinám životaschopnú a atraktívnu</w:t>
      </w:r>
      <w:r>
        <w:t xml:space="preserve"> alternatívu, ktorá prináša trvalé výhody pre miestne komunity; keďže je potrebné lepšie informovať o činnostiach EÚ v partnerských krajinách a zviditeľniť ich; keďže napriek zameraniu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na geopolitické ciele EÚ musí oficiálna rozvojová pomoc </w:t>
      </w:r>
      <w:r>
        <w:t xml:space="preserve">v rámci nástroja slúžiť dlhodobému udržateľnému rozvoju </w:t>
      </w:r>
      <w:r>
        <w:lastRenderedPageBreak/>
        <w:t>v partnerských krajinách;</w:t>
      </w:r>
    </w:p>
    <w:p w:rsidR="00FE075E" w:rsidRDefault="00E31638">
      <w:pPr>
        <w:pStyle w:val="NormalHanging12a"/>
        <w:rPr>
          <w:b/>
          <w:bCs/>
          <w:i/>
          <w:szCs w:val="24"/>
        </w:rPr>
      </w:pPr>
      <w:r>
        <w:rPr>
          <w:b/>
          <w:i/>
        </w:rPr>
        <w:t>Všeobecné úvahy</w:t>
      </w:r>
    </w:p>
    <w:p w:rsidR="00FE075E" w:rsidRDefault="00E31638">
      <w:pPr>
        <w:pStyle w:val="NormalHanging12a"/>
        <w:rPr>
          <w:szCs w:val="24"/>
        </w:rPr>
      </w:pPr>
      <w:r>
        <w:t>1.</w:t>
      </w:r>
      <w:r>
        <w:tab/>
        <w:t xml:space="preserve">víta návrh Komisie na revíziu VFR na roky 2021 – 2027 s dodatočnými finančnými prostriedkami na okruh 6, keďže súčasný finančný plán je pre nástroj, ktorý </w:t>
      </w:r>
      <w:r>
        <w:t>je nedostatočne financovaný, a mal by sa lepšie zosúladiť s geopolitickými ambíciami a globálnymi záväzkami EÚ; berie na vedomie dodatočné prostriedky navrhnuté Komisiou pre okruh 6, z ktorých 9,5 miliardy EUR by bolo vyčlenených na riešenie vonkajšieho ro</w:t>
      </w:r>
      <w:r>
        <w:t>zmeru migrácie vrátane vonkajších výziev, 3 miliardy EUR na rezervu nástroja nazvanú Rezerva na vznikajúce výzvy a priority a 2,5 miliardy EUR na rezervu na solidaritu a núdzovú pomoc;</w:t>
      </w:r>
    </w:p>
    <w:p w:rsidR="00FE075E" w:rsidRDefault="00E31638">
      <w:pPr>
        <w:pStyle w:val="NormalHanging12a"/>
        <w:rPr>
          <w:szCs w:val="24"/>
        </w:rPr>
      </w:pPr>
      <w:r>
        <w:t>2.</w:t>
      </w:r>
      <w:r>
        <w:tab/>
        <w:t>zdôrazňuje potrebu prehodnotiť vonkajšie a rozvojové politiky EÚ vzh</w:t>
      </w:r>
      <w:r>
        <w:t xml:space="preserve">ľadom na medzery vo financovaní, zvyšovanie nerovností medzi krajinami a v rámci nich a globálnu potravinovú neistotu; uznáva vplyv geopolitických zmien, najmä útočnej vojny Ruska proti Ukrajine, nové priority EÚ, zvýšený význam strategických partnerstiev </w:t>
      </w:r>
      <w:r>
        <w:t>s partnerskými krajinami v súlade so zásadou súdržnosti politík v záujme rozvoja a osobitnú úlohu investícií EÚ, ktoré musia odrážať hodnoty a záujmy EÚ aj našich partnerov; ďalej zdôrazňuje, že je potrebné, aby sa v rámci tohto preskúmania posúdilo, či sa</w:t>
      </w:r>
      <w:r>
        <w:t xml:space="preserve"> plnia ciele nástroja zamerané na znižovanie chudoby a nerovností a podporu ľudských práv a dlhodobého udržateľného rozvoja partnerských krajín;</w:t>
      </w:r>
    </w:p>
    <w:p w:rsidR="00FE075E" w:rsidRDefault="00E31638">
      <w:pPr>
        <w:pStyle w:val="NormalHanging12a"/>
        <w:rPr>
          <w:szCs w:val="24"/>
        </w:rPr>
      </w:pPr>
      <w:r>
        <w:t>3.</w:t>
      </w:r>
      <w:r>
        <w:tab/>
        <w:t>opätovne potvrdzuje, že vzhľadom na prebiehajúcu ruskú útočnú vojnu neochvejne podporuje Ukrajinu vo všetkýc</w:t>
      </w:r>
      <w:r>
        <w:t>h jej rozmeroch vrátane humanitárnej pomoci, obnovy, rekonštrukcie a modernizácie vzhľadom na prebiehajúcu ruskú útočnú vojnu; zdôrazňuje však, že táto podpora by nemala ísť na úkor iných partnerov ODA a tretích krajín, ktoré sú nepriaznivo ovplyvnené rusk</w:t>
      </w:r>
      <w:r>
        <w:t xml:space="preserve">ou útočnou vojnou, a ktorých financovanie zo strany EÚ by sa nemalo znižovať; vyzýva preto na dôkladné vyhodnotenie zdrojov nástroja, v rámci ktorého by sa malo posúdiť aj to, či sú dostatočné na dosiahnutie cieľov nástroja stanovených v nariadení, ktorým </w:t>
      </w:r>
      <w:r>
        <w:t>sa nástroj zriaďuje, aby sa zdroje nástroja zodpovedajúcim spôsobom zvýšili a aby sa zabezpečilo, že budú aj naďalej relevantné v kontexte pretrvávajúcich geopolitických výziev, umožnia, aby bola EÚ vnímaná ako dôveryhodný partner, a budú pôsobiť proti vpl</w:t>
      </w:r>
      <w:r>
        <w:t>yvu iných globálnych mocností;</w:t>
      </w:r>
    </w:p>
    <w:p w:rsidR="00FE075E" w:rsidRDefault="00E31638">
      <w:pPr>
        <w:pStyle w:val="NormalHanging12a"/>
        <w:rPr>
          <w:szCs w:val="24"/>
        </w:rPr>
      </w:pPr>
      <w:r>
        <w:t>4.</w:t>
      </w:r>
      <w:r>
        <w:tab/>
        <w:t>víta konsolidáciu väčšiny vonkajšej činnosti EÚ do jedného nástroja, ktorý postupne zefektívňuje a harmonizuje predchádzajúce početné nástroje; zastáva však názor, že hoci toto zjednodušenie zvýšilo flexibilitu a efektívno</w:t>
      </w:r>
      <w:r>
        <w:t>sť, nebolo sprevádzané dostatočnou úrovňou účinnej zodpovednosti a transparentnosti; v tejto súvislosti zdôrazňuje, že opatrenia možno považovať za účinné len vtedy, ak sa to dá dokázať jasnými a porovnateľnými mechanizmami monitorovania a hodnotenia; prip</w:t>
      </w:r>
      <w:r>
        <w:t>omína zistenia osobitnej správy Európskeho dvora audítorov č.</w:t>
      </w:r>
      <w:r>
        <w:t> </w:t>
      </w:r>
      <w:r>
        <w:t>14/2023, v ktorej sa poukázalo na to, že viac než 20 % ukazovateľov zaradených do vzorky však nemalo žiadnu východiskovú hodnotu alebo nejasnú východiskovú hodnotu a 24 % nemalo žiadne ciele ale</w:t>
      </w:r>
      <w:r>
        <w:t>bo malo nejasné ciele, zatiaľ čo zdroje údajov vo viacročných orientačných programoch boli roztrieštené alebo chýbali; vyzýva Komisiu, aby zaviedla povinné používanie ukazovateľov globálneho európskeho rámca výsledkov, ktoré by mali byť normou, pre opatren</w:t>
      </w:r>
      <w:r>
        <w:t xml:space="preserve">ia počas celého cyklu viacročných orientačných programov, konkrétne plánovania, vykonávania a podávania správ o výsledkoch, a aby výrazne zvýšila kapacity delegácií EÚ; zdôrazňuje, že nástroj by mal zabezpečiť účinné, </w:t>
      </w:r>
      <w:r>
        <w:lastRenderedPageBreak/>
        <w:t>efektívne, koherentné a </w:t>
      </w:r>
      <w:proofErr w:type="spellStart"/>
      <w:r>
        <w:t>inkluzívne</w:t>
      </w:r>
      <w:proofErr w:type="spellEnd"/>
      <w:r>
        <w:t xml:space="preserve"> vyk</w:t>
      </w:r>
      <w:r>
        <w:t>onávanie, ktoré sa bude opierať o zásadu prvoradosti politiky a bude v súlade so strategickými záujmami a hodnotami EÚ a prioritami partnerských krajín; opakuje svoju výzvu Komisii, aby aspoň dvakrát ročne uverejnila správu o pokroku v oblasti účinnosti po</w:t>
      </w:r>
      <w:r>
        <w:t>moci, ktorá by dôsledne obsahovala štandardizované, zrozumiteľné a porovnateľné ukazovatele týkajúce sa spoločného plánovania, spoločného vykonávania a spoločných rámcov výsledkov; vyzýva Komisiu, aby predložila túto správu o pokroku Európskeho parlamentu;</w:t>
      </w:r>
    </w:p>
    <w:p w:rsidR="00FE075E" w:rsidRDefault="00E31638">
      <w:pPr>
        <w:pStyle w:val="NormalHanging12a"/>
        <w:rPr>
          <w:szCs w:val="24"/>
        </w:rPr>
      </w:pPr>
      <w:r>
        <w:t>5.</w:t>
      </w:r>
      <w:r>
        <w:tab/>
        <w:t>vyjadruje hlboké znepokojenie nad stupňovaním geopolitických nepokojov, autoritárskymi trendmi a nedávnymi útokmi na základy demokracie a právneho štátu na celom svete; žiada, aby sa v polovici obdobia dôkladne zhodnotila schopnosť nástroja dosiahnuť c</w:t>
      </w:r>
      <w:r>
        <w:t xml:space="preserve">elkové ciele vonkajšej politiky EÚ, a najmä cieľ prispieť k podpore </w:t>
      </w:r>
      <w:proofErr w:type="spellStart"/>
      <w:r>
        <w:t>multilateralizmu</w:t>
      </w:r>
      <w:proofErr w:type="spellEnd"/>
      <w:r>
        <w:t xml:space="preserve"> a udržateľného rozvoja a k ochrane, podpore a presadzovaniu demokracie, právneho štátu, ľudských práv a základných slobôd; zdôrazňuje, že vonkajšia činnosť EÚ v oblasti de</w:t>
      </w:r>
      <w:r>
        <w:t>mokracie vykonávaná v rámci nástroja sa musí prispôsobiť novej geopolitickej realite, ktorá sa vyznačuje konkurenčnými modelmi správy vecí verejných, aby sa lepšie predchádzalo úpadku demokracie a lepšie sa naň reagovalo; vyzýva Komisiu, aby pokrok pri vyk</w:t>
      </w:r>
      <w:r>
        <w:t>onávaní nástroja v rámci programov, výdavkových cieľov a referenčných hodnôt posúdila kritickým okom a s primeranou úrovňou podrobnosti informácií a aby sa zdržala opakovania povrchných politických postojov; opätovne potvrdzuje, že podľa zmlúv a nového Eur</w:t>
      </w:r>
      <w:r>
        <w:t>ópskeho konsenzu o rozvoji by hlavným cieľom rozvojovej spolupráce malo byť odstránenie chudoby a podpora udržateľného hospodárskeho, sociálneho a environmentálneho rozvoja rozvojových krajín; zdôrazňuje, že prístup „prvoradosť politiky“ by sa mal riadiť z</w:t>
      </w:r>
      <w:r>
        <w:t>ásadami a cieľmi stanovenými v Strategickom kompase pre bezpečnosť a obranu EÚ, Európskom konsenze o rozvoji, programe OSN pre udržateľný rozvoj do roku 2030, Parížskej dohode a akčnom programe z Addis Abeby;</w:t>
      </w:r>
    </w:p>
    <w:p w:rsidR="00FE075E" w:rsidRDefault="00E31638">
      <w:pPr>
        <w:pStyle w:val="NormalHanging12a"/>
        <w:rPr>
          <w:szCs w:val="24"/>
        </w:rPr>
      </w:pPr>
      <w:r>
        <w:t>6.</w:t>
      </w:r>
      <w:r>
        <w:tab/>
        <w:t>vyzýva najmä na poctivé a dôkladné posúdenie</w:t>
      </w:r>
      <w:r>
        <w:t xml:space="preserve"> uplatňovania článku 42 ods. 4 nariadenia, ktorým sa zriaďuje nástroj, ako aj jeho odôvodnenia 40, kde sa uvádza, že pomoc môže byť pozastavená v prípade zhoršenia situácie v oblasti demokracie, ľudských práv a právneho štátu v tretích krajinách; vyzýva na</w:t>
      </w:r>
      <w:r>
        <w:t xml:space="preserve"> </w:t>
      </w:r>
      <w:r>
        <w:rPr>
          <w:i/>
        </w:rPr>
        <w:t xml:space="preserve">ex </w:t>
      </w:r>
      <w:proofErr w:type="spellStart"/>
      <w:r>
        <w:rPr>
          <w:i/>
        </w:rPr>
        <w:t>ante</w:t>
      </w:r>
      <w:proofErr w:type="spellEnd"/>
      <w:r>
        <w:t xml:space="preserve"> posúdenia s cieľom určiť možné dôsledky a riziká projektov so zreteľom na ľudské práva v súlade s článkom 25 ods. 5 nariadenia; vyzýva na monitorovanie dodržiavania ľudských práv počas realizácie projektov v tretích krajinách, najmä projektov, pri</w:t>
      </w:r>
      <w:r>
        <w:t xml:space="preserve"> ktorých existuje vysoké riziko porušovania; vyzýva na pozastavenie alebo úpravu projektov, ktoré prispievajú k porušovaniu ľudských práv v tretích krajinách; vyzýva Komisiu, aby sa aktívne podelila s Európskym parlamentom o všetky posúdenia týkajúce sa ľu</w:t>
      </w:r>
      <w:r>
        <w:t>dských práv; zdôrazňuje, že je potrebné, aby EÚ zaujala zásadnejší prístup pokiaľ ide o partnerské krajiny, ktoré idú opačným smerom, pokiaľ ide o hlavné hodnoty a zásady; ako dobrý príklad v tejto súvislosti podporuje pozastavenie rozpočtovej podpory;</w:t>
      </w:r>
    </w:p>
    <w:p w:rsidR="00FE075E" w:rsidRDefault="00E31638">
      <w:pPr>
        <w:pStyle w:val="NormalHanging12a"/>
        <w:rPr>
          <w:szCs w:val="24"/>
        </w:rPr>
      </w:pPr>
      <w:r>
        <w:t>7.</w:t>
      </w:r>
      <w:r>
        <w:tab/>
      </w:r>
      <w:r>
        <w:t xml:space="preserve">vyjadruje znepokojenie nad tým, že financovanie pomoci Ukrajine prostredníctvom mobilizácie rezervy pre nástroj, a nie prostredníctvom vhodného rozpočtového nástroja, vyčerpalo veľkú časť rezervy, pričom nástroj zostal s obmedzenou schopnosťou reagovať na </w:t>
      </w:r>
      <w:r>
        <w:t>nepredvídané výzvy; víta návrh Komisie, ktorým sa zriaďuje Nástroj pre Ukrajinu</w:t>
      </w:r>
      <w:r>
        <w:rPr>
          <w:rStyle w:val="FootnoteReference"/>
        </w:rPr>
        <w:footnoteReference w:id="10"/>
      </w:r>
      <w:r>
        <w:t xml:space="preserve"> a ktorý by mal zabezpečiť udržateľné dlhodobé financovanie pre Ukrajinu a </w:t>
      </w:r>
      <w:r>
        <w:lastRenderedPageBreak/>
        <w:t>zároveň zachovať schopnosť nástroja zvládať budúce výzvy;</w:t>
      </w:r>
    </w:p>
    <w:p w:rsidR="00FE075E" w:rsidRDefault="00E31638">
      <w:pPr>
        <w:pStyle w:val="NormalHanging12a"/>
        <w:rPr>
          <w:szCs w:val="24"/>
        </w:rPr>
      </w:pPr>
      <w:r>
        <w:t>8.</w:t>
      </w:r>
      <w:r>
        <w:tab/>
        <w:t>požaduje, aby hodnotenie v polovici obdo</w:t>
      </w:r>
      <w:r>
        <w:t xml:space="preserve">bia poskytlo právnu a politickú jasnosť, pokiaľ ide o zaradenie Ukrajiny, Moldavskej republiky a Gruzínska do zoznamu príjemcov v rámci kapitoly nástroja týkajúcej sa susedstva; konštatuje, že Ukrajina a Moldavská republika sa stali kandidátmi na vstup do </w:t>
      </w:r>
      <w:r>
        <w:t>EÚ, zatiaľ čo Gruzínsko sa považuje za potenciálneho kandidáta na členstvo v EÚ; v tejto súvislosti zdôrazňuje, že Ukrajina, Moldavská republika a Gruzínsko by preto mali byť uvedené ako príjemcovia s primeraným prevodom rozpočtových prostriedkov bilaterál</w:t>
      </w:r>
      <w:r>
        <w:t>neho finančného krytia do nariadenia o nástroji predvstupovej pomoci (IPA III)</w:t>
      </w:r>
      <w:r>
        <w:rPr>
          <w:vertAlign w:val="superscript"/>
        </w:rPr>
        <w:footnoteReference w:id="11"/>
      </w:r>
      <w:r>
        <w:t xml:space="preserve">, ktoré má osobitný právny základ a politický rámec oddelený od nástroja a európskej susedskej politiky, čím by sa znížil tlak na nástroj, víta návrh Komisie na nový a osobitný </w:t>
      </w:r>
      <w:r>
        <w:t>nástroj pre Ukrajinu, ktorý spája všetku budúcu podporu pre Ukrajinu do samostatného nástroja v rámci okruhu 6 VFR s cieľom uspokojiť bezprostredné potreby, ale zdôrazňuje význam využívania dlhodobého nástroja;</w:t>
      </w:r>
    </w:p>
    <w:p w:rsidR="00FE075E" w:rsidRDefault="00E31638">
      <w:pPr>
        <w:pStyle w:val="NormalHanging12a"/>
        <w:rPr>
          <w:szCs w:val="24"/>
        </w:rPr>
      </w:pPr>
      <w:r>
        <w:t>9.</w:t>
      </w:r>
      <w:r>
        <w:tab/>
        <w:t>žiada, aby sa v hodnotení v polovici obdob</w:t>
      </w:r>
      <w:r>
        <w:t>ia posúdilo najmä to, do akej miery financovanie prinieslo hmatateľné výsledky v Afrike v súlade s cieľmi nástroja, so stratégiou EÚ – Afrika a s výsledkami a prioritami stanovenými na 6. samite Africkej únie a EÚ v roku 2022, a aby preskúmala, či je potre</w:t>
      </w:r>
      <w:r>
        <w:t>bné preskúmanie priorít a cieľov; zdôrazňuje, že analýza hmatateľných výsledkov poskytnutej pomoci na základe jasných ukazovateľov je mimoriadne dôležitá pre primerané posúdenie účinnosti využívania finančných prostriedkov; vyzýva Komisiu, aby lepšie využi</w:t>
      </w:r>
      <w:r>
        <w:t>la možnosť kombinovať geografické balíky v prospech panafrických programov, ako sa uvádza v článku 4 ods. 2 návrhu nariadenia, ktorým sa zriaďuje nástroj, na podporu záväzkov EÚ a Africkej únie; zdôrazňuje, že je potrebné, aby EÚ naďalej aktívne podporoval</w:t>
      </w:r>
      <w:r>
        <w:t xml:space="preserve">a novú africkú kontinentálnu zónu voľného obchodu, a to aj prostredníctvom tohto nástroja, vychádzajúc z vlastných skúseností s rozvojom európskeho jednotného trhu, s cieľom podnietiť udržateľný hospodársky rozvoj, podporiť tvorbu pracovných miest, znížiť </w:t>
      </w:r>
      <w:r>
        <w:t>chudobu a zvýšiť spoločnú prosperitu v Afrike; zdôrazňuje, že je potrebné podporiť africké partnerské krajiny pri využívaní veľkého nevyužitého potenciálu kontinentu v oblasti obnoviteľných zdrojov energie a aby sa urýchlil pokrok v plnení cieľa udržateľné</w:t>
      </w:r>
      <w:r>
        <w:t>ho rozvoja č. 7 v Afrike, čo nielenže podporí hospodársky rast, tvorbu pracovných miest a sociálny rozvoj, ale aj výrazne zvýši celosvetový podiel obnoviteľných zdrojov energie;</w:t>
      </w:r>
    </w:p>
    <w:p w:rsidR="00FE075E" w:rsidRDefault="00E31638">
      <w:pPr>
        <w:pStyle w:val="NormalHanging12a"/>
        <w:rPr>
          <w:szCs w:val="24"/>
        </w:rPr>
      </w:pPr>
      <w:r>
        <w:t>10.</w:t>
      </w:r>
      <w:r>
        <w:tab/>
        <w:t>opätovne dôrazne potvrdzuje záväzok stanovený v nástroji týkajúci sa odstr</w:t>
      </w:r>
      <w:r>
        <w:t>ánenia chudoby, boja proti zmene klímy a potravinovej neistote, boja proti nerovnostiam a diskriminácii a podpory udržateľného ľudského rozvoja; pripomína záväzok Európskej únie a členských štátov zvýšiť oficiálnu rozvojovú pomoc na 0,7 % hrubého národného</w:t>
      </w:r>
      <w:r>
        <w:t xml:space="preserve"> dôchodku (HND) do roku 2030 vrátane príspevku aspoň 20 % oficiálnej rozvojovej pomoci financovanej v rámci nástroja na sociálne začlenenie a ľudský rozvoj, ako je zdravotníctvo, vzdelávanie, výživa a sociálna ochrana, a poskytnúť 0,2 % HND Únie na oficiál</w:t>
      </w:r>
      <w:r>
        <w:t>nu rozvojovú pomoc najmenej rozvinutým krajinám; zdôrazňuje, že EFSD+ by sa mal zamerať na podporu investícií ako prostriedku, ktorý prispeje k dosiahnutiu cieľov udržateľného rozvoja; zdôrazňuje význam holistického prístupu k ľudskej bezpečnosti ako novej</w:t>
      </w:r>
      <w:r>
        <w:t xml:space="preserve"> riadiacej paradigmy; v súvislosti s nadchádzajúcim </w:t>
      </w:r>
      <w:r>
        <w:lastRenderedPageBreak/>
        <w:t>procesom programovania žiada, aby sa akčný plán EÚ pre rodovú rovnosť III vykonával v plnom rozsahu s pevným záväzkom k rodovému hľadisku a uplatňovaniu hľadiska rodovej rovnosti a aby sa globálna stratég</w:t>
      </w:r>
      <w:r>
        <w:t>ia EÚ v oblasti zdravia a akčný plán pre mládež zaviedli v rámci vonkajšej činnosti EÚ; zdôrazňuje potrebu zvýšiť úsilie EÚ o podporu a ochranu ľudských práv v rámci jej vonkajšej činnosti a víta preskúmanie vykonávania akčného plánu EÚ pre ľudské práva a </w:t>
      </w:r>
      <w:r>
        <w:t>demokraciu v polovici trvania; zdôrazňuje, že je dôležité zaujať silný protikorupčný postoj vo všetkých rozvojových snahách EÚ, a podporuje závery Rady zo 4. mája 2023 o korupcii ako prekážke rozvoja;</w:t>
      </w:r>
    </w:p>
    <w:p w:rsidR="00FE075E" w:rsidRDefault="00E31638">
      <w:pPr>
        <w:pStyle w:val="NormalHanging12a"/>
        <w:rPr>
          <w:szCs w:val="24"/>
        </w:rPr>
      </w:pPr>
      <w:r>
        <w:t>11.</w:t>
      </w:r>
      <w:r>
        <w:tab/>
        <w:t>zdôrazňuje, že investície do ľudského rozvoja sú kľ</w:t>
      </w:r>
      <w:r>
        <w:t>účové pre boj proti nerovnostiam a že vzdelávanie vrátane odborného vzdelávania by malo zostať jasnou prioritou v nadchádzajúcom procese programovania, keďže umožňuje rozvojovým partnerským krajinám uvoľniť potenciál ľudského kapitálu ich mladých ľudí a po</w:t>
      </w:r>
      <w:r>
        <w:t>dporiť ľudský rozvoj, hospodársky rast a zamestnanosť v ich krajinách; vyzýva Komisiu, aby zaviedla ukazovateľ politiky v oblasti detí, ktorý by vychádzal z existujúcej metodiky vyvinutej v oblasti rodovej rovnosti, klímy, migrácie a digitalizácie, a umožn</w:t>
      </w:r>
      <w:r>
        <w:t>il tak inštitúciám a partnerom EÚ merať a monitorovať investície do detí; zdôrazňuje, že sledovanie a monitorovanie investícií EÚ do detí má zásadný význam pre preukázanie pridanej hodnoty a účinnosti EÚ; zdôrazňuje, že COVID-19 bol pre krajiny s nízkymi a</w:t>
      </w:r>
      <w:r>
        <w:t> strednými príjmami výstražným signálom, pričom zdôraznil potrebu urýchliť pokrok pri budovaní univerzálnych, verejne financovaných zdravotníckych systémov; žiada, aby sa pri plánovaní nástroja uprednostňovali granty a podpora verejného sektora v oblasti z</w:t>
      </w:r>
      <w:r>
        <w:t>dravia s cieľom zabezpečiť, aby sa rozvojová pomoc dostala v prvom rade k ľuďom; zdôrazňuje, že je dôležité naďalej vyčleňovať dostatočné rozpočtové prostriedky na zlepšenie sociálnych výsledkov a riešenie systémových problémov;</w:t>
      </w:r>
    </w:p>
    <w:p w:rsidR="00FE075E" w:rsidRDefault="00E31638">
      <w:pPr>
        <w:pStyle w:val="NormalHanging12a"/>
        <w:rPr>
          <w:szCs w:val="24"/>
        </w:rPr>
      </w:pPr>
      <w:r>
        <w:t>12.</w:t>
      </w:r>
      <w:r>
        <w:tab/>
        <w:t xml:space="preserve">vyjadruje znepokojenie </w:t>
      </w:r>
      <w:r>
        <w:t>nad stavom práv LGBTIQ+ osôb na celom svete, ako aj nad všeobecným odporom voči právam žien, rodovej rovnosti a sexuálnemu a reprodukčnému zdraviu a právam v rozvojových krajinách; vyzýva Komisiu a ESVČ, aby riešili neúspech pri uznávaní a ochrane týchto p</w:t>
      </w:r>
      <w:r>
        <w:t>ráv; v tejto súvislosti zdôrazňuje, že je potrebné uprednostniť cielenú podporu organizácií občianskej spoločnosti a komunít, ktoré sa zasadzujú za dodržiavanie sexuálneho a reprodukčného zdravia a práv, práv žien, rodovej rovnosti, komunity LGBTIQ+ a inýc</w:t>
      </w:r>
      <w:r>
        <w:t xml:space="preserve">h marginalizovaných skupín obyvateľstva vrátane posilnených opatrení na </w:t>
      </w:r>
      <w:proofErr w:type="spellStart"/>
      <w:r>
        <w:t>dekriminalizáciu</w:t>
      </w:r>
      <w:proofErr w:type="spellEnd"/>
      <w:r>
        <w:t xml:space="preserve"> homosexuality; pripomína, že najmenej 85 % nových opatrení realizovaných v rámci nástroja by malo mať rodovú rovnosť ako hlavný alebo významný cieľ a aspoň 5 % z nich </w:t>
      </w:r>
      <w:r>
        <w:t>by malo mať ako hlavný cieľ rodovú rovnosť a práva a posilnenie postavenia žien a dievčat;</w:t>
      </w:r>
    </w:p>
    <w:p w:rsidR="00FE075E" w:rsidRDefault="00E31638">
      <w:pPr>
        <w:pStyle w:val="NormalHanging12a"/>
        <w:rPr>
          <w:szCs w:val="24"/>
        </w:rPr>
      </w:pPr>
      <w:r>
        <w:t>13.</w:t>
      </w:r>
      <w:r>
        <w:tab/>
      </w:r>
      <w:r>
        <w:t>zdôrazňuje, že je dôležité splniť všetky výdavky nástroja a programové ciele, a žiada podrobné informácie o pokroku dosiahnutom v tejto oblasti; vyjadruje poľutovanie nad výrazným deficitom pri dosahovaní klimatického cieľa nástroja vo výške 30 %, prispiev</w:t>
      </w:r>
      <w:r>
        <w:t xml:space="preserve">aní k cieľu 10 % v oblasti biodiverzity v rámci VFR na roky 2026 a 2027 a pri zabezpečovaní splnenia globálnych finančných záväzkov EÚ v rámci OSN, najmä pokiaľ ide o príspevok do fondu pre straty a škody; pripomína, že zmena klímy bude čoraz viac vyvíjať </w:t>
      </w:r>
      <w:r>
        <w:t>tlak na produkciu potravín a prístup k nim, najmä v zraniteľných regiónoch, čo ohrozí potravinovú bezpečnosť a výživu; ďalej pripomína, že biodiverzita je kľúčovým faktorom v boji proti zmene klímy a že strata biodiverzity a ekosystémových služieb oslabí p</w:t>
      </w:r>
      <w:r>
        <w:t>okrok pri plnení približne 80 % posudzovaných čiastkových cieľov udržateľného rozvoja; požaduje podrobný plán, v ktorom by sa uviedlo, ako chce Komisia splniť ciele v oblasti výdavkov a rodové ciele do konca VFR;</w:t>
      </w:r>
    </w:p>
    <w:p w:rsidR="00FE075E" w:rsidRDefault="00E31638">
      <w:pPr>
        <w:pStyle w:val="NormalHanging12a"/>
        <w:rPr>
          <w:szCs w:val="24"/>
        </w:rPr>
      </w:pPr>
      <w:r>
        <w:lastRenderedPageBreak/>
        <w:t>14.</w:t>
      </w:r>
      <w:r>
        <w:tab/>
        <w:t>opätovne potvrdzuje záväzok načrtnutý v</w:t>
      </w:r>
      <w:r>
        <w:t> nástroji riešiť základné príčiny neregulárnej migrácie a núteného vysídľovania; zastáva názor, že bez toho, aby boli dotknuté nepredvídané okolnosti, by sa mal dodržiavať záväzok v rámci nástroja vyčleniť orientačne 10 % finančného krytia nástroja na opat</w:t>
      </w:r>
      <w:r>
        <w:t xml:space="preserve">renia na podporu riadenia a správy migrácie a núteného vysídľovania v rámci cieľov nástroja a že táto doložka by sa nemala znovu otvoriť; konštatuje však, že 14 % prostriedkov vyčlenených v roku 2021 prispelo k cieľu výdavkov na migráciu; očakáva, že bude </w:t>
      </w:r>
      <w:r>
        <w:t>pravidelne dostávať podstatné informácie o aktuálnom stave;</w:t>
      </w:r>
    </w:p>
    <w:p w:rsidR="00FE075E" w:rsidRDefault="00E31638">
      <w:pPr>
        <w:pStyle w:val="NormalHanging12a"/>
        <w:rPr>
          <w:szCs w:val="24"/>
        </w:rPr>
      </w:pPr>
      <w:r>
        <w:t>15.</w:t>
      </w:r>
      <w:r>
        <w:tab/>
        <w:t xml:space="preserve">vyjadruje poľutovanie nad tým, že súčasné využívanie piliera rýchlej reakcie neprispieva viditeľne a účinne k presadzovaniu záujmov EÚ vo svete; preto žiada, aby sa opätovne zvážilo obnovenie </w:t>
      </w:r>
      <w:r>
        <w:t>programovej podpory cieľov zahraničnej a bezpečnostnej politiky EÚ počas hodnotenia v polovici obdobia v roku 2024;</w:t>
      </w:r>
    </w:p>
    <w:p w:rsidR="00FE075E" w:rsidRDefault="00E31638">
      <w:pPr>
        <w:pStyle w:val="NormalHanging12a"/>
        <w:rPr>
          <w:b/>
          <w:bCs/>
          <w:i/>
          <w:szCs w:val="24"/>
        </w:rPr>
      </w:pPr>
      <w:r>
        <w:rPr>
          <w:b/>
          <w:i/>
        </w:rPr>
        <w:t>Zabezpečenie potrebných zdrojov a mobilizácia investícií</w:t>
      </w:r>
    </w:p>
    <w:p w:rsidR="00FE075E" w:rsidRDefault="00E31638">
      <w:pPr>
        <w:pStyle w:val="NormalHanging12a"/>
        <w:rPr>
          <w:szCs w:val="24"/>
        </w:rPr>
      </w:pPr>
      <w:r>
        <w:t>16.</w:t>
      </w:r>
      <w:r>
        <w:tab/>
        <w:t xml:space="preserve">zdôrazňuje, že revízia VFR v polovici trvania v roku 2024 by v žiadnom prípade </w:t>
      </w:r>
      <w:r>
        <w:t>nemala viesť k zníženiu prostriedkov nástroja alebo k ich prerozdeleniu medzi dlhodobými tematickými a geografickými programami venovanými na udržateľnému rozvoju; vyjadruje znepokojenie nad tým, že nástroj je od začiatku VFR na roky 2021 – 2027 nedostatoč</w:t>
      </w:r>
      <w:r>
        <w:t>ne financovaný a že jeho geografické zameranie sa uskutočnilo na úkor dôležitých tematických položiek financovania, ako je prioritná oblasť „pre ľudí“ v rozpočtovej položke Globálne výzvy, ktorá bola v dôsledku pandémie COVID-19 pod ešte väčším tlakom, pri</w:t>
      </w:r>
      <w:r>
        <w:t xml:space="preserve">čom ponecháva len malý alebo žiadny manévrovací priestor na úplné splnenie záväzkov EÚ týkajúcich sa podpory multilaterálnych iniciatív v oblasti zdravia v nasledujúcich rokoch; zdôrazňuje, že nedostatok finančných prostriedkov vytvára nebezpečnú priepasť </w:t>
      </w:r>
      <w:r>
        <w:t xml:space="preserve">medzi ambíciami EÚ a jej schopnosťou splniť svoje sľuby; pripomína, že nedostatočné financovanie bude takisto viesť k škodlivej hospodárskej súťaži medzi krátkodobými potrebami a dlhodobými investíciami a medzi hlavnými rozvojovými sektormi, čo v konečnom </w:t>
      </w:r>
      <w:r>
        <w:t>dôsledku obmedzí účinnosť pomoci EÚ a jej príspevok k dosiahnutiu cieľov Agendy 2030; zdôrazňuje kľúčovú úlohu nástroja, EFSD+ a EAG pri poskytovaní strategického rámca pre kombinované financovanie, znižovanie rizika investícií a záruky a pri mobilizácii z</w:t>
      </w:r>
      <w:r>
        <w:t>drojov zo súkromného sektora s podporou rozpočtu EÚ, osobitne vzhľadom na rastúcu geopolitickú a hospodársku súťaž; zdôrazňuje, že projekty kombinovaného financovania a účinné partnerstvá so súkromným sektorom v rozvojových krajinách sa musia zameriavať na</w:t>
      </w:r>
      <w:r>
        <w:t xml:space="preserve"> maximalizáciu výsledkov rozvoja a musia byť v súlade s cieľmi udržateľného rozvoja, Parížskou dohodou a národnými rozvojovými prioritami; pripomína, že podpora súkromného sektora je skôr doplnkom k verejným investíciám, a nie ich náhradou, najmä do kritic</w:t>
      </w:r>
      <w:r>
        <w:t xml:space="preserve">kých služieb, ako sú zdravotníctvo, vzdelávanie a sociálna ochrana, ktoré poskytujú rozhodujúce dlhodobé vyhliadky na prekonanie chudoby; žiada, aby sa v rámci EFSD+ nefinancovali investície, ktoré majú negatívny vplyv na ciele udržateľného rozvoja, najmä </w:t>
      </w:r>
      <w:r>
        <w:t>boj proti zmene klímy; žiada, aby bol dlhodobý rozpočet upravený tak, aby chránil pozitívny vplyv, vplyv a dôveryhodnosť EÚ na svetovej scéne;</w:t>
      </w:r>
    </w:p>
    <w:p w:rsidR="00FE075E" w:rsidRDefault="00E31638">
      <w:pPr>
        <w:pStyle w:val="NormalHanging12a"/>
        <w:rPr>
          <w:szCs w:val="24"/>
        </w:rPr>
      </w:pPr>
      <w:r>
        <w:t>17.</w:t>
      </w:r>
      <w:r>
        <w:tab/>
        <w:t>uznáva osobitnú úlohu investícií EÚ, ktoré musia odrážať strategické záujmy a rozvojové ciele EÚ aj našich pa</w:t>
      </w:r>
      <w:r>
        <w:t>rtnerských krajín, ako aj hodnoty EÚ, a zdôrazňuje dôležitú úlohu, ktorú pri ich realizácii zohrávajú rozpočtové záruky podľa zásady prvoradosti politiky; zdôrazňuje, že je dôležité zabezpečiť, aby záruky vyvážili riziko spojené s krajinami s najvyšším riz</w:t>
      </w:r>
      <w:r>
        <w:t xml:space="preserve">ikom pre investície, aby sa príslušné investície </w:t>
      </w:r>
      <w:r>
        <w:lastRenderedPageBreak/>
        <w:t>nasmerovali aj do nich; zdôrazňuje, že EÚ by mala ísť v tomto smere príkladom vzhľadom na prebiehajúcu diskusiu o reforme multilaterálnych rozvojových bánk;</w:t>
      </w:r>
    </w:p>
    <w:p w:rsidR="00FE075E" w:rsidRDefault="00E31638">
      <w:pPr>
        <w:pStyle w:val="NormalHanging12a"/>
        <w:rPr>
          <w:szCs w:val="24"/>
        </w:rPr>
      </w:pPr>
      <w:r>
        <w:t>18.</w:t>
      </w:r>
      <w:r>
        <w:tab/>
        <w:t>berie na vedomie osobitnú úlohu, ktorú EIB zoh</w:t>
      </w:r>
      <w:r>
        <w:t>ráva v európskej finančnej štruktúre pre rozvoj, ako sa uvádza v článku 209 ZFEÚ a v článku 36 nariadenia, ktorým sa zriaďuje nástroj, a uznáva potenciál EIB mobilizovať dodatočné finančné prostriedky, ktoré prispievajú k cieľom nástroja; víta vytvorenie E</w:t>
      </w:r>
      <w:r>
        <w:t xml:space="preserve">IB </w:t>
      </w:r>
      <w:proofErr w:type="spellStart"/>
      <w:r>
        <w:t>Global</w:t>
      </w:r>
      <w:proofErr w:type="spellEnd"/>
      <w:r>
        <w:t xml:space="preserve">, ktorá začala fungovať od 1. januára 2022 a ktorej cieľom je zvýšiť prítomnosť a odbornosť banky v rozvojových krajinách; konštatuje, že od zriadenia novej rozvojovej zložky EIB </w:t>
      </w:r>
      <w:proofErr w:type="spellStart"/>
      <w:r>
        <w:t>Global</w:t>
      </w:r>
      <w:proofErr w:type="spellEnd"/>
      <w:r>
        <w:t xml:space="preserve"> v rekordnej miere využívala špecializované investičné okno, k</w:t>
      </w:r>
      <w:r>
        <w:t>toré jej bolo zverené v rámci nástroja, a v roku 2022 poskytla viac ako 10 miliárd EUR, najmä na podporu Ukrajiny a 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>; pripomína význam rozpočtu EÚ ako jediného garanta činnosti EIB poskytovať úvery mimo EÚ na podporu politík EÚ; požaduje zvýš</w:t>
      </w:r>
      <w:r>
        <w:t>enie záruk poskytnutých EIB z rozpočtu EÚ s cieľom umožniť EIB pokračovať v poskytovaní dôležitých operácií verejného a súkromného sektora na Ukrajine a rozšíriť svoje činnosti na globálnom Juhu; vyzýva EIB, aby využila svoje postavenie na mobilizáciu inve</w:t>
      </w:r>
      <w:r>
        <w:t xml:space="preserve">stícií do udržateľného rozvoja v súlade s cieľom a kritériami stanovenými v EFSD+; vyzdvihuje dôležitú úlohu EIB pri spolupráci s Komisiou s cieľom poskytnúť 100 miliárd EUR z 300 miliárd EUR viazaných v rámci stratégie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>; vyzýva EIB, aby upre</w:t>
      </w:r>
      <w:r>
        <w:t>dnostnila program udržateľného rozvoja; vyzýva EIB, aby prevzala väčšie riziko pri financovaní projektov s vysokou sociálnou návratnosťou; vyzýva EIB, aby pokračovala v posilňovaní svojej prítomnosti v tejto oblasti, a to na základe súčasného prístupu spol</w:t>
      </w:r>
      <w:r>
        <w:t>očného umiestnenia v rámci delegácií EÚ, pričom by mala ďalej využívať možné synergie s Európskou bankou pre obnovu a rozvoj (EBOR) a inými Európskymi rozvojovými finančnými inštitúciami (PZI); nabáda EIB, aby sa naďalej aktívne zapájala do rozvoja plánova</w:t>
      </w:r>
      <w:r>
        <w:t>nia, monitorovania a hodnotenia na úrovni jednotlivých krajín, a to ruka v ruke s delegáciami EÚ a prostredníctvom spolufinancovania s PZI; vyzýva na silnejšiu koordináciu medzi Komisiou a ESVČ a delegáciami EÚ s cieľom uľahčiť diskusie a spoluprácu s prís</w:t>
      </w:r>
      <w:r>
        <w:t>lušnými aktérmi v teréne v záujme určenia projektov, ktoré najlepšie spĺňajú ciele účinnosti rozvoja;</w:t>
      </w:r>
    </w:p>
    <w:p w:rsidR="00FE075E" w:rsidRDefault="00E31638">
      <w:pPr>
        <w:pStyle w:val="NormalHanging12a"/>
        <w:rPr>
          <w:szCs w:val="24"/>
        </w:rPr>
      </w:pPr>
      <w:r>
        <w:t>19.</w:t>
      </w:r>
      <w:r>
        <w:tab/>
        <w:t xml:space="preserve">víta „otvorenú štruktúru“ EFSD+, ktorá bola vytvorená na podporu investícií súkromného sektora, a vyzýva Komisiu, EIB, EBOR, členské štáty a PZI, aby </w:t>
      </w:r>
      <w:r>
        <w:t>v plnej miere využívali možnosti, ktoré poskytuje EAG a príslušné investičné okná na podporu udržateľných investícií súkromného sektora; zdôrazňuje, že je potrebné využiť financovanie súkromného sektora s osobitným dôrazom na malé a stredné podniky, a vyzý</w:t>
      </w:r>
      <w:r>
        <w:t>va na zvýšenie úsilia pri riešení prekážok a bariér pre investície; okrem toho uznáva dôležitú úlohu súkromného sektora pri vytváraní nových investícií, zamestnanosti a financovania rozvoja tam, kde je to možné; pripomína právomoc kontroly Európskeho parla</w:t>
      </w:r>
      <w:r>
        <w:t>mentu a potrebu transparentnosti pri využívaní EFSD+;</w:t>
      </w:r>
    </w:p>
    <w:p w:rsidR="00FE075E" w:rsidRDefault="00E31638">
      <w:pPr>
        <w:pStyle w:val="NormalHanging12a"/>
        <w:rPr>
          <w:b/>
          <w:bCs/>
          <w:i/>
          <w:szCs w:val="24"/>
        </w:rPr>
      </w:pPr>
      <w:r>
        <w:rPr>
          <w:b/>
          <w:i/>
        </w:rPr>
        <w:t>Strategický prístup</w:t>
      </w:r>
    </w:p>
    <w:p w:rsidR="00FE075E" w:rsidRDefault="00E31638">
      <w:pPr>
        <w:pStyle w:val="NormalHanging12a"/>
        <w:rPr>
          <w:szCs w:val="24"/>
        </w:rPr>
      </w:pPr>
      <w:r>
        <w:t>20.</w:t>
      </w:r>
      <w:r>
        <w:tab/>
        <w:t>víta prístup Tímu Európa a jeho cieľ zvýšiť súdržnosť, vplyv a viditeľnosť rozvojových projektov EÚ a vyzýva na viac spoločných akcií s členskými štátmi, najmä iniciatív Tímu Eur</w:t>
      </w:r>
      <w:r>
        <w:t>ópa; opätovne poukazuje na pripomienku Dvora audítorov, že príspevky jednotlivých členských štátov na iniciatívy Tímu Európa nie sú uvedené vo viacročných orientačných programoch, čo spôsobuje neistotu, pokiaľ ide o finančnú podporu členských štátov, čo pr</w:t>
      </w:r>
      <w:r>
        <w:t xml:space="preserve">ispieva k tomu, že budúcnosť týchto iniciatív ako kolektívnej iniciatívy je nejasná; vyzýva Komisiu a členské štáty, aby preskúmali účinnosť tohto prístupu a informovali Európsky parlament o svojich zisteniach; vyzýva Komisiu, aby </w:t>
      </w:r>
      <w:r>
        <w:lastRenderedPageBreak/>
        <w:t>objasnila úlohy v rámci p</w:t>
      </w:r>
      <w:r>
        <w:t>rístupu Tímu Európa a navrhla mechanizmus, ktorým sa zvýši transparentnosť a demokratická kontrola týchto iniciatív; ďalej vyzýva na spoločný postup EÚ a členských štátov s cieľom zvýšiť účinnosť a maximalizovať zdroje; nabáda členské štáty a PZI, EIB a EB</w:t>
      </w:r>
      <w:r>
        <w:t>OR, aby zohrávali aktívnejšiu úlohu v Tíme Európa prostredníctvom finančných záväzkov a spoločných opatrení riadených Komisiou;</w:t>
      </w:r>
    </w:p>
    <w:p w:rsidR="00FE075E" w:rsidRDefault="00E31638">
      <w:pPr>
        <w:pStyle w:val="NormalHanging12a"/>
        <w:rPr>
          <w:szCs w:val="24"/>
        </w:rPr>
      </w:pPr>
      <w:r>
        <w:t>21.</w:t>
      </w:r>
      <w:r>
        <w:tab/>
        <w:t xml:space="preserve">víta stratégiu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ako spoločnú reakciu EÚ na globálne výzvy; zastáva názor, že v čase nových </w:t>
      </w:r>
      <w:proofErr w:type="spellStart"/>
      <w:r>
        <w:t>geostrategických</w:t>
      </w:r>
      <w:proofErr w:type="spellEnd"/>
      <w:r>
        <w:t xml:space="preserve"> vý</w:t>
      </w:r>
      <w:r>
        <w:t>ziev sa aktéri EÚ v oblasti zahraničnej a bezpečnostnej politiky a rozvojovej spolupráce musia lepšie koordinovať s cieľom zvýšiť prítomnosť a viditeľnosť EÚ na celom svete prostredníctvom investícií do infraštruktúry, ktoré vytvárajú národnú hodnotu v par</w:t>
      </w:r>
      <w:r>
        <w:t xml:space="preserve">tnerských krajinách v súlade s cieľmi udržateľného rozvoja; pripomína, že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treba chápať ako strategickú koncepciu, v ktorej je integrovaná zahraničná, hospodárska a rozvojová politika; zdôrazňuje, že v rozvojových krajinách sú potrebné rozsia</w:t>
      </w:r>
      <w:r>
        <w:t>hle investície do tvrdej aj mäkkej infraštruktúry, od digitálnych, dopravných a energetických sietí až po zdravotníctvo, vzdelávanie a potravinové systémy; vyjadruje však poľutovanie nad nedostatočnou transparentnosťou a chýbajúcim regulačným rámcom pre ri</w:t>
      </w:r>
      <w:r>
        <w:t>adenie a vykonávanie stratégie v rámci cieľov a priorít nástroja; zdôrazňuje potrebu primeraného zapojenia a kontroly zo strany parlamentu, ako aj konzultácií s podnikateľským sektorom a organizáciami občianskej spoločnosti prostredníctvom jasného rámca ri</w:t>
      </w:r>
      <w:r>
        <w:t xml:space="preserve">adenia, ktorý by rýchlo zvýšil investície a zviditeľnenie EÚ v partnerských krajinách v zložitom geopolitickom kontexte; vyzýva Komisiu, aby aktualizovala spoločné oznámenie o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cieľom objasniť rámec riadenia vrátane kontrolnej úlohy Európskeh</w:t>
      </w:r>
      <w:r>
        <w:t xml:space="preserve">o parlamentu a jasne definovala, čo je to projekt v rámci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a čo odlišuje takéto projekty od iných investičných projektov; žiada, aby sa objasnilo, ako sa uplatňuje finančné nariadenie EÚ a pravidlá verejného obstarávania; žiada, aby sa straté</w:t>
      </w:r>
      <w:r>
        <w:t>gia vykonávala rýchlejšie vzhľadom na existujúce a vznikajúce globálne výzvy;</w:t>
      </w:r>
    </w:p>
    <w:p w:rsidR="00FE075E" w:rsidRDefault="00E31638">
      <w:pPr>
        <w:pStyle w:val="NormalHanging12a"/>
        <w:rPr>
          <w:szCs w:val="24"/>
        </w:rPr>
      </w:pPr>
      <w:r>
        <w:t>22.</w:t>
      </w:r>
      <w:r>
        <w:tab/>
        <w:t xml:space="preserve">vyjadruje poľutovanie nad tým, že financovanie stratégie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nie je dostatočne jasné, a pripomína, že takéto nové iniciatívy by sa mali financovať prostredníctvom </w:t>
      </w:r>
      <w:r>
        <w:t xml:space="preserve">nových rozpočtových prostriedkov a súvisiaceho zvýšenia stropu okruhu 6; vyzýva Komisiu, aby systematickejšie zapájala organizácie občianskej spoločnosti do projektov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a iniciatív Tímu Európa a aby zvážila aktívne zapojenie miestnych organizá</w:t>
      </w:r>
      <w:r>
        <w:t>cií občianskej spoločnosti do programovania pre každú krajinu;</w:t>
      </w:r>
    </w:p>
    <w:p w:rsidR="00FE075E" w:rsidRDefault="00E31638">
      <w:pPr>
        <w:pStyle w:val="NormalHanging12a"/>
      </w:pPr>
      <w:r>
        <w:t>23.</w:t>
      </w:r>
      <w:r>
        <w:tab/>
        <w:t>zdôrazňuje význam efektívnejšieho využívania synergií a lepšej harmonizácie finančných iniciatív, ktoré uskutočňuje EIB, EBOR a ďalšie rozvojové finančné inštitúcie a ktoré sú zamerané na k</w:t>
      </w:r>
      <w:r>
        <w:t xml:space="preserve">rajiny európskeho susedstva, pričom osobitný význam sa pripisuje kandidátskym krajinám EÚ; </w:t>
      </w:r>
    </w:p>
    <w:p w:rsidR="00FE075E" w:rsidRDefault="00E31638">
      <w:pPr>
        <w:pStyle w:val="NormalHanging12a"/>
        <w:rPr>
          <w:b/>
          <w:bCs/>
          <w:i/>
          <w:szCs w:val="24"/>
        </w:rPr>
      </w:pPr>
      <w:r>
        <w:rPr>
          <w:b/>
          <w:i/>
        </w:rPr>
        <w:t>Parlamentná kontrola</w:t>
      </w:r>
    </w:p>
    <w:p w:rsidR="00FE075E" w:rsidRDefault="00E31638">
      <w:pPr>
        <w:pStyle w:val="NormalHanging12a"/>
        <w:rPr>
          <w:szCs w:val="24"/>
        </w:rPr>
      </w:pPr>
      <w:r>
        <w:t>24.</w:t>
      </w:r>
      <w:r>
        <w:tab/>
      </w:r>
      <w:r>
        <w:t>pripomína právomoci Európskeho parlamentu v oblasti politickej a rozpočtovej kontroly a konzultácií a zdôrazňuje úlohu geopolitického dialógu na vysokej úrovni pri poskytovaní všeobecných usmernení k vykonávaniu nástroja; zdôrazňuje, že je dôležité mať pod</w:t>
      </w:r>
      <w:r>
        <w:t>robné informácie o rozpočte, ktorý sa plnil alebo sa bude plniť; zdôrazňuje, že Európsky parlament potrebuje úplný a včasný prístup k dokumentom a musí byť schopný monitorovať vplyv projektov a dosiahnutý pokrok, aby mohol lepšie vyhodnotiť ich rozsah a vp</w:t>
      </w:r>
      <w:r>
        <w:t xml:space="preserve">lyv, a preto potrebuje úplný prístup k štandardizovaným </w:t>
      </w:r>
      <w:r>
        <w:lastRenderedPageBreak/>
        <w:t xml:space="preserve">východiskovým a cieľovým ukazovateľom, ako aj k zdrojom údajov; vyzýva Komisiu, aby zabezpečila konzistentný </w:t>
      </w:r>
      <w:proofErr w:type="spellStart"/>
      <w:r>
        <w:t>medziinštitucionálny</w:t>
      </w:r>
      <w:proofErr w:type="spellEnd"/>
      <w:r>
        <w:t xml:space="preserve"> tok informácií, aby bol Európsky parlament informovaný o investičných </w:t>
      </w:r>
      <w:r>
        <w:t xml:space="preserve">projektoch vrátane projektov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>, a aby v plnej miere sprístupnila rámec riadenia výsledkov; opakuje, že je potrebné v plnej miere zohľadniť stanoviská Európskeho parlamentu; ďalej pripomína, že uznesenia Európskeho parlamentu sú súčasťou celkov</w:t>
      </w:r>
      <w:r>
        <w:t>ého politického rámca na vykonávanie nástroja; naliehavo vyzýva Komisiu, aby výrazne zlepšila včasné poskytovanie dokumentácie Európskeho parlamentu pred geopolitickým dialógom na vysokej úrovni, ako aj spôsob, akým zohľadňuje odporúčania Európskeho parlam</w:t>
      </w:r>
      <w:r>
        <w:t>entu, najmä tým, že po každom dialógu začne písomný postup, v ktorom sa uvedie, ako bude nadväzovať na každé konkrétne odporúčanie Európskeho parlamentu;</w:t>
      </w:r>
    </w:p>
    <w:p w:rsidR="00FE075E" w:rsidRDefault="00E31638">
      <w:pPr>
        <w:pStyle w:val="NormalHanging12a"/>
        <w:rPr>
          <w:szCs w:val="24"/>
        </w:rPr>
      </w:pPr>
      <w:r>
        <w:t>25.</w:t>
      </w:r>
      <w:r>
        <w:tab/>
        <w:t>vyzýva Komisiu, aby využila revíziu VFR na zdokonalenie nomenklatúry nástroja zahrnutím väčšieho p</w:t>
      </w:r>
      <w:r>
        <w:t>očtu rozpočtových riadkov s cieľom umožniť rozpočtovému orgánu vykonávať jeho kontrolné právomoci, najmä pokiaľ ide o rozpočtové riadky týkajúce sa susedskej politiky, na posilnenie transparentnosti s cieľom dosiahnuť politiku založenú na údajoch, ktorú mo</w:t>
      </w:r>
      <w:r>
        <w:t>žno kontrolovať z hľadiska jej cieľov, a na lepšie zohľadnenie strategického prístupu a zlepšenie dlhodobého plánovania; upozorňuje, že prekrývanie finančných nástrojov, napríklad v súvislosti so zárukami, sťažuje kontrolu; vyzýva Komisiu, aby po konzultác</w:t>
      </w:r>
      <w:r>
        <w:t xml:space="preserve">iách s Európskym parlamentom poskytla v jednom dokumente zrozumiteľný, jasný a úplný prehľad o finančných nástrojoch, ich vzájomných vzťahoch a rôznych zúčastnených aktéroch, ako aj úplný a presný prehľad o grantoch a zárukách a spôsobe ich krytia; vyzýva </w:t>
      </w:r>
      <w:r>
        <w:t>Komisiu, aby rozpočtovému orgánu poskytovala štvrťročné aktualizácie vrátane informácií o využívaní a sumách rozpočtových záruk spolu s odhadovanými dotáciami a prognózami do budúcnosti, ako aj aktuálnym stavom, pokiaľ ide o výdavky a ciele súvisiace s pro</w:t>
      </w:r>
      <w:r>
        <w:t>gramom;</w:t>
      </w:r>
    </w:p>
    <w:p w:rsidR="00FE075E" w:rsidRDefault="00E31638">
      <w:pPr>
        <w:pStyle w:val="NormalHanging12a"/>
        <w:rPr>
          <w:szCs w:val="24"/>
        </w:rPr>
      </w:pPr>
      <w:r>
        <w:t>26.</w:t>
      </w:r>
      <w:r>
        <w:tab/>
        <w:t xml:space="preserve">zdôrazňuje význam procesu programovania, pričom v tejto súvislosti zdôrazňuje kľúčovú úlohu ESVČ a delegácií EÚ, ako aj pri zabezpečovaní riadneho zapojenia partnerských krajín a iných aktérov rozvoja do celého procesu, a to aj prostredníctvom </w:t>
      </w:r>
      <w:r>
        <w:t>podpory úzkej a transparentnej konzultácie s regionálnymi a miestnymi orgánmi a ich zapojenia s cieľom určiť spoločné priority a posilniť pocit spoluzodpovednosti partnerských krajín; zdôrazňuje, že vo vonkajšej činnosti EÚ je dôležité zaručiť účinný príst</w:t>
      </w:r>
      <w:r>
        <w:t>up založený na potrebách a zameraný na ľudí a zdôrazňuje zásadnú úlohu, ktorú by mali zohrávať miestni partneri a občianska spoločnosť pri navrhovaní, vykonávaní, monitorovaní a hodnotení programov; okrem toho zdôrazňuje význam organizácií občianskej spolo</w:t>
      </w:r>
      <w:r>
        <w:t>čnosti a prípadne súkromného sektora v procese vykonávania nástroja, najmä v procese programovania; potvrdzuje, že je potrebné zintenzívniť podporu občianskej spoločnosti na celom svete;</w:t>
      </w:r>
    </w:p>
    <w:p w:rsidR="00FE075E" w:rsidRDefault="00E31638">
      <w:pPr>
        <w:pStyle w:val="NormalHanging12a"/>
        <w:rPr>
          <w:szCs w:val="24"/>
        </w:rPr>
      </w:pPr>
      <w:r>
        <w:t>27.</w:t>
      </w:r>
      <w:r>
        <w:tab/>
        <w:t>vyjadruje poľutovanie nad urýchleným procesom programovania, ktor</w:t>
      </w:r>
      <w:r>
        <w:t>ý sa uskutočnil v druhom polroku 2021, čo zabránilo primeranej kontrole Európskeho parlamentu; so znepokojením berie na vedomie zistenia uvedené v osobitnej správe Európskeho dvora audítorov č.</w:t>
      </w:r>
      <w:r>
        <w:t> </w:t>
      </w:r>
      <w:bookmarkStart w:id="8" w:name="_GoBack"/>
      <w:bookmarkEnd w:id="8"/>
      <w:r>
        <w:t>14/2023, v ktorej sa dospelo k záveru, že proces programovania by</w:t>
      </w:r>
      <w:r>
        <w:t xml:space="preserve"> sa mohol zlepšiť; očakáva, že Komisia a ESVČ budú konať na základe odporúčania Dvora audítorov a zohľadnia získané poznatky pri ďalšom programovaní; vyzýva Komisiu, aby zabezpečila predvídateľnejšie a transparentnejšie programovanie, vypracovala štandardi</w:t>
      </w:r>
      <w:r>
        <w:t>zovanú, porovnateľnú a transparentnú metodiku prideľovania finančných prostriedkov krajinám susedstva, zabezpečila prísne uplatňovanie v prípade krajín, ktoré nepatria do susedstva, a objasnila metodiku posudzovania vplyvu podpory EÚ a zabezpečila jej rele</w:t>
      </w:r>
      <w:r>
        <w:t>vantnosť v meniacom sa geopolitickom kontexte;</w:t>
      </w:r>
    </w:p>
    <w:p w:rsidR="00FE075E" w:rsidRDefault="00E31638">
      <w:pPr>
        <w:pStyle w:val="NormalHanging12a"/>
        <w:rPr>
          <w:szCs w:val="24"/>
        </w:rPr>
      </w:pPr>
      <w:r>
        <w:lastRenderedPageBreak/>
        <w:t>28.</w:t>
      </w:r>
      <w:r>
        <w:tab/>
        <w:t xml:space="preserve">víta nedávne nástroje </w:t>
      </w:r>
      <w:proofErr w:type="spellStart"/>
      <w:r>
        <w:t>makrofinančnej</w:t>
      </w:r>
      <w:proofErr w:type="spellEnd"/>
      <w:r>
        <w:t xml:space="preserve"> pomoci prijaté na podporu viacerých krajín, najmä Ukrajiny, s cieľom riešiť dôsledky ruskej útočnej vojny proti Ukrajine; vyjadruje poľutovanie nad nedostatkom informác</w:t>
      </w:r>
      <w:r>
        <w:t xml:space="preserve">ií poskytovaných rozpočtovým orgánom o riadení financovania úrokových nákladov </w:t>
      </w:r>
      <w:proofErr w:type="spellStart"/>
      <w:r>
        <w:t>makrofinančnej</w:t>
      </w:r>
      <w:proofErr w:type="spellEnd"/>
      <w:r>
        <w:t xml:space="preserve"> pomoci; vyjadruje znepokojenie nad tým, že pri súčasnom financovaní úrokových nákladov </w:t>
      </w:r>
      <w:proofErr w:type="spellStart"/>
      <w:r>
        <w:t>makrofinančnej</w:t>
      </w:r>
      <w:proofErr w:type="spellEnd"/>
      <w:r>
        <w:t xml:space="preserve"> pomoci prostredníctvom mobilizácie rezervy nástroja nazvanú </w:t>
      </w:r>
      <w:r>
        <w:t>Rezerva na vznikajúce výzvy a priority, a nie prostredníctvom nových rozpočtových prostriedkov, hrozí vyčerpanie väčšiny, ak nie celej rezervy na zostávajúce obdobie, v dôsledku čoho zostane nástroj bez schopnosti reagovať na nepredvídané výzvy; zdôrazňuje</w:t>
      </w:r>
      <w:r>
        <w:t xml:space="preserve"> preto potrebu nájsť udržateľné dlhodobé riešenia financovania pri zachovaní schopnosti zvládnuť budúce výzvy;</w:t>
      </w:r>
    </w:p>
    <w:p w:rsidR="00FE075E" w:rsidRDefault="00E31638">
      <w:pPr>
        <w:pStyle w:val="NormalHanging12a"/>
        <w:rPr>
          <w:szCs w:val="24"/>
        </w:rPr>
      </w:pPr>
      <w:r>
        <w:t>29.</w:t>
      </w:r>
      <w:r>
        <w:tab/>
        <w:t>vyjadruje poľutovanie nad tým, že Komisia pred mobilizáciou rezervy vždy neinformuje Európsky parlament, a vyjadruje poľutovanie nad praxou z</w:t>
      </w:r>
      <w:r>
        <w:t>asielania listov, ktoré prichádzajú až po mobilizácii, čo účinne narúša právo Európskeho parlamentu na kontrolu a bráni Komisii, aby v plnej miere zohľadnila pripomienky Európskeho parlamentu k povahe a cieľom mobilizácie a k plánovaným finančným čiastkam;</w:t>
      </w:r>
      <w:r>
        <w:t xml:space="preserve"> vyzýva Komisiu, aby vždy podrobne informovala Európsky parlament pred mobilizáciou finančných prostriedkov z rezervy a aby zohľadnila jeho pripomienky v súlade s odôvodnením 71 nariadenia, ktorým sa zriaďuje nástroj;</w:t>
      </w:r>
    </w:p>
    <w:p w:rsidR="00FE075E" w:rsidRDefault="00E31638">
      <w:pPr>
        <w:pStyle w:val="NormalHanging12a"/>
        <w:rPr>
          <w:szCs w:val="24"/>
        </w:rPr>
      </w:pPr>
      <w:r>
        <w:t>30.</w:t>
      </w:r>
      <w:r>
        <w:tab/>
        <w:t xml:space="preserve">vyjadruje poľutovanie nad tým, že </w:t>
      </w:r>
      <w:r>
        <w:t>Komisia pri využívaní rezervy nerešpektuje článok 17 tohto nariadenia, ktorým sa zriaďuje nástroj, najmä pokiaľ ide o financovanie nových legislatívnych iniciatív; vyjadruje znepokojenie nad tým, že už 80 % finančných prostriedkov, ktoré sú k dispozícii v </w:t>
      </w:r>
      <w:r>
        <w:t>rámci rezervy nástroja na roky 2021 – 2027, bolo už vyčlenených, pričom na obdobie do roku 2027 zostáva len 1,9 miliardy EUR (21 %); vyjadruje poľutovanie nad tým, že 60 % zostávajúcich finančných prostriedkov na rezervu bolo vopred pridelených bez toho, a</w:t>
      </w:r>
      <w:r>
        <w:t>by sa zohľadnili očakávané budúce potreby, ako je balík pre sýrskych utečencov;</w:t>
      </w:r>
    </w:p>
    <w:p w:rsidR="00FE075E" w:rsidRDefault="00E31638">
      <w:pPr>
        <w:pStyle w:val="NormalHanging12a"/>
        <w:rPr>
          <w:szCs w:val="24"/>
        </w:rPr>
      </w:pPr>
      <w:r>
        <w:t>31.</w:t>
      </w:r>
      <w:r>
        <w:tab/>
        <w:t>pripomína, že väčšie zapojenie Európskeho parlamentu do všetkých fáz riadenia a vykonávania nástroja bolo podmienkou prijatia toho, aby sa predchádzajúce nástroje na financ</w:t>
      </w:r>
      <w:r>
        <w:t>ovanie vonkajšej činnosti zlúčili v rámci nástroja (ako sa stanovuje v uznesení Európskeho parlamentu z 18. apríla 2018 o vykonávaní nástrojov EÚ na financovanie vonkajšej činnosti: preskúmanie v polovici trvania v roku 2017 a budúca architektúra po roku 2</w:t>
      </w:r>
      <w:r>
        <w:t>020 na rokovanie o nástroji z roku 2019); pripomína, že nástroj ponúka možnosť vykonať legislatívne zmeny nariadení o nástroji a IPA III a navrhuje dôkladné posúdenie úlohy Európskeho parlamentu pri poskytovaní strategického riadenia a kontroly, alebo vzhľ</w:t>
      </w:r>
      <w:r>
        <w:t>adom na nedostatočné zapojenie Európskeho parlamentu do pozastavenia pomoci alebo využívania rezervy, ako aj pravidelné schôdze výboru pre nástroj, ktoré majú nevyužitý potenciál;</w:t>
      </w:r>
    </w:p>
    <w:p w:rsidR="00FE075E" w:rsidRDefault="00E31638">
      <w:pPr>
        <w:pStyle w:val="NormalHanging12a"/>
      </w:pPr>
      <w:r>
        <w:t>32.</w:t>
      </w:r>
      <w:r>
        <w:tab/>
        <w:t>očakáva, že Európsky parlament bude plne zapojený do programovania týkaj</w:t>
      </w:r>
      <w:r>
        <w:t xml:space="preserve">úceho sa druhej polovice VFR a viacročných orientačných plánov na roky 2025 – 2027; </w:t>
      </w:r>
    </w:p>
    <w:p w:rsidR="00FE075E" w:rsidRDefault="00E31638">
      <w:pPr>
        <w:pStyle w:val="NormalHanging12a"/>
        <w:rPr>
          <w:szCs w:val="24"/>
        </w:rPr>
      </w:pPr>
      <w:r>
        <w:t>33.</w:t>
      </w:r>
      <w:r>
        <w:tab/>
        <w:t xml:space="preserve">domnieva sa, že súčasný systém podávania správ o činnosti EÚ v danej krajine, regióne alebo tematickej oblasti je nedostatočný a príliš právne formalistický; požaduje </w:t>
      </w:r>
      <w:r>
        <w:t>pragmatické a rýchle zlepšenia, pokiaľ ide o aktualizáciu užitočných údajov, a aby sa Európskemu parlamentu pružne a včas poskytovali príklady najlepších postupov pri vykonávaní, pričom by sa v prípade potreby uplatňovali vhodné pravidlá dôvernosti; domnie</w:t>
      </w:r>
      <w:r>
        <w:t xml:space="preserve">va sa, že databáza verejných projektov nie je používateľsky ústretová </w:t>
      </w:r>
      <w:r>
        <w:lastRenderedPageBreak/>
        <w:t>a nepomáha s aktuálnymi informáciami; zdôrazňuje, že investičné projekty EÚ by mali podliehať hodnoteniu, monitorovaniu a podávaniu správ, aby sa určila ich účinnosť a aby sa predišlo ne</w:t>
      </w:r>
      <w:r>
        <w:t>úmyselným negatívnym vplyvom;</w:t>
      </w:r>
    </w:p>
    <w:p w:rsidR="00FE075E" w:rsidRDefault="00E31638">
      <w:pPr>
        <w:pStyle w:val="NormalHanging12a"/>
        <w:rPr>
          <w:szCs w:val="24"/>
        </w:rPr>
      </w:pPr>
      <w:r>
        <w:t>34.</w:t>
      </w:r>
      <w:r>
        <w:tab/>
        <w:t xml:space="preserve">vyzýva Komisiu, aby spolu s EIB, EBOR a ďalšími európskymi PZI vypracovala štandardizované postupy vrátane hodnotení </w:t>
      </w:r>
      <w:r>
        <w:rPr>
          <w:i/>
        </w:rPr>
        <w:t xml:space="preserve">ex </w:t>
      </w:r>
      <w:proofErr w:type="spellStart"/>
      <w:r>
        <w:rPr>
          <w:i/>
        </w:rPr>
        <w:t>ante</w:t>
      </w:r>
      <w:proofErr w:type="spellEnd"/>
      <w:r>
        <w:t xml:space="preserve"> a </w:t>
      </w:r>
      <w:r>
        <w:rPr>
          <w:i/>
        </w:rPr>
        <w:t>ex post</w:t>
      </w:r>
      <w:r>
        <w:t xml:space="preserve"> a uplatňovania rámca Komisie pre riadenie výsledkov; naliehavo žiada Komisiu, aby tento</w:t>
      </w:r>
      <w:r>
        <w:t xml:space="preserve"> rámec zverejnila a aby zabezpečila, že PZI, ktoré používajú vlastné ukazovatele, ich jasne definujú a vysvetlia ich uplatňovanie a porovnateľnosť s rámcom; vyzýva Komisiu, aby monitorovala normy environmentálneho, sociálneho a správneho dosahu všetkých in</w:t>
      </w:r>
      <w:r>
        <w:t>vestičných projektov; vyzýva Komisiu, aby sprístupnila rámec riadenia výsledkov EFSD+ s cieľom uľahčiť kontrolu pokroku smerom k zodpovednejšiemu financovaniu rozvoja;</w:t>
      </w:r>
    </w:p>
    <w:p w:rsidR="00FE075E" w:rsidRDefault="00E31638">
      <w:pPr>
        <w:pStyle w:val="NormalHanging12a"/>
        <w:rPr>
          <w:b/>
          <w:bCs/>
          <w:i/>
          <w:szCs w:val="24"/>
        </w:rPr>
      </w:pPr>
      <w:r>
        <w:rPr>
          <w:b/>
          <w:i/>
        </w:rPr>
        <w:t xml:space="preserve">Ďalší postup </w:t>
      </w:r>
    </w:p>
    <w:p w:rsidR="00FE075E" w:rsidRDefault="00E31638">
      <w:pPr>
        <w:pStyle w:val="NormalHanging12a"/>
        <w:rPr>
          <w:szCs w:val="24"/>
        </w:rPr>
      </w:pPr>
      <w:r>
        <w:t>35.</w:t>
      </w:r>
      <w:r>
        <w:tab/>
        <w:t>žiada, aby sa hodnotenie v polovici obdobia v čo najväčšej možnej mier</w:t>
      </w:r>
      <w:r>
        <w:t>e využilo na aktualizáciu buď nástroja, alebo jeho delegovaných aktov v prioritných oblastiach a na prehodnotenie platnosti geografických a tematických viacročných orientačných plánov vrátane výraznejších podmienok týkajúcich sa súladu s medzinárodným práv</w:t>
      </w:r>
      <w:r>
        <w:t>om, ľudskými právami, právnym štátom a demokraciou, zosúladenia so zahraničnou politikou EÚ a uplatnenia súvisiaceho mechanizmu pozastavenia ako poslednej možnosti, ak sa zahraničná politika krajiny prijímajúcej finančné prostriedky z nástroja úplne odlišu</w:t>
      </w:r>
      <w:r>
        <w:t>je od zahraničnej politiky EÚ; zdôrazňuje, že je dôležité zviditeľniť akcie EÚ, najmä úsilie v oblasti rozvojovej spolupráce; vyzýva preto na vybavenie ESVČ a delegácií EÚ potrebnými nástrojmi na rozvoj ich strategických komunikačných schopností, aby mohli</w:t>
      </w:r>
      <w:r>
        <w:t xml:space="preserve"> lepšie vysvetľovať opatrenia EÚ rozhodovacím orgánom a širokej verejnosti v tretích krajinách a bojovať proti dezinformáciám; vyzýva EÚ, aby sa postavila proti akejkoľvek podpore agresorských štátov a ich politík, najmä proti Ruskej federácii v jej agresí</w:t>
      </w:r>
      <w:r>
        <w:t>vnej vojne proti Ukrajine;</w:t>
      </w:r>
    </w:p>
    <w:p w:rsidR="00FE075E" w:rsidRDefault="00E31638">
      <w:pPr>
        <w:pStyle w:val="NormalHanging12a"/>
        <w:rPr>
          <w:szCs w:val="24"/>
        </w:rPr>
      </w:pPr>
      <w:r>
        <w:t>36.</w:t>
      </w:r>
      <w:r>
        <w:tab/>
        <w:t>zdôrazňuje, že hodnotenie v polovici obdobia by mali sprevádzať potrebné legislatívne zmeny nástroja a nástroja IPA III, aby príslušné nariadenia odrážali nový štatút Ukrajiny a Moldavska ako kandidátskych krajín EÚ, a nový d</w:t>
      </w:r>
      <w:r>
        <w:t>elegovaný akt, v ktorom sa stanovia konkrétne ciele a prioritné oblasti spolupráce pre každý región; zdôrazňuje význam poskytovania finančných prostriedkov prostredníctvom PZI a EIB, ktoré sa zameriavajú na prístup ku kritickým surovinám a súvisiace opatre</w:t>
      </w:r>
      <w:r>
        <w:t>nia v oblasti zručností, infraštruktúry a regulačného rámca v súlade s environmentálnymi a sociálnymi normami EIB, ako súčasť spoločného plánovania EÚ a jej partnerov na rozvoj energie z obnoviteľných zdrojov v kontexte dosahovania cieľov udržateľného rozv</w:t>
      </w:r>
      <w:r>
        <w:t>oja;</w:t>
      </w:r>
    </w:p>
    <w:p w:rsidR="00FE075E" w:rsidRDefault="00E31638">
      <w:pPr>
        <w:pStyle w:val="NormalHanging12a"/>
        <w:rPr>
          <w:szCs w:val="24"/>
        </w:rPr>
      </w:pPr>
      <w:r>
        <w:t>37.</w:t>
      </w:r>
      <w:r>
        <w:tab/>
        <w:t>domnieva sa, že geopolitické výzvy, ktoré sa objavili v súvislosti s ruskou útočnou vojnou proti Ukrajine, a rastúci zhubný vplyv a priebojnosť Čínskej ľudovej republiky si vyžadujú výrazné zvýšenie rozpočtu nástroja; zdôrazňuje, že výzvy sú rozší</w:t>
      </w:r>
      <w:r>
        <w:t>rené po celom svete, čo znamená, že EÚ musí zvýšiť svoj geopolitický vplyv, pričom musí zostať oddaná svojim hodnotám a zásadám; zdôrazňuje, že na tieto výzvy bude možné reagovať vyváženým spôsobom len vtedy, ak sa zachová rovnaký pomer pridelených prostri</w:t>
      </w:r>
      <w:r>
        <w:t>edkov pre každú oblasť nástroja; vyjadruje obavy, že EÚ stráca vplyv a viditeľnosť v prospech alternatívnych ponúk Číny a Ruska; vyzýva EÚ, aby reagovala na očakávania partnerských krajín a urýchlene plnila politické dohody, ktoré s nimi uzavrela, ako je d</w:t>
      </w:r>
      <w:r>
        <w:t xml:space="preserve">ohoda nasledujúca po Dohode z </w:t>
      </w:r>
      <w:proofErr w:type="spellStart"/>
      <w:r>
        <w:t>Cotonou</w:t>
      </w:r>
      <w:proofErr w:type="spellEnd"/>
      <w:r>
        <w:t xml:space="preserve">, aby posilnila svoj status </w:t>
      </w:r>
      <w:r>
        <w:lastRenderedPageBreak/>
        <w:t>spoľahlivého spojenca v oblasti rozvojovej spolupráce a dokázala, že medzinárodný systém založený na pravidlách dokáže čeliť súčasným výzvam;</w:t>
      </w:r>
    </w:p>
    <w:p w:rsidR="00FE075E" w:rsidRDefault="00E31638">
      <w:pPr>
        <w:pStyle w:val="NormalHanging12a"/>
      </w:pPr>
      <w:r>
        <w:t>38.</w:t>
      </w:r>
      <w:r>
        <w:tab/>
        <w:t>trvá na tom, že Európsky parlament je súčasťo</w:t>
      </w:r>
      <w:r>
        <w:t>u Tímu Európa a malo by sa s ním tak zaobchádzať, a preto očakáva častejšie, podrobnejšie a zmysluplnejšie informácie o vykonávaní nástroja vrátane zoznamu investícií EIB zahŕňajúcich finančné prostriedky nástroja;</w:t>
      </w:r>
    </w:p>
    <w:p w:rsidR="00FE075E" w:rsidRDefault="00E31638">
      <w:pPr>
        <w:pStyle w:val="NormalHanging12a"/>
      </w:pPr>
      <w:r>
        <w:t>39.</w:t>
      </w:r>
      <w:r>
        <w:tab/>
        <w:t>poznamenáva, že pilotné projekty a pr</w:t>
      </w:r>
      <w:r>
        <w:t>ípravné akcie sú nové iniciatívy, ktoré sa môžu zmeniť na programy financovania EÚ, ak by sa ukázali ako úspešné; zdôrazňuje, že pre Európsky parlament sú príležitosťou na zavedenie programov, ktoré by inak neboli financované; zdôrazňuje, že pri širšom výk</w:t>
      </w:r>
      <w:r>
        <w:t xml:space="preserve">lade nástroj teoreticky predstavuje právny základ pre všetky iniciatívy, čo bráni oprávnenosti, a de </w:t>
      </w:r>
      <w:proofErr w:type="spellStart"/>
      <w:r>
        <w:t>facto</w:t>
      </w:r>
      <w:proofErr w:type="spellEnd"/>
      <w:r>
        <w:t xml:space="preserve"> znemožňuje iniciatívy Európskeho parlamentu; </w:t>
      </w:r>
    </w:p>
    <w:p w:rsidR="00FE075E" w:rsidRDefault="00E31638">
      <w:pPr>
        <w:pStyle w:val="NormalHanging12a"/>
        <w:widowControl/>
        <w:ind w:left="0" w:firstLine="0"/>
        <w:jc w:val="center"/>
      </w:pPr>
      <w:bookmarkStart w:id="9" w:name="_Toc152318303"/>
      <w:r>
        <w:t>°</w:t>
      </w:r>
    </w:p>
    <w:p w:rsidR="00FE075E" w:rsidRDefault="00E31638">
      <w:pPr>
        <w:pStyle w:val="NormalHanging12a"/>
        <w:widowControl/>
        <w:ind w:left="0" w:firstLine="0"/>
        <w:jc w:val="center"/>
      </w:pPr>
      <w:r>
        <w:t>°     °</w:t>
      </w:r>
    </w:p>
    <w:p w:rsidR="00FE075E" w:rsidRDefault="00E31638">
      <w:pPr>
        <w:pStyle w:val="NormalHanging12a"/>
      </w:pPr>
      <w:r>
        <w:t>40.</w:t>
      </w:r>
      <w:r>
        <w:tab/>
        <w:t>poveruje svoju predsedníčku, aby toto uznesenie postúpila Komisii, podpredsedovi Komisie/</w:t>
      </w:r>
      <w:r>
        <w:t>vysokému predstaviteľovi Únie pre zahraničné veci a bezpečnostnú politiku, Rade, Európskej investičnej banke a ďalším príslušným európskym rozvojovým finančným inštitúciám.</w:t>
      </w:r>
      <w:bookmarkEnd w:id="9"/>
    </w:p>
    <w:p w:rsidR="00FE075E" w:rsidRDefault="00FE075E">
      <w:bookmarkStart w:id="10" w:name="TextBodyEnd"/>
      <w:bookmarkEnd w:id="10"/>
    </w:p>
    <w:sectPr w:rsidR="00FE07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75E" w:rsidRDefault="00E31638">
      <w:r>
        <w:separator/>
      </w:r>
    </w:p>
  </w:endnote>
  <w:endnote w:type="continuationSeparator" w:id="0">
    <w:p w:rsidR="00FE075E" w:rsidRDefault="00E3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75E" w:rsidRDefault="00FE075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75E" w:rsidRDefault="00FE075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75E" w:rsidRDefault="00FE07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75E" w:rsidRDefault="00E31638">
      <w:r>
        <w:separator/>
      </w:r>
    </w:p>
  </w:footnote>
  <w:footnote w:type="continuationSeparator" w:id="0">
    <w:p w:rsidR="00FE075E" w:rsidRDefault="00E31638">
      <w:r>
        <w:continuationSeparator/>
      </w:r>
    </w:p>
  </w:footnote>
  <w:footnote w:id="1">
    <w:p w:rsidR="00FE075E" w:rsidRDefault="00E3163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209, 14.6.2021, s. 1.</w:t>
      </w:r>
    </w:p>
  </w:footnote>
  <w:footnote w:id="2">
    <w:p w:rsidR="00FE075E" w:rsidRDefault="00E3163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390, 18.11.2019, s. 76.</w:t>
      </w:r>
    </w:p>
  </w:footnote>
  <w:footnote w:id="3">
    <w:p w:rsidR="00FE075E" w:rsidRDefault="00E3163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390, 18.11.2019, s. 33.</w:t>
      </w:r>
    </w:p>
  </w:footnote>
  <w:footnote w:id="4">
    <w:p w:rsidR="00FE075E" w:rsidRDefault="00E3163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108, 26.3.2021, s. 312.</w:t>
      </w:r>
    </w:p>
  </w:footnote>
  <w:footnote w:id="5">
    <w:p w:rsidR="00FE075E" w:rsidRDefault="00E3163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 167, 11.5.2023, s. 57.</w:t>
      </w:r>
    </w:p>
  </w:footnote>
  <w:footnote w:id="6">
    <w:p w:rsidR="00FE075E" w:rsidRDefault="00E3163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 32, 27.1.2023, s. 28.</w:t>
      </w:r>
    </w:p>
  </w:footnote>
  <w:footnote w:id="7">
    <w:p w:rsidR="00FE075E" w:rsidRDefault="00E3163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P9_TA(2023)0250.</w:t>
      </w:r>
    </w:p>
  </w:footnote>
  <w:footnote w:id="8">
    <w:p w:rsidR="00FE075E" w:rsidRDefault="00E3163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P9_TA(2023)0077.</w:t>
      </w:r>
    </w:p>
  </w:footnote>
  <w:footnote w:id="9">
    <w:p w:rsidR="00FE075E" w:rsidRDefault="00E3163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425, 20.10.2021, s. 73.</w:t>
      </w:r>
    </w:p>
  </w:footnote>
  <w:footnote w:id="10">
    <w:p w:rsidR="00FE075E" w:rsidRDefault="00E3163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Návrh Komisie z 20. júna 2023 na nariadenie Európskeho parlamentu a Rady, ktorým sa zriaďuje Nástroj pre Ukrajinu (COM(2023)0338).</w:t>
      </w:r>
    </w:p>
  </w:footnote>
  <w:footnote w:id="11">
    <w:p w:rsidR="00FE075E" w:rsidRDefault="00E3163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 2</w:t>
      </w:r>
      <w:r>
        <w:rPr>
          <w:sz w:val="24"/>
          <w:lang w:val="sk-SK"/>
        </w:rPr>
        <w:t>021/1529 z 15. septembra 2021, ktorým sa zriaďuje nástroj predvstupovej pomoci (IPA III) (Ú. v. EÚ L 330, 20.9.2021,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75E" w:rsidRDefault="00FE07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75E" w:rsidRDefault="00FE075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75E" w:rsidRDefault="00FE075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4/2023"/>
    <w:docVar w:name="dvlangue" w:val="SK"/>
    <w:docVar w:name="dvnumam" w:val="0"/>
    <w:docVar w:name="dvpe" w:val="749.124"/>
    <w:docVar w:name="dvrapporteur" w:val="Spravodajcovia: "/>
    <w:docVar w:name="dvtitre" w:val="Uznesenie Európskeho parlamentu z xx. decembra 2023 o vykonávaní Nástroja susedstva a rozvojovej a medzinárodnej spolupráce – Globálna Európa(2023/2029(INI))"/>
  </w:docVars>
  <w:rsids>
    <w:rsidRoot w:val="00FE075E"/>
    <w:rsid w:val="00E31638"/>
    <w:rsid w:val="00FE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AFA7EB"/>
  <w15:chartTrackingRefBased/>
  <w15:docId w15:val="{9A09AC79-2ABA-46FC-A385-FD1703660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70" w:hanging="570"/>
    </w:p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0CE42-7E3B-4932-ACF6-750E083F3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6701</Words>
  <Characters>41478</Characters>
  <Application>Microsoft Office Word</Application>
  <DocSecurity>0</DocSecurity>
  <Lines>345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2024-01-26T10:21:00Z</dcterms:created>
  <dcterms:modified xsi:type="dcterms:W3CDTF">2024-01-26T10:21:00Z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A9-0374/2023</vt:lpwstr>
  </property>
  <property fmtid="{D5CDD505-2E9C-101B-9397-08002B2CF9AE}" pid="4" name="&lt;Type&gt;">
    <vt:lpwstr>RR</vt:lpwstr>
  </property>
</Properties>
</file>