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0DD" w:rsidTr="0010095E">
        <w:trPr>
          <w:trHeight w:hRule="exact" w:val="1418"/>
        </w:trPr>
        <w:tc>
          <w:tcPr>
            <w:tcW w:w="6804" w:type="dxa"/>
            <w:shd w:val="clear" w:color="auto" w:fill="auto"/>
            <w:vAlign w:val="center"/>
          </w:tcPr>
          <w:p w:rsidR="00751A4A" w:rsidRPr="007A20DD" w:rsidRDefault="00CC267E" w:rsidP="0010095E">
            <w:pPr>
              <w:pStyle w:val="EPName"/>
            </w:pPr>
            <w:r w:rsidRPr="007A20DD">
              <w:t>Europa-Parlamentet</w:t>
            </w:r>
          </w:p>
          <w:p w:rsidR="00751A4A" w:rsidRPr="007A20DD" w:rsidRDefault="00817416" w:rsidP="00756632">
            <w:pPr>
              <w:pStyle w:val="EPTerm"/>
              <w:rPr>
                <w:rStyle w:val="HideTWBExt"/>
                <w:noProof w:val="0"/>
                <w:vanish w:val="0"/>
                <w:color w:val="auto"/>
              </w:rPr>
            </w:pPr>
            <w:r w:rsidRPr="007A20DD">
              <w:t>2019-2024</w:t>
            </w:r>
          </w:p>
        </w:tc>
        <w:tc>
          <w:tcPr>
            <w:tcW w:w="2268" w:type="dxa"/>
            <w:shd w:val="clear" w:color="auto" w:fill="auto"/>
          </w:tcPr>
          <w:p w:rsidR="00751A4A" w:rsidRPr="007A20DD" w:rsidRDefault="00187494" w:rsidP="0010095E">
            <w:pPr>
              <w:pStyle w:val="EPLogo"/>
            </w:pPr>
            <w:r w:rsidRPr="007A20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0DD" w:rsidRDefault="00D058B8" w:rsidP="004C5D52">
      <w:pPr>
        <w:pStyle w:val="LineTop"/>
      </w:pPr>
    </w:p>
    <w:p w:rsidR="00680577" w:rsidRPr="007A20DD" w:rsidRDefault="00CC267E" w:rsidP="00680577">
      <w:pPr>
        <w:pStyle w:val="EPBodyTA1"/>
      </w:pPr>
      <w:r w:rsidRPr="007A20DD">
        <w:t>VEDTAGNE TEKSTER</w:t>
      </w:r>
    </w:p>
    <w:p w:rsidR="00D058B8" w:rsidRPr="007A20DD" w:rsidRDefault="00D058B8" w:rsidP="00D058B8">
      <w:pPr>
        <w:pStyle w:val="LineBottom"/>
      </w:pPr>
    </w:p>
    <w:p w:rsidR="00CC267E" w:rsidRPr="00113B2A" w:rsidRDefault="00CC267E" w:rsidP="00CC267E">
      <w:pPr>
        <w:pStyle w:val="ATHeading1"/>
      </w:pPr>
      <w:bookmarkStart w:id="0" w:name="TANumber"/>
      <w:r w:rsidRPr="00113B2A">
        <w:t>P9_TA(2023)0</w:t>
      </w:r>
      <w:r w:rsidR="00D77FF7">
        <w:t>460</w:t>
      </w:r>
      <w:bookmarkEnd w:id="0"/>
    </w:p>
    <w:p w:rsidR="00CC267E" w:rsidRPr="00113B2A" w:rsidRDefault="00CC267E" w:rsidP="00CC267E">
      <w:pPr>
        <w:pStyle w:val="ATHeading2"/>
      </w:pPr>
      <w:bookmarkStart w:id="1" w:name="title"/>
      <w:r w:rsidRPr="00113B2A">
        <w:t>Yderligere reform af selskabsskatteregler</w:t>
      </w:r>
      <w:bookmarkEnd w:id="1"/>
    </w:p>
    <w:p w:rsidR="00CC267E" w:rsidRPr="007A20DD" w:rsidRDefault="00CC267E" w:rsidP="00CC267E">
      <w:pPr>
        <w:rPr>
          <w:i/>
          <w:vanish/>
        </w:rPr>
      </w:pPr>
      <w:r w:rsidRPr="007A20DD">
        <w:rPr>
          <w:i/>
        </w:rPr>
        <w:fldChar w:fldCharType="begin"/>
      </w:r>
      <w:r w:rsidRPr="007A20DD">
        <w:rPr>
          <w:i/>
        </w:rPr>
        <w:instrText xml:space="preserve"> TC"(</w:instrText>
      </w:r>
      <w:bookmarkStart w:id="2" w:name="DocNumber"/>
      <w:r w:rsidRPr="007A20DD">
        <w:rPr>
          <w:i/>
        </w:rPr>
        <w:instrText>A9-0359/2023</w:instrText>
      </w:r>
      <w:bookmarkEnd w:id="2"/>
      <w:r w:rsidRPr="007A20DD">
        <w:rPr>
          <w:i/>
        </w:rPr>
        <w:instrText xml:space="preserve"> - Ordfører: Isabel Benjumea Benjumea)"\l3</w:instrText>
      </w:r>
      <w:r w:rsidRPr="000A3EC0">
        <w:rPr>
          <w:i/>
        </w:rPr>
        <w:instrText xml:space="preserve"> \n&gt; \* MERGEFORMAT </w:instrText>
      </w:r>
      <w:r w:rsidRPr="007A20DD">
        <w:rPr>
          <w:i/>
        </w:rPr>
        <w:fldChar w:fldCharType="end"/>
      </w:r>
    </w:p>
    <w:p w:rsidR="00CC267E" w:rsidRPr="007A20DD" w:rsidRDefault="00CC267E" w:rsidP="00CC267E">
      <w:pPr>
        <w:rPr>
          <w:vanish/>
        </w:rPr>
      </w:pPr>
      <w:bookmarkStart w:id="3" w:name="Commission"/>
      <w:r w:rsidRPr="007A20DD">
        <w:rPr>
          <w:vanish/>
        </w:rPr>
        <w:t>Økonomi- og Valutaudvalget</w:t>
      </w:r>
      <w:bookmarkEnd w:id="3"/>
    </w:p>
    <w:p w:rsidR="00CC267E" w:rsidRPr="007A20DD" w:rsidRDefault="00CC267E" w:rsidP="00CC267E">
      <w:pPr>
        <w:rPr>
          <w:vanish/>
        </w:rPr>
      </w:pPr>
      <w:bookmarkStart w:id="4" w:name="PE"/>
      <w:r w:rsidRPr="007A20DD">
        <w:rPr>
          <w:vanish/>
        </w:rPr>
        <w:t>PE736.738</w:t>
      </w:r>
      <w:bookmarkEnd w:id="4"/>
    </w:p>
    <w:p w:rsidR="00CC267E" w:rsidRPr="00113B2A" w:rsidRDefault="00CC267E" w:rsidP="00CC267E">
      <w:pPr>
        <w:pStyle w:val="ATHeading3"/>
      </w:pPr>
      <w:bookmarkStart w:id="5" w:name="Sujet"/>
      <w:r w:rsidRPr="00113B2A">
        <w:t xml:space="preserve">Europa-Parlamentets beslutning af </w:t>
      </w:r>
      <w:r w:rsidR="007A20DD">
        <w:t>12</w:t>
      </w:r>
      <w:r w:rsidRPr="00113B2A">
        <w:t>. december 2023 om yderligere reform af selskabsskatteregler</w:t>
      </w:r>
      <w:bookmarkEnd w:id="5"/>
      <w:r w:rsidRPr="00113B2A">
        <w:t xml:space="preserve"> </w:t>
      </w:r>
      <w:bookmarkStart w:id="6" w:name="References"/>
      <w:r w:rsidRPr="00113B2A">
        <w:t>(2022/2146(INI))</w:t>
      </w:r>
      <w:bookmarkEnd w:id="6"/>
    </w:p>
    <w:p w:rsidR="00FB1215" w:rsidRPr="007A20DD" w:rsidRDefault="00FB1215" w:rsidP="00FB1215">
      <w:pPr>
        <w:pStyle w:val="EPComma"/>
      </w:pPr>
      <w:bookmarkStart w:id="7" w:name="TextBodyBegin"/>
      <w:bookmarkEnd w:id="7"/>
      <w:r w:rsidRPr="007A20DD">
        <w:rPr>
          <w:i/>
          <w:iCs/>
        </w:rPr>
        <w:t>Europa-Parlamentet,</w:t>
      </w:r>
    </w:p>
    <w:p w:rsidR="00FB1215" w:rsidRPr="007A20DD" w:rsidRDefault="00FB1215" w:rsidP="00FB1215">
      <w:pPr>
        <w:pStyle w:val="NormalHanging12a"/>
      </w:pPr>
      <w:r w:rsidRPr="00113B2A">
        <w:t>–</w:t>
      </w:r>
      <w:r w:rsidRPr="00113B2A">
        <w:tab/>
        <w:t>der henviser til Rådets direktiv 2003/49/EF af 3. juni 2003 om en fælles ordning for beskatning af renter og royalties, der betales mellem associerede selskaber i forskellige medlemsstater</w:t>
      </w:r>
      <w:r w:rsidRPr="007A20DD">
        <w:rPr>
          <w:rStyle w:val="FootnoteReference"/>
        </w:rPr>
        <w:footnoteReference w:id="1"/>
      </w:r>
      <w:r w:rsidRPr="007A20DD">
        <w:t xml:space="preserve"> (R/R-direktivet),</w:t>
      </w:r>
    </w:p>
    <w:p w:rsidR="00FB1215" w:rsidRPr="007A20DD" w:rsidRDefault="00FB1215" w:rsidP="00FB1215">
      <w:pPr>
        <w:pStyle w:val="NormalHanging12a"/>
      </w:pPr>
      <w:r w:rsidRPr="00113B2A">
        <w:t>–</w:t>
      </w:r>
      <w:r w:rsidRPr="00113B2A">
        <w:tab/>
        <w:t>der henviser til Rådets direktiv 2011/96/EU af 30. november 2011 om en fælles beskatningsordning for moder- og datterselskaber fra forskellige medlemsstater</w:t>
      </w:r>
      <w:r w:rsidRPr="007A20DD">
        <w:rPr>
          <w:rStyle w:val="FootnoteReference"/>
        </w:rPr>
        <w:footnoteReference w:id="2"/>
      </w:r>
      <w:r w:rsidRPr="007A20DD">
        <w:t xml:space="preserve"> ("direktivet om moder- og datterselskaber"),</w:t>
      </w:r>
    </w:p>
    <w:p w:rsidR="00FB1215" w:rsidRPr="007A20DD" w:rsidRDefault="00FB1215" w:rsidP="00FB1215">
      <w:pPr>
        <w:pStyle w:val="NormalHanging12a"/>
      </w:pPr>
      <w:r w:rsidRPr="00113B2A">
        <w:t>–</w:t>
      </w:r>
      <w:r w:rsidRPr="00113B2A">
        <w:tab/>
        <w:t>der henviser til Rådets direktiv (EU) 2016/1164 af 12. juli 2016 om regler til bekæmpelse af metoder til skatteundgåelse, der direkte indvirker på det indre markeds funktion</w:t>
      </w:r>
      <w:r w:rsidRPr="007A20DD">
        <w:rPr>
          <w:rStyle w:val="FootnoteReference"/>
        </w:rPr>
        <w:footnoteReference w:id="3"/>
      </w:r>
      <w:r w:rsidRPr="007A20DD">
        <w:t xml:space="preserve"> (direktivet om bekæmpelse af skatteundgåelse eller ATAD I) og til Rådets direktiv (EU) 2017/952 af 29. maj 2017</w:t>
      </w:r>
      <w:r w:rsidRPr="000A3EC0">
        <w:t xml:space="preserve"> om ændring af direktiv (EU) </w:t>
      </w:r>
      <w:r w:rsidRPr="00113B2A">
        <w:t>2016/1164, for så vidt angår hybride mismatch med tredjelande</w:t>
      </w:r>
      <w:r w:rsidRPr="007A20DD">
        <w:rPr>
          <w:rStyle w:val="FootnoteReference"/>
        </w:rPr>
        <w:footnoteReference w:id="4"/>
      </w:r>
      <w:r w:rsidRPr="007A20DD">
        <w:t xml:space="preserve"> (ATAD II),</w:t>
      </w:r>
    </w:p>
    <w:p w:rsidR="00FB1215" w:rsidRPr="00113B2A" w:rsidRDefault="00FB1215" w:rsidP="00FB1215">
      <w:pPr>
        <w:pStyle w:val="NormalHanging12a"/>
      </w:pPr>
      <w:r w:rsidRPr="00113B2A">
        <w:t>–</w:t>
      </w:r>
      <w:r w:rsidRPr="00113B2A">
        <w:tab/>
        <w:t>der henviser til Rådets direktiv 2011/16/EU af 15. februar 2011 om administrativt samarbejde på beskatningsområdet og om ophævelse af direktiv 77/799/EØF</w:t>
      </w:r>
      <w:r w:rsidRPr="007A20DD">
        <w:rPr>
          <w:rStyle w:val="FootnoteReference"/>
        </w:rPr>
        <w:footnoteReference w:id="5"/>
      </w:r>
      <w:r w:rsidRPr="007A20DD">
        <w:t xml:space="preserve"> ("direktivet om administrativt samarbejde på beskatningsområdet" eller "DAC 1"), Rådets direktiv </w:t>
      </w:r>
      <w:r w:rsidRPr="00113B2A">
        <w:t>2014/107/EU af 9. december 2014 om ændring af direktiv 2011/16/EU for så vidt angår obligatorisk automatisk udveksling af oplysninger på beskatningsområdet</w:t>
      </w:r>
      <w:r w:rsidRPr="007A20DD">
        <w:rPr>
          <w:rStyle w:val="FootnoteReference"/>
        </w:rPr>
        <w:footnoteReference w:id="6"/>
      </w:r>
      <w:r w:rsidRPr="007A20DD">
        <w:t xml:space="preserve"> (DAC 2), Rådets direktiv (EU) 2015/2376 af 8</w:t>
      </w:r>
      <w:r w:rsidRPr="000A3EC0">
        <w:t>. december </w:t>
      </w:r>
      <w:r w:rsidRPr="00113B2A">
        <w:t>2015 om ændring af direktiv 2011/16/EU for så vidt angår obligatorisk automatisk udveksling af oplysninger på beskatningsområdet</w:t>
      </w:r>
      <w:r w:rsidRPr="007A20DD">
        <w:rPr>
          <w:rStyle w:val="FootnoteReference"/>
        </w:rPr>
        <w:footnoteReference w:id="7"/>
      </w:r>
      <w:r w:rsidRPr="007A20DD">
        <w:t xml:space="preserve"> (DAC </w:t>
      </w:r>
      <w:r w:rsidRPr="000A3EC0">
        <w:t xml:space="preserve">3), Rådets direktiv (EU) </w:t>
      </w:r>
      <w:r w:rsidRPr="00113B2A">
        <w:t>2016/881 af 25. maj 2016 om ændring af direktiv 2011/16/EU for så vidt angår obligatorisk automatisk udveksling af oplysninger på beskatningsområdet</w:t>
      </w:r>
      <w:r w:rsidRPr="007A20DD">
        <w:rPr>
          <w:rStyle w:val="FootnoteReference"/>
        </w:rPr>
        <w:footnoteReference w:id="8"/>
      </w:r>
      <w:r w:rsidRPr="007A20DD">
        <w:t xml:space="preserve"> (DAC </w:t>
      </w:r>
      <w:r w:rsidRPr="000A3EC0">
        <w:t>4), Rådets</w:t>
      </w:r>
      <w:r w:rsidRPr="00113B2A">
        <w:t xml:space="preserve"> direktiv </w:t>
      </w:r>
      <w:r w:rsidRPr="00113B2A">
        <w:lastRenderedPageBreak/>
        <w:t>(EU) 2016/2258 af 6. december 2016 om ændring af direktiv 2011/16/EU for så vidt angår skattemyndighedernes adgang til oplysninger indberettet i henhold til hvidvaskreguleringen</w:t>
      </w:r>
      <w:r w:rsidRPr="007A20DD">
        <w:rPr>
          <w:rStyle w:val="FootnoteReference"/>
        </w:rPr>
        <w:footnoteReference w:id="9"/>
      </w:r>
      <w:r w:rsidRPr="007A20DD">
        <w:t xml:space="preserve"> (DAC </w:t>
      </w:r>
      <w:r w:rsidRPr="000A3EC0">
        <w:t xml:space="preserve">5), Rådets direktiv (EU) </w:t>
      </w:r>
      <w:r w:rsidRPr="00113B2A">
        <w:t>2018/822 af 25. maj 2018 om ændring af direktiv 2011/16/EU for så vidt angår obligatorisk automatisk udveksling af oplysninger på beskatningsområdet i forbindelse med indberetningspligtige grænseoverskridende ordninger</w:t>
      </w:r>
      <w:r w:rsidRPr="007A20DD">
        <w:rPr>
          <w:rStyle w:val="FootnoteReference"/>
        </w:rPr>
        <w:footnoteReference w:id="10"/>
      </w:r>
      <w:r w:rsidRPr="007A20DD">
        <w:t xml:space="preserve"> (DAC </w:t>
      </w:r>
      <w:r w:rsidRPr="000A3EC0">
        <w:t xml:space="preserve">6) og Rådets direktiv (EU) </w:t>
      </w:r>
      <w:r w:rsidRPr="00113B2A">
        <w:t>2021/514 af 22. marts 2021 om ændring af direktiv 2011/16/EU om administrativt samarbejde på beskatningsområdet</w:t>
      </w:r>
      <w:r w:rsidRPr="007A20DD">
        <w:rPr>
          <w:rStyle w:val="FootnoteReference"/>
        </w:rPr>
        <w:footnoteReference w:id="11"/>
      </w:r>
      <w:r w:rsidRPr="007A20DD">
        <w:t xml:space="preserve"> (DAC </w:t>
      </w:r>
      <w:r w:rsidRPr="000A3EC0">
        <w:t>7),</w:t>
      </w:r>
    </w:p>
    <w:p w:rsidR="00FB1215" w:rsidRPr="000A3EC0" w:rsidRDefault="00FB1215" w:rsidP="00FB1215">
      <w:pPr>
        <w:pStyle w:val="NormalHanging12a"/>
      </w:pPr>
      <w:r w:rsidRPr="00113B2A">
        <w:t>–</w:t>
      </w:r>
      <w:r w:rsidRPr="00113B2A">
        <w:tab/>
        <w:t>der henviser til Rådets direktiv (EU) 2017/1852 af 10. oktober 2017 om skattetvistbilæggelsesmekanismer i Den Europæiske Union</w:t>
      </w:r>
      <w:r w:rsidRPr="007A20DD">
        <w:rPr>
          <w:rStyle w:val="FootnoteReference"/>
        </w:rPr>
        <w:footnoteReference w:id="12"/>
      </w:r>
      <w:r w:rsidRPr="007A20DD">
        <w:t xml:space="preserve"> (EU's tvistbilæggelsesdirektiv),</w:t>
      </w:r>
    </w:p>
    <w:p w:rsidR="00FB1215" w:rsidRPr="000A3EC0" w:rsidRDefault="00FB1215" w:rsidP="00FB1215">
      <w:pPr>
        <w:pStyle w:val="NormalHanging12a"/>
      </w:pPr>
      <w:r w:rsidRPr="00113B2A">
        <w:t>–</w:t>
      </w:r>
      <w:r w:rsidRPr="00113B2A">
        <w:tab/>
        <w:t>der henviser til Europa-Parlamentets og Rådets direktiv (EU) 2021/2101 af 24. november 2021 om ændring af direktiv 2013/34/EU for så vidt angår offentliggørelse af selskabsskatteoplysninger for visse virksomheder og filialer</w:t>
      </w:r>
      <w:r w:rsidRPr="007A20DD">
        <w:rPr>
          <w:rStyle w:val="FootnoteReference"/>
        </w:rPr>
        <w:footnoteReference w:id="13"/>
      </w:r>
      <w:r w:rsidRPr="007A20DD">
        <w:t xml:space="preserve"> (direktivet om offentlig landeopdelt rapportering),</w:t>
      </w:r>
    </w:p>
    <w:p w:rsidR="00FB1215" w:rsidRPr="000A3EC0" w:rsidRDefault="00FB1215" w:rsidP="00FB1215">
      <w:pPr>
        <w:pStyle w:val="NormalHanging12a"/>
      </w:pPr>
      <w:r w:rsidRPr="00113B2A">
        <w:t>–</w:t>
      </w:r>
      <w:r w:rsidRPr="00113B2A">
        <w:tab/>
        <w:t>der henviser til Rådets direktiv (EU) 2022/2523 af 14. december 2022 om sikring af en global minimumsskattesats for multinationale koncerner og store nationale koncerner i Unionen</w:t>
      </w:r>
      <w:r w:rsidRPr="007A20DD">
        <w:rPr>
          <w:rStyle w:val="FootnoteReference"/>
        </w:rPr>
        <w:footnoteReference w:id="14"/>
      </w:r>
      <w:r w:rsidRPr="007A20DD">
        <w:t xml:space="preserve"> (søjle II-direktivet</w:t>
      </w:r>
      <w:r w:rsidRPr="000A3EC0">
        <w:t>),</w:t>
      </w:r>
    </w:p>
    <w:p w:rsidR="00FB1215" w:rsidRPr="00113B2A" w:rsidRDefault="00FB1215" w:rsidP="00FB1215">
      <w:pPr>
        <w:pStyle w:val="NormalHanging12a"/>
      </w:pPr>
      <w:r w:rsidRPr="00113B2A">
        <w:t>–</w:t>
      </w:r>
      <w:r w:rsidRPr="00113B2A">
        <w:tab/>
        <w:t>der henviser til Kommissionens forslag, der afventer vedtagelse, navnlig om et fælles selskabsskattegrundlag (</w:t>
      </w:r>
      <w:proofErr w:type="gramStart"/>
      <w:r w:rsidRPr="00113B2A">
        <w:t>COM(</w:t>
      </w:r>
      <w:proofErr w:type="gramEnd"/>
      <w:r w:rsidRPr="00113B2A">
        <w:t>2016)0685), om et fælles konsolideret selskabsskattegrundlag (COM(2016)0683) og en pakke om digital beskatning (COM(2018)0147 og COM(2018)0148), samt til Parlamentets holdninger til disse forslag,</w:t>
      </w:r>
    </w:p>
    <w:p w:rsidR="00FB1215" w:rsidRPr="000A3EC0" w:rsidRDefault="00FB1215" w:rsidP="00FB1215">
      <w:pPr>
        <w:widowControl/>
        <w:spacing w:after="240"/>
        <w:ind w:left="567" w:hanging="567"/>
      </w:pPr>
      <w:r w:rsidRPr="00113B2A">
        <w:t>–</w:t>
      </w:r>
      <w:r w:rsidRPr="00113B2A">
        <w:tab/>
        <w:t>der henviser til Kommissionens meddelelse af 15. januar 2019 med titlen "På vej mod en mere effektiv og demokratisk beslutningstagning inden for EU's skattepolitik"</w:t>
      </w:r>
      <w:r w:rsidRPr="007A20DD">
        <w:rPr>
          <w:rStyle w:val="FootnoteReference"/>
        </w:rPr>
        <w:footnoteReference w:id="15"/>
      </w:r>
      <w:r w:rsidRPr="007A20DD">
        <w:t>,</w:t>
      </w:r>
    </w:p>
    <w:p w:rsidR="00FB1215" w:rsidRPr="00113B2A" w:rsidRDefault="00FB1215" w:rsidP="00FB1215">
      <w:pPr>
        <w:pStyle w:val="NormalHanging12a"/>
      </w:pPr>
      <w:r w:rsidRPr="00113B2A">
        <w:t>–</w:t>
      </w:r>
      <w:r w:rsidRPr="00113B2A">
        <w:tab/>
        <w:t>der henviser til Kommissionens meddelelse af 15. juli 2020 med titlen "En handlingsplan for en retfærdig og enkel beskatning til støtte for genopretningsstrategien" (</w:t>
      </w:r>
      <w:proofErr w:type="gramStart"/>
      <w:r w:rsidRPr="00113B2A">
        <w:t>COM(</w:t>
      </w:r>
      <w:proofErr w:type="gramEnd"/>
      <w:r w:rsidRPr="00113B2A">
        <w:t>2020)0312),</w:t>
      </w:r>
    </w:p>
    <w:p w:rsidR="00FB1215" w:rsidRPr="00113B2A" w:rsidRDefault="00FB1215" w:rsidP="00FB1215">
      <w:pPr>
        <w:pStyle w:val="NormalHanging12a"/>
      </w:pPr>
      <w:r w:rsidRPr="00113B2A">
        <w:t>–</w:t>
      </w:r>
      <w:r w:rsidRPr="00113B2A">
        <w:tab/>
        <w:t>der henviser til Kommissionens meddelelse af 18. maj 2021 med titlen "Erhvervsbeskatning i det 21. århundrede" (</w:t>
      </w:r>
      <w:proofErr w:type="gramStart"/>
      <w:r w:rsidRPr="00113B2A">
        <w:t>COM(</w:t>
      </w:r>
      <w:proofErr w:type="gramEnd"/>
      <w:r w:rsidRPr="00113B2A">
        <w:t>2021)0251),</w:t>
      </w:r>
    </w:p>
    <w:p w:rsidR="00FB1215" w:rsidRPr="000A3EC0" w:rsidRDefault="00FB1215" w:rsidP="00FB1215">
      <w:pPr>
        <w:pStyle w:val="NormalHanging12a"/>
      </w:pPr>
      <w:r w:rsidRPr="00113B2A">
        <w:t>–</w:t>
      </w:r>
      <w:r w:rsidRPr="00113B2A">
        <w:rPr>
          <w:b/>
          <w:i/>
        </w:rPr>
        <w:tab/>
      </w:r>
      <w:r w:rsidRPr="00113B2A">
        <w:t>der henviser til Kommissionens meddelelse af 22. december 2021 med titlen "Næste generation af egne indtægter til EU-budgettet"</w:t>
      </w:r>
      <w:r w:rsidRPr="007A20DD">
        <w:rPr>
          <w:rStyle w:val="FootnoteReference"/>
        </w:rPr>
        <w:footnoteReference w:id="16"/>
      </w:r>
      <w:r w:rsidRPr="007A20DD">
        <w:t>,</w:t>
      </w:r>
    </w:p>
    <w:p w:rsidR="00FB1215" w:rsidRPr="000A3EC0" w:rsidRDefault="00FB1215" w:rsidP="00FB1215">
      <w:pPr>
        <w:pStyle w:val="NormalHanging12a"/>
      </w:pPr>
      <w:r w:rsidRPr="00113B2A">
        <w:t>–</w:t>
      </w:r>
      <w:r w:rsidRPr="00113B2A">
        <w:tab/>
        <w:t>der henviser til Kommissionens forslag af 22. december 2021 til Rådets direktiv om sikring af en global minimumsskattesats for multinationale koncerner i Unionen (COM(2021)0823) samt til Parlamentets holdning til dette forslag</w:t>
      </w:r>
      <w:r w:rsidRPr="007A20DD">
        <w:rPr>
          <w:rStyle w:val="FootnoteReference"/>
        </w:rPr>
        <w:footnoteReference w:id="17"/>
      </w:r>
      <w:r w:rsidRPr="007A20DD">
        <w:t>,</w:t>
      </w:r>
    </w:p>
    <w:p w:rsidR="00FB1215" w:rsidRPr="000A3EC0" w:rsidRDefault="00FB1215" w:rsidP="00FB1215">
      <w:pPr>
        <w:widowControl/>
        <w:spacing w:after="240"/>
        <w:ind w:left="567" w:hanging="567"/>
        <w:rPr>
          <w:vertAlign w:val="superscript"/>
        </w:rPr>
      </w:pPr>
      <w:r w:rsidRPr="00113B2A">
        <w:t>–</w:t>
      </w:r>
      <w:r w:rsidRPr="00113B2A">
        <w:tab/>
        <w:t>der henviser til Kommissionens meddelelse af 20. juni 2023 med titlen "En justeret pakke for næste generation af egne indtægter"</w:t>
      </w:r>
      <w:r w:rsidRPr="007A20DD">
        <w:rPr>
          <w:rStyle w:val="FootnoteReference"/>
        </w:rPr>
        <w:footnoteReference w:id="18"/>
      </w:r>
      <w:r w:rsidRPr="007A20DD">
        <w:t>,</w:t>
      </w:r>
    </w:p>
    <w:p w:rsidR="00FB1215" w:rsidRPr="00113B2A" w:rsidRDefault="00FB1215" w:rsidP="00FB1215">
      <w:pPr>
        <w:pStyle w:val="NormalHanging12a"/>
      </w:pPr>
      <w:r w:rsidRPr="00113B2A">
        <w:t>–</w:t>
      </w:r>
      <w:r w:rsidRPr="00113B2A">
        <w:tab/>
        <w:t>der henviser til konklusionerne fra mødet i Rådet (økonomi og finans) den 6. december 2022,</w:t>
      </w:r>
    </w:p>
    <w:p w:rsidR="00FB1215" w:rsidRPr="00113B2A" w:rsidRDefault="00FB1215" w:rsidP="00FB1215">
      <w:pPr>
        <w:pStyle w:val="NormalHanging12a"/>
      </w:pPr>
      <w:r w:rsidRPr="00113B2A">
        <w:t>–</w:t>
      </w:r>
      <w:r w:rsidRPr="00113B2A">
        <w:tab/>
        <w:t>der henviser til Kommissionens undersøgelse fra januar 2022 med titlen "</w:t>
      </w:r>
      <w:proofErr w:type="spellStart"/>
      <w:r w:rsidRPr="00113B2A">
        <w:t>Tax</w:t>
      </w:r>
      <w:proofErr w:type="spellEnd"/>
      <w:r w:rsidRPr="00113B2A">
        <w:t xml:space="preserve"> </w:t>
      </w:r>
      <w:proofErr w:type="spellStart"/>
      <w:r w:rsidRPr="00113B2A">
        <w:t>compliance</w:t>
      </w:r>
      <w:proofErr w:type="spellEnd"/>
      <w:r w:rsidRPr="00113B2A">
        <w:t xml:space="preserve"> </w:t>
      </w:r>
      <w:proofErr w:type="spellStart"/>
      <w:r w:rsidRPr="00113B2A">
        <w:t>costs</w:t>
      </w:r>
      <w:proofErr w:type="spellEnd"/>
      <w:r w:rsidRPr="00113B2A">
        <w:t xml:space="preserve"> for </w:t>
      </w:r>
      <w:proofErr w:type="spellStart"/>
      <w:r w:rsidRPr="00113B2A">
        <w:t>SMEs</w:t>
      </w:r>
      <w:proofErr w:type="spellEnd"/>
      <w:r w:rsidRPr="00113B2A">
        <w:t xml:space="preserve"> – An </w:t>
      </w:r>
      <w:proofErr w:type="spellStart"/>
      <w:r w:rsidRPr="00113B2A">
        <w:t>update</w:t>
      </w:r>
      <w:proofErr w:type="spellEnd"/>
      <w:r w:rsidRPr="00113B2A">
        <w:t xml:space="preserve"> and a </w:t>
      </w:r>
      <w:proofErr w:type="spellStart"/>
      <w:r w:rsidRPr="00113B2A">
        <w:t>complement</w:t>
      </w:r>
      <w:proofErr w:type="spellEnd"/>
      <w:r w:rsidRPr="00113B2A">
        <w:t xml:space="preserve">: final </w:t>
      </w:r>
      <w:proofErr w:type="spellStart"/>
      <w:r w:rsidRPr="00113B2A">
        <w:t>report</w:t>
      </w:r>
      <w:proofErr w:type="spellEnd"/>
      <w:r w:rsidRPr="00113B2A">
        <w:t>" (</w:t>
      </w:r>
      <w:proofErr w:type="spellStart"/>
      <w:r w:rsidRPr="00113B2A">
        <w:t>SMV'ers</w:t>
      </w:r>
      <w:proofErr w:type="spellEnd"/>
      <w:r w:rsidRPr="00113B2A">
        <w:t xml:space="preserve"> omkostninger til overholdelse af skatteregler – en opdatering og et supplement: endelig rapport),</w:t>
      </w:r>
    </w:p>
    <w:p w:rsidR="00FB1215" w:rsidRPr="000A3EC0" w:rsidRDefault="00FB1215" w:rsidP="00FB1215">
      <w:pPr>
        <w:pStyle w:val="NormalHanging12a"/>
      </w:pPr>
      <w:r w:rsidRPr="00113B2A">
        <w:t>–</w:t>
      </w:r>
      <w:r w:rsidRPr="00113B2A">
        <w:tab/>
        <w:t>der henviser til rapporten om det endelige resultat af konferencen om Europas fremtid og til Europa-Parlamentets beslutning af 4. maj 2022 om opfølgning på konferencen om Europas fremtid</w:t>
      </w:r>
      <w:r w:rsidRPr="007A20DD">
        <w:rPr>
          <w:rStyle w:val="FootnoteReference"/>
        </w:rPr>
        <w:footnoteReference w:id="19"/>
      </w:r>
      <w:r w:rsidRPr="007A20DD">
        <w:t>,</w:t>
      </w:r>
    </w:p>
    <w:p w:rsidR="00FB1215" w:rsidRPr="00113B2A" w:rsidRDefault="00FB1215" w:rsidP="00FB1215">
      <w:pPr>
        <w:pStyle w:val="NormalHanging12a"/>
      </w:pPr>
      <w:r w:rsidRPr="00113B2A">
        <w:t>–</w:t>
      </w:r>
      <w:r w:rsidRPr="00113B2A">
        <w:tab/>
        <w:t>der henviser til Kommissionens forslag af 11. maj 2022 til Rådets direktiv om fastsættelse af regler om et fradrag til reduktion af skævvridningen mellem gæld og egenkapital og om begrænsning af fradragsretten for renter i forbindelse med selskabsskat (</w:t>
      </w:r>
      <w:proofErr w:type="gramStart"/>
      <w:r w:rsidRPr="00113B2A">
        <w:t>COM(</w:t>
      </w:r>
      <w:proofErr w:type="gramEnd"/>
      <w:r w:rsidRPr="00113B2A">
        <w:t>2022)0216),</w:t>
      </w:r>
    </w:p>
    <w:p w:rsidR="00FB1215" w:rsidRPr="00113B2A" w:rsidRDefault="00FB1215" w:rsidP="00FB1215">
      <w:pPr>
        <w:pStyle w:val="NormalHanging12a"/>
      </w:pPr>
      <w:r w:rsidRPr="00113B2A">
        <w:t>–</w:t>
      </w:r>
      <w:r w:rsidRPr="00113B2A">
        <w:tab/>
        <w:t xml:space="preserve">der henviser til Rådets forordning </w:t>
      </w:r>
      <w:r w:rsidR="00F83A9B">
        <w:t xml:space="preserve">(EU) </w:t>
      </w:r>
      <w:bookmarkStart w:id="8" w:name="_GoBack"/>
      <w:bookmarkEnd w:id="8"/>
      <w:r w:rsidRPr="00113B2A">
        <w:t>2022/1854 af 6. oktober 2022 om et nødindgreb for at imødegå høje energipriser,</w:t>
      </w:r>
    </w:p>
    <w:p w:rsidR="00FB1215" w:rsidRPr="00113B2A" w:rsidRDefault="00FB1215" w:rsidP="00FB1215">
      <w:pPr>
        <w:pStyle w:val="NormalHanging12a"/>
      </w:pPr>
      <w:r w:rsidRPr="00113B2A">
        <w:t>–</w:t>
      </w:r>
      <w:r w:rsidRPr="00113B2A">
        <w:tab/>
        <w:t xml:space="preserve">der henviser til Kommissionens opfordring til indsendelse af dokumentation vedrørende en konsekvensanalyse af 13. oktober 2022 om forslag til Rådets direktiv om "Business in Europe: Framework for </w:t>
      </w:r>
      <w:proofErr w:type="spellStart"/>
      <w:r w:rsidRPr="00113B2A">
        <w:t>Income</w:t>
      </w:r>
      <w:proofErr w:type="spellEnd"/>
      <w:r w:rsidRPr="00113B2A">
        <w:t xml:space="preserve"> </w:t>
      </w:r>
      <w:proofErr w:type="spellStart"/>
      <w:r w:rsidRPr="00113B2A">
        <w:t>Taxation</w:t>
      </w:r>
      <w:proofErr w:type="spellEnd"/>
      <w:r w:rsidRPr="00113B2A">
        <w:t xml:space="preserve"> (BEFIT)" (Erhvervslivet i Europa: en ramme for indkomstbeskatning (BEFIT)),</w:t>
      </w:r>
    </w:p>
    <w:p w:rsidR="00FB1215" w:rsidRPr="00113B2A" w:rsidRDefault="00FB1215" w:rsidP="00FB1215">
      <w:pPr>
        <w:pStyle w:val="NormalHanging12a"/>
      </w:pPr>
      <w:r w:rsidRPr="00113B2A">
        <w:t>–</w:t>
      </w:r>
      <w:r w:rsidRPr="00113B2A">
        <w:tab/>
        <w:t xml:space="preserve">der henviser til talen afholdt af Kommissionens formand, Ursula von der </w:t>
      </w:r>
      <w:proofErr w:type="spellStart"/>
      <w:r w:rsidRPr="00113B2A">
        <w:t>Leyen</w:t>
      </w:r>
      <w:proofErr w:type="spellEnd"/>
      <w:r w:rsidRPr="00113B2A">
        <w:t>, på Europa-Parlamentets plenarmøde den 19. oktober 2022 om forberedelserne til Det Europæiske Råds møde den 20.-21. oktober 2022,</w:t>
      </w:r>
    </w:p>
    <w:p w:rsidR="00FB1215" w:rsidRPr="00113B2A" w:rsidRDefault="00FB1215" w:rsidP="00FB1215">
      <w:pPr>
        <w:pStyle w:val="NormalHanging12a"/>
        <w:rPr>
          <w:b/>
          <w:i/>
        </w:rPr>
      </w:pPr>
      <w:r w:rsidRPr="00113B2A">
        <w:t>–</w:t>
      </w:r>
      <w:r w:rsidRPr="00113B2A">
        <w:tab/>
        <w:t xml:space="preserve">der henviser til talen om Unionens tilstand afholdt af Kommissionens formand, Ursula von der </w:t>
      </w:r>
      <w:proofErr w:type="spellStart"/>
      <w:r w:rsidRPr="00113B2A">
        <w:t>Leyen</w:t>
      </w:r>
      <w:proofErr w:type="spellEnd"/>
      <w:r w:rsidRPr="00113B2A">
        <w:t>, på Europa-Parlamentets plenarmøde i september 2022,</w:t>
      </w:r>
    </w:p>
    <w:p w:rsidR="00FB1215" w:rsidRPr="00113B2A" w:rsidRDefault="00FB1215" w:rsidP="00FB1215">
      <w:pPr>
        <w:pStyle w:val="NormalHanging12a"/>
      </w:pPr>
      <w:r w:rsidRPr="00113B2A">
        <w:t>–</w:t>
      </w:r>
      <w:r w:rsidRPr="00113B2A">
        <w:tab/>
        <w:t>der henviser til Kommissionens landespecifikke rapporter for 2023 i sit europæiske semester,</w:t>
      </w:r>
    </w:p>
    <w:p w:rsidR="00FB1215" w:rsidRPr="00113B2A" w:rsidRDefault="00FB1215" w:rsidP="00FB1215">
      <w:pPr>
        <w:pStyle w:val="NormalHanging12a"/>
      </w:pPr>
      <w:r w:rsidRPr="00113B2A">
        <w:t>–</w:t>
      </w:r>
      <w:r w:rsidRPr="00113B2A">
        <w:tab/>
        <w:t>der henviser til Kommissionens meddelelse af 16. marts 2023 med titlen "EU's konkurrenceevne på lang sigt efter 2030" (</w:t>
      </w:r>
      <w:proofErr w:type="gramStart"/>
      <w:r w:rsidRPr="00113B2A">
        <w:t>COM(</w:t>
      </w:r>
      <w:proofErr w:type="gramEnd"/>
      <w:r w:rsidRPr="00113B2A">
        <w:t>2023)0168),</w:t>
      </w:r>
    </w:p>
    <w:p w:rsidR="00FB1215" w:rsidRPr="000A3EC0" w:rsidRDefault="00FB1215" w:rsidP="00FB1215">
      <w:pPr>
        <w:pStyle w:val="NormalHanging12a"/>
        <w:rPr>
          <w:vertAlign w:val="superscript"/>
        </w:rPr>
      </w:pPr>
      <w:r w:rsidRPr="00113B2A">
        <w:t>–</w:t>
      </w:r>
      <w:r w:rsidRPr="00113B2A">
        <w:tab/>
        <w:t>der henviser til Kommissionens årsberetning om beskatning 2023</w:t>
      </w:r>
      <w:r w:rsidRPr="007A20DD">
        <w:rPr>
          <w:rStyle w:val="FootnoteReference"/>
        </w:rPr>
        <w:footnoteReference w:id="20"/>
      </w:r>
      <w:r w:rsidRPr="007A20DD">
        <w:t>,</w:t>
      </w:r>
    </w:p>
    <w:p w:rsidR="00FB1215" w:rsidRPr="00113B2A" w:rsidRDefault="00FB1215" w:rsidP="00FB1215">
      <w:pPr>
        <w:pStyle w:val="NormalHanging12a"/>
      </w:pPr>
      <w:r w:rsidRPr="00113B2A">
        <w:t>–</w:t>
      </w:r>
      <w:r w:rsidRPr="00113B2A">
        <w:tab/>
        <w:t>der henviser til Det Europæiske Råds konklusioner af 23. marts 2023,</w:t>
      </w:r>
    </w:p>
    <w:p w:rsidR="00FB1215" w:rsidRPr="000A3EC0" w:rsidRDefault="00FB1215" w:rsidP="00FB1215">
      <w:pPr>
        <w:pStyle w:val="NormalHanging12a"/>
      </w:pPr>
      <w:r w:rsidRPr="00113B2A">
        <w:t>–</w:t>
      </w:r>
      <w:r w:rsidRPr="00113B2A">
        <w:tab/>
        <w:t>der henviser til sin beslutning af 7. oktober 2021 om reform af EU's politik om skadelig skattepraksis</w:t>
      </w:r>
      <w:r w:rsidRPr="007A20DD">
        <w:rPr>
          <w:vertAlign w:val="superscript"/>
        </w:rPr>
        <w:footnoteReference w:id="21"/>
      </w:r>
      <w:r w:rsidRPr="007A20DD">
        <w:t xml:space="preserve"> (herunder reformen af Gruppen vedrørende Adfærdskodeksen),</w:t>
      </w:r>
    </w:p>
    <w:p w:rsidR="00FB1215" w:rsidRPr="000A3EC0" w:rsidRDefault="00FB1215" w:rsidP="00FB1215">
      <w:pPr>
        <w:pStyle w:val="NormalHanging12a"/>
      </w:pPr>
      <w:r w:rsidRPr="00113B2A">
        <w:t>–</w:t>
      </w:r>
      <w:r w:rsidRPr="00113B2A">
        <w:tab/>
        <w:t>der henviser til sin beslutning af 15. februar 2022 om de nationale skattereformers indvirkning på EU's økonomi</w:t>
      </w:r>
      <w:r w:rsidRPr="007A20DD">
        <w:rPr>
          <w:vertAlign w:val="superscript"/>
        </w:rPr>
        <w:footnoteReference w:id="22"/>
      </w:r>
      <w:r w:rsidRPr="007A20DD">
        <w:t>,</w:t>
      </w:r>
    </w:p>
    <w:p w:rsidR="00FB1215" w:rsidRPr="000A3EC0" w:rsidRDefault="00FB1215" w:rsidP="00FB1215">
      <w:pPr>
        <w:pStyle w:val="NormalHanging12a"/>
      </w:pPr>
      <w:r w:rsidRPr="00113B2A">
        <w:t>–</w:t>
      </w:r>
      <w:r w:rsidRPr="00113B2A">
        <w:tab/>
        <w:t>der henviser til sin beslutning af 10. marts 2022 med henstillinger til Kommissionen om en retfærdig og enkel beskatning til støtte for genopretningsstrategien (Europa-Parlamentets opfølgning på Kommissionens handlingsplan fra juli og dens 25 initiativer på området moms, erhvervsbeskatning og individuel beskatning)</w:t>
      </w:r>
      <w:r w:rsidRPr="007A20DD">
        <w:rPr>
          <w:vertAlign w:val="superscript"/>
        </w:rPr>
        <w:footnoteReference w:id="23"/>
      </w:r>
      <w:r w:rsidRPr="007A20DD">
        <w:t>,</w:t>
      </w:r>
    </w:p>
    <w:p w:rsidR="00FB1215" w:rsidRPr="00113B2A" w:rsidRDefault="00FB1215" w:rsidP="00FB1215">
      <w:pPr>
        <w:widowControl/>
        <w:spacing w:after="240"/>
        <w:ind w:left="567" w:hanging="567"/>
        <w:rPr>
          <w:vertAlign w:val="superscript"/>
        </w:rPr>
      </w:pPr>
      <w:r w:rsidRPr="00113B2A">
        <w:t>–</w:t>
      </w:r>
      <w:r w:rsidRPr="00113B2A">
        <w:tab/>
        <w:t>der henviser til sin beslutning af 10. marts 2022 om en europæisk ramme for kildeskat</w:t>
      </w:r>
      <w:r w:rsidRPr="007A20DD">
        <w:rPr>
          <w:rStyle w:val="FootnoteReference"/>
        </w:rPr>
        <w:footnoteReference w:id="24"/>
      </w:r>
      <w:r w:rsidRPr="007A20DD">
        <w:t>,</w:t>
      </w:r>
      <w:r w:rsidRPr="000A3EC0">
        <w:rPr>
          <w:vertAlign w:val="superscript"/>
        </w:rPr>
        <w:t xml:space="preserve"> </w:t>
      </w:r>
    </w:p>
    <w:p w:rsidR="00FB1215" w:rsidRPr="000A3EC0" w:rsidRDefault="00FB1215" w:rsidP="00FB1215">
      <w:pPr>
        <w:pStyle w:val="NormalHanging12a"/>
      </w:pPr>
      <w:r w:rsidRPr="00113B2A">
        <w:t>–</w:t>
      </w:r>
      <w:r w:rsidRPr="00113B2A">
        <w:tab/>
        <w:t xml:space="preserve">der henviser til sin beslutning af 4. oktober 2022 om nye teknologiers indvirkning på beskatning: </w:t>
      </w:r>
      <w:proofErr w:type="spellStart"/>
      <w:r w:rsidRPr="00113B2A">
        <w:t>krypto</w:t>
      </w:r>
      <w:proofErr w:type="spellEnd"/>
      <w:r w:rsidRPr="00113B2A">
        <w:t xml:space="preserve">- og </w:t>
      </w:r>
      <w:proofErr w:type="spellStart"/>
      <w:r w:rsidRPr="00113B2A">
        <w:t>blockchainteknologi</w:t>
      </w:r>
      <w:proofErr w:type="spellEnd"/>
      <w:r w:rsidRPr="007A20DD">
        <w:rPr>
          <w:rStyle w:val="FootnoteReference"/>
        </w:rPr>
        <w:footnoteReference w:id="25"/>
      </w:r>
      <w:r w:rsidRPr="007A20DD">
        <w:t>,</w:t>
      </w:r>
    </w:p>
    <w:p w:rsidR="00FB1215" w:rsidRPr="00113B2A" w:rsidRDefault="00FB1215" w:rsidP="00FB1215">
      <w:pPr>
        <w:pStyle w:val="NormalHanging12a"/>
      </w:pPr>
      <w:r w:rsidRPr="00113B2A">
        <w:t>–</w:t>
      </w:r>
      <w:r w:rsidRPr="00113B2A">
        <w:tab/>
        <w:t xml:space="preserve">der henviser til handlingsplanen af 19. juli 2013 fra Organisationen for Økonomisk Samarbejde og Udvikling (OECD) om udhuling af skattegrundlaget og overførsel af overskud (Base Erosion and Profit </w:t>
      </w:r>
      <w:proofErr w:type="spellStart"/>
      <w:r w:rsidRPr="00113B2A">
        <w:t>Shifting</w:t>
      </w:r>
      <w:proofErr w:type="spellEnd"/>
      <w:r w:rsidRPr="00113B2A">
        <w:t>, BEPS),</w:t>
      </w:r>
    </w:p>
    <w:p w:rsidR="00FB1215" w:rsidRPr="000A3EC0" w:rsidRDefault="00FB1215" w:rsidP="00FB1215">
      <w:pPr>
        <w:pStyle w:val="NormalHanging12a"/>
      </w:pPr>
      <w:r w:rsidRPr="00113B2A">
        <w:t>–</w:t>
      </w:r>
      <w:r w:rsidRPr="00113B2A">
        <w:tab/>
        <w:t>der henviser til Kommissionens undersøgelser om "indikatorer for aggressiv skatteplanlægning"</w:t>
      </w:r>
      <w:r w:rsidRPr="007A20DD">
        <w:rPr>
          <w:rStyle w:val="FootnoteReference"/>
        </w:rPr>
        <w:footnoteReference w:id="26"/>
      </w:r>
      <w:r w:rsidRPr="007A20DD">
        <w:t>,</w:t>
      </w:r>
    </w:p>
    <w:p w:rsidR="00FB1215" w:rsidRPr="00113B2A" w:rsidRDefault="00FB1215" w:rsidP="00FB1215">
      <w:pPr>
        <w:pStyle w:val="NormalHanging12a"/>
      </w:pPr>
      <w:r w:rsidRPr="00113B2A">
        <w:t>–</w:t>
      </w:r>
      <w:r w:rsidRPr="00113B2A">
        <w:tab/>
        <w:t>der henviser til OECD/G20's endelige BEPS-rapporter fra oktober 2015,</w:t>
      </w:r>
    </w:p>
    <w:p w:rsidR="00FB1215" w:rsidRPr="00113B2A" w:rsidRDefault="00FB1215" w:rsidP="00FB1215">
      <w:pPr>
        <w:pStyle w:val="NormalHanging12a"/>
      </w:pPr>
      <w:r w:rsidRPr="00113B2A">
        <w:t>–</w:t>
      </w:r>
      <w:r w:rsidRPr="00113B2A">
        <w:tab/>
        <w:t>der henviser til erklæringen fra OECD/G20's inklusive ramme om BEPS af 8. oktober 2021 med titlen "</w:t>
      </w:r>
      <w:proofErr w:type="spellStart"/>
      <w:r w:rsidRPr="00113B2A">
        <w:t>Two-Pillar</w:t>
      </w:r>
      <w:proofErr w:type="spellEnd"/>
      <w:r w:rsidRPr="00113B2A">
        <w:t xml:space="preserve"> Solution to Address the </w:t>
      </w:r>
      <w:proofErr w:type="spellStart"/>
      <w:r w:rsidRPr="00113B2A">
        <w:t>Tax</w:t>
      </w:r>
      <w:proofErr w:type="spellEnd"/>
      <w:r w:rsidRPr="00113B2A">
        <w:t xml:space="preserve"> Challenges </w:t>
      </w:r>
      <w:proofErr w:type="spellStart"/>
      <w:r w:rsidRPr="00113B2A">
        <w:t>Arising</w:t>
      </w:r>
      <w:proofErr w:type="spellEnd"/>
      <w:r w:rsidRPr="00113B2A">
        <w:t xml:space="preserve"> from the </w:t>
      </w:r>
      <w:proofErr w:type="spellStart"/>
      <w:r w:rsidRPr="00113B2A">
        <w:t>Digitalisation</w:t>
      </w:r>
      <w:proofErr w:type="spellEnd"/>
      <w:r w:rsidRPr="00113B2A">
        <w:t xml:space="preserve"> of the </w:t>
      </w:r>
      <w:proofErr w:type="spellStart"/>
      <w:r w:rsidRPr="00113B2A">
        <w:t>Economy</w:t>
      </w:r>
      <w:proofErr w:type="spellEnd"/>
      <w:r w:rsidRPr="00113B2A">
        <w:t xml:space="preserve">" (En </w:t>
      </w:r>
      <w:proofErr w:type="spellStart"/>
      <w:r w:rsidRPr="00113B2A">
        <w:t>tosøjleløsning</w:t>
      </w:r>
      <w:proofErr w:type="spellEnd"/>
      <w:r w:rsidRPr="00113B2A">
        <w:t xml:space="preserve"> for at tackle de skattemæssige udfordringer, der opstår som følge af digitaliseringen af økonomien), som 138 ud af 141 medlemmer har tilsluttet sig og godkendt pr. 16. december 2022,</w:t>
      </w:r>
    </w:p>
    <w:p w:rsidR="00FB1215" w:rsidRPr="00113B2A" w:rsidRDefault="00FB1215" w:rsidP="00FB1215">
      <w:pPr>
        <w:pStyle w:val="NormalHanging12a"/>
      </w:pPr>
      <w:r w:rsidRPr="00113B2A">
        <w:t>–</w:t>
      </w:r>
      <w:r w:rsidRPr="00113B2A">
        <w:tab/>
        <w:t>der henviser til rapporterne om søjle I- og søjle II-planerne, der blev vedtaget af OECD/G20's inklusive ramme den 14. oktober 2020, og til resultaterne af OECD's økonomiske analyse og konsekvensanalyse af 12. oktober 2020 med titlen "</w:t>
      </w:r>
      <w:proofErr w:type="spellStart"/>
      <w:r w:rsidRPr="00113B2A">
        <w:t>Tax</w:t>
      </w:r>
      <w:proofErr w:type="spellEnd"/>
      <w:r w:rsidRPr="00113B2A">
        <w:t xml:space="preserve"> Challenges Arise from </w:t>
      </w:r>
      <w:proofErr w:type="spellStart"/>
      <w:r w:rsidRPr="00113B2A">
        <w:t>Digitalisation</w:t>
      </w:r>
      <w:proofErr w:type="spellEnd"/>
      <w:r w:rsidRPr="00113B2A">
        <w:t xml:space="preserve"> – </w:t>
      </w:r>
      <w:proofErr w:type="spellStart"/>
      <w:r w:rsidRPr="00113B2A">
        <w:t>Economic</w:t>
      </w:r>
      <w:proofErr w:type="spellEnd"/>
      <w:r w:rsidRPr="00113B2A">
        <w:t xml:space="preserve"> </w:t>
      </w:r>
      <w:proofErr w:type="spellStart"/>
      <w:r w:rsidRPr="00113B2A">
        <w:t>Impact</w:t>
      </w:r>
      <w:proofErr w:type="spellEnd"/>
      <w:r w:rsidRPr="00113B2A">
        <w:t xml:space="preserve"> </w:t>
      </w:r>
      <w:proofErr w:type="spellStart"/>
      <w:r w:rsidRPr="00113B2A">
        <w:t>Assessment</w:t>
      </w:r>
      <w:proofErr w:type="spellEnd"/>
      <w:r w:rsidRPr="00113B2A">
        <w:t>" (skattemæssige udfordringer som følge af digitaliseringen – økonomisk konsekvensanalyse),</w:t>
      </w:r>
    </w:p>
    <w:p w:rsidR="00FB1215" w:rsidRPr="00113B2A" w:rsidRDefault="00FB1215" w:rsidP="00FB1215">
      <w:pPr>
        <w:pStyle w:val="NormalHanging12a"/>
      </w:pPr>
      <w:r w:rsidRPr="00113B2A">
        <w:t>–</w:t>
      </w:r>
      <w:r w:rsidRPr="00113B2A">
        <w:tab/>
        <w:t>der henviser til søjle II-modelreglerne i OECD/G20's inklusive ramme om BEPS af 20. december 2021 om indenlandsk gennemførelse af en global minimumsskat på 15 %,</w:t>
      </w:r>
    </w:p>
    <w:p w:rsidR="00727405" w:rsidRPr="00113B2A" w:rsidRDefault="00FB1215" w:rsidP="00FB1215">
      <w:pPr>
        <w:pStyle w:val="NormalHanging12a"/>
      </w:pPr>
      <w:r w:rsidRPr="00113B2A">
        <w:t>–</w:t>
      </w:r>
      <w:r w:rsidRPr="00113B2A">
        <w:tab/>
        <w:t>der henviser til erklæringen fra OECD/G20's inklusive ramme om udhuling af skattegrundlaget og overførsel af overskud (BEPS) med titlen "</w:t>
      </w:r>
      <w:proofErr w:type="spellStart"/>
      <w:r w:rsidRPr="00113B2A">
        <w:t>Two-Pillar</w:t>
      </w:r>
      <w:proofErr w:type="spellEnd"/>
      <w:r w:rsidRPr="00113B2A">
        <w:t xml:space="preserve"> Solution to Address the </w:t>
      </w:r>
      <w:proofErr w:type="spellStart"/>
      <w:r w:rsidRPr="00113B2A">
        <w:t>Tax</w:t>
      </w:r>
      <w:proofErr w:type="spellEnd"/>
      <w:r w:rsidRPr="00113B2A">
        <w:t xml:space="preserve"> Challenges </w:t>
      </w:r>
      <w:proofErr w:type="spellStart"/>
      <w:r w:rsidRPr="00113B2A">
        <w:t>Arising</w:t>
      </w:r>
      <w:proofErr w:type="spellEnd"/>
      <w:r w:rsidRPr="00113B2A">
        <w:t xml:space="preserve"> from the </w:t>
      </w:r>
      <w:proofErr w:type="spellStart"/>
      <w:r w:rsidRPr="00113B2A">
        <w:t>Digitalisation</w:t>
      </w:r>
      <w:proofErr w:type="spellEnd"/>
      <w:r w:rsidRPr="00113B2A">
        <w:t xml:space="preserve"> of the </w:t>
      </w:r>
      <w:proofErr w:type="spellStart"/>
      <w:r w:rsidRPr="00113B2A">
        <w:t>Economy</w:t>
      </w:r>
      <w:proofErr w:type="spellEnd"/>
      <w:r w:rsidRPr="00113B2A">
        <w:t xml:space="preserve">" (En </w:t>
      </w:r>
      <w:proofErr w:type="spellStart"/>
      <w:r w:rsidRPr="00113B2A">
        <w:t>tosøjleløsning</w:t>
      </w:r>
      <w:proofErr w:type="spellEnd"/>
      <w:r w:rsidRPr="00113B2A">
        <w:t xml:space="preserve"> for at tackle de skattemæssige udfordringer, der opstår som følge af digitaliseringen af økonomien), som 137 ud af 141 medlemmer havde tilsluttet sig og godkendt pr. 4. november 2021,</w:t>
      </w:r>
    </w:p>
    <w:p w:rsidR="00FB1215" w:rsidRPr="00113B2A" w:rsidRDefault="00FB1215" w:rsidP="00FB1215">
      <w:pPr>
        <w:pStyle w:val="NormalHanging12a"/>
      </w:pPr>
      <w:r w:rsidRPr="00113B2A">
        <w:t>–</w:t>
      </w:r>
      <w:r w:rsidRPr="00113B2A">
        <w:tab/>
        <w:t>der henviser</w:t>
      </w:r>
      <w:r w:rsidR="00F83A9B">
        <w:t xml:space="preserve"> til Kommissionens forslag af 19</w:t>
      </w:r>
      <w:r w:rsidRPr="00113B2A">
        <w:t>. juni 2023 til Rådets direktiv om hurtigere og sikrere lempelse af overskydende kildeskat (</w:t>
      </w:r>
      <w:proofErr w:type="gramStart"/>
      <w:r w:rsidRPr="00113B2A">
        <w:t>COM(</w:t>
      </w:r>
      <w:proofErr w:type="gramEnd"/>
      <w:r w:rsidRPr="00113B2A">
        <w:t>2023)0324),</w:t>
      </w:r>
    </w:p>
    <w:p w:rsidR="00FB1215" w:rsidRPr="00113B2A" w:rsidRDefault="00FB1215" w:rsidP="00FB1215">
      <w:pPr>
        <w:pStyle w:val="NormalHanging12a"/>
      </w:pPr>
      <w:r w:rsidRPr="00113B2A">
        <w:t>–</w:t>
      </w:r>
      <w:r w:rsidRPr="00113B2A">
        <w:tab/>
        <w:t xml:space="preserve">der henviser til USA's offentlige lov 117-169 af 16. august 2022, kendt som Inflation </w:t>
      </w:r>
      <w:proofErr w:type="spellStart"/>
      <w:r w:rsidRPr="00113B2A">
        <w:t>Reduction</w:t>
      </w:r>
      <w:proofErr w:type="spellEnd"/>
      <w:r w:rsidRPr="00113B2A">
        <w:t xml:space="preserve"> Act (lov om inflationsreduktion),</w:t>
      </w:r>
    </w:p>
    <w:p w:rsidR="00FB1215" w:rsidRPr="00113B2A" w:rsidRDefault="00FB1215" w:rsidP="00FB1215">
      <w:pPr>
        <w:pStyle w:val="NormalHanging12a"/>
      </w:pPr>
      <w:r w:rsidRPr="00113B2A">
        <w:t>–</w:t>
      </w:r>
      <w:r w:rsidRPr="00113B2A">
        <w:tab/>
        <w:t>der henviser til forretningsordenens artikel 54,</w:t>
      </w:r>
    </w:p>
    <w:p w:rsidR="00FB1215" w:rsidRPr="00113B2A" w:rsidRDefault="00FB1215" w:rsidP="00FB1215">
      <w:pPr>
        <w:pStyle w:val="NormalHanging12a"/>
      </w:pPr>
      <w:r w:rsidRPr="00113B2A">
        <w:t>–</w:t>
      </w:r>
      <w:r w:rsidRPr="00113B2A">
        <w:tab/>
        <w:t>der henviser til skrivelse fra Budgetudvalget,</w:t>
      </w:r>
    </w:p>
    <w:p w:rsidR="00FB1215" w:rsidRPr="00113B2A" w:rsidRDefault="00FB1215" w:rsidP="00FB1215">
      <w:pPr>
        <w:pStyle w:val="NormalHanging12a"/>
      </w:pPr>
      <w:r w:rsidRPr="00113B2A">
        <w:t>–</w:t>
      </w:r>
      <w:r w:rsidRPr="00113B2A">
        <w:tab/>
        <w:t>der henviser til betænkning fra Økonomi- og Valutaudvalget (A9-0359/2023),</w:t>
      </w:r>
    </w:p>
    <w:p w:rsidR="00FB1215" w:rsidRPr="00113B2A" w:rsidRDefault="00FB1215" w:rsidP="00FB1215">
      <w:pPr>
        <w:pStyle w:val="NormalHanging12a"/>
      </w:pPr>
      <w:r w:rsidRPr="00113B2A">
        <w:t>A.</w:t>
      </w:r>
      <w:r w:rsidRPr="00113B2A">
        <w:tab/>
        <w:t>der henviser til, at medlemsstaterne frit kan fastlægge deres egen økonomiske politik, især deres egen skattepolitik, således som det er garanteret i EU-traktaterne, navnlig reglen om enstemmighed, som er nedfældet deri; der henviser til, at et velfungerende skattesystem er i medlemsstaternes interesse for at sikre korrekt skatteopkrævning; der henviser til, at selv om skattepolitikken i vid udstrækning fortsat er medlemsstaternes ansvar, kræver det indre marked koordinering og samarbejde i forbindelse med fastlæggelsen af skattepolitikken for at fremme integrationen af det indre marked, undgå økonomiske fordrejninger og undgå skadelig skattekonkurrence;</w:t>
      </w:r>
    </w:p>
    <w:p w:rsidR="00FB1215" w:rsidRPr="00113B2A" w:rsidRDefault="00FB1215" w:rsidP="00FB1215">
      <w:pPr>
        <w:pStyle w:val="NormalHanging12a"/>
      </w:pPr>
      <w:r w:rsidRPr="00113B2A">
        <w:t>B.</w:t>
      </w:r>
      <w:r w:rsidRPr="00113B2A">
        <w:tab/>
        <w:t xml:space="preserve">der henviser til, at skattepolitik er en national kompetence i henhold til traktaterne, og at skattesuverænitet er et grundlæggende princip i EU's retsorden; der henviser til, at enstemmighed som fastsat i traktaterne skal modsvares af en yderst høj grad af ansvarsfølelse fra medlemsstaterne og være i overensstemmelse med princippet om loyalt samarbejde som omhandlet i artikel 4, stk. 3, i </w:t>
      </w:r>
      <w:r w:rsidR="00727405" w:rsidRPr="00113B2A">
        <w:t>traktaten om Den Europæiske Union</w:t>
      </w:r>
      <w:r w:rsidRPr="00113B2A">
        <w:t>; der henviser til, at denne primærretlige ramme giver mulighed for en høj grad af lovgivningsmæssig koordinering og administrativt samarbejde mellem EU-medlemsstaterne; der henviser til, at en sådan koordinering og et sådant samarbejde er nødvendigt for at bevare det indre markeds integritet og en retfærdig og gennemsigtig skattekonkurrence;</w:t>
      </w:r>
    </w:p>
    <w:p w:rsidR="00FB1215" w:rsidRPr="00113B2A" w:rsidRDefault="00FB1215" w:rsidP="00FB1215">
      <w:pPr>
        <w:pStyle w:val="NormalHanging12a"/>
      </w:pPr>
      <w:r w:rsidRPr="00113B2A">
        <w:t>C.</w:t>
      </w:r>
      <w:r w:rsidRPr="00113B2A">
        <w:tab/>
        <w:t>der henviser til, at princippet om et retfærdigt og effektivt skattesystem ikke nødvendigvis indebærer en højere samlet beskatning;</w:t>
      </w:r>
    </w:p>
    <w:p w:rsidR="00FB1215" w:rsidRPr="00113B2A" w:rsidRDefault="00FB1215" w:rsidP="00FB1215">
      <w:pPr>
        <w:pStyle w:val="NormalHanging12a"/>
      </w:pPr>
      <w:r w:rsidRPr="00113B2A">
        <w:t>D.</w:t>
      </w:r>
      <w:r w:rsidRPr="00113B2A">
        <w:tab/>
        <w:t>der henviser til, at de europæiske borgere kæmper for at få pengene til at slå til, at middelklassen ud over lavindkomsthusholdningerne i stigende grad er påvirket og at en række virksomheder står over for forskellige udfordringer; der henviser til, at andre virksomheder, navnlig i energisektoren, har opnået ekstraordinære fortjenester;</w:t>
      </w:r>
    </w:p>
    <w:p w:rsidR="00FB1215" w:rsidRPr="00113B2A" w:rsidRDefault="00FB1215" w:rsidP="00FB1215">
      <w:pPr>
        <w:pStyle w:val="NormalHanging12a"/>
      </w:pPr>
      <w:r w:rsidRPr="00113B2A">
        <w:t>E.</w:t>
      </w:r>
      <w:r w:rsidRPr="00113B2A">
        <w:tab/>
        <w:t>der henviser til, at 137 ud af 141 medlemmer af OECD/G20's inklusive ramme vedrørende BEPS, herunder alle EU-medlemsstater, fra den 4. november 2021 var enige om reformen af det internationale skattesystem gennem en løsning med to søjler for at imødegå de udfordringer, der følger af digitaliseringen af økonomien, herunder indførelse af multilateralt aftalte begrænsninger for overførsel af overskud;</w:t>
      </w:r>
    </w:p>
    <w:p w:rsidR="00FB1215" w:rsidRPr="00113B2A" w:rsidRDefault="00FB1215" w:rsidP="00FB1215">
      <w:pPr>
        <w:pStyle w:val="NormalHanging12a"/>
      </w:pPr>
      <w:r w:rsidRPr="00113B2A">
        <w:t>F.</w:t>
      </w:r>
      <w:r w:rsidRPr="00113B2A">
        <w:tab/>
        <w:t>der henviser til, at SMV'er i øjeblikket tegner sig for næsten alle virksomheder i den ikkefinansielle erhvervssektor (99,8 %) i Den Europæiske Union (EU-27+1), to tredjedele af den samlede beskæftigelse (66,6 %) i EU-28 og lidt under tre femtedele (56,8 %) af den værditilvækst, der genereres af den ikkefinansielle erhvervssektor i henhold til Kommissionens rapport "</w:t>
      </w:r>
      <w:proofErr w:type="spellStart"/>
      <w:r w:rsidRPr="00113B2A">
        <w:t>Tax</w:t>
      </w:r>
      <w:proofErr w:type="spellEnd"/>
      <w:r w:rsidRPr="00113B2A">
        <w:t xml:space="preserve"> </w:t>
      </w:r>
      <w:proofErr w:type="spellStart"/>
      <w:r w:rsidRPr="00113B2A">
        <w:t>compliance</w:t>
      </w:r>
      <w:proofErr w:type="spellEnd"/>
      <w:r w:rsidRPr="00113B2A">
        <w:t xml:space="preserve"> </w:t>
      </w:r>
      <w:proofErr w:type="spellStart"/>
      <w:r w:rsidRPr="00113B2A">
        <w:t>costs</w:t>
      </w:r>
      <w:proofErr w:type="spellEnd"/>
      <w:r w:rsidRPr="00113B2A">
        <w:t xml:space="preserve"> for </w:t>
      </w:r>
      <w:proofErr w:type="spellStart"/>
      <w:r w:rsidRPr="00113B2A">
        <w:t>SMEs</w:t>
      </w:r>
      <w:proofErr w:type="spellEnd"/>
      <w:r w:rsidRPr="00113B2A">
        <w:t xml:space="preserve">: An </w:t>
      </w:r>
      <w:proofErr w:type="spellStart"/>
      <w:r w:rsidRPr="00113B2A">
        <w:t>update</w:t>
      </w:r>
      <w:proofErr w:type="spellEnd"/>
      <w:r w:rsidRPr="00113B2A">
        <w:t xml:space="preserve"> and a </w:t>
      </w:r>
      <w:proofErr w:type="spellStart"/>
      <w:r w:rsidRPr="00113B2A">
        <w:t>complement</w:t>
      </w:r>
      <w:proofErr w:type="spellEnd"/>
      <w:r w:rsidRPr="00113B2A">
        <w:t xml:space="preserve"> of </w:t>
      </w:r>
      <w:proofErr w:type="spellStart"/>
      <w:r w:rsidRPr="00113B2A">
        <w:t>January</w:t>
      </w:r>
      <w:proofErr w:type="spellEnd"/>
      <w:r w:rsidRPr="00113B2A">
        <w:t> 2022" (omkostninger til overholdelse af skattereglerne for SMV'er: En ajourføring og et supplement til januar 2022);</w:t>
      </w:r>
    </w:p>
    <w:p w:rsidR="00FB1215" w:rsidRPr="00113B2A" w:rsidRDefault="00FB1215" w:rsidP="00FB1215">
      <w:pPr>
        <w:pStyle w:val="NormalHanging12a"/>
      </w:pPr>
      <w:r w:rsidRPr="00113B2A">
        <w:t>G.</w:t>
      </w:r>
      <w:r w:rsidRPr="00113B2A">
        <w:tab/>
        <w:t>der henviser til, at BEPS-handlingsplanen har formået at skabe konsensus inden for OECD/G20's inklusive ramme om BEPS, der samler over 139 lande og jurisdiktioner om mange spørgsmål vedrørende bekæmpelse af skatteundgåelse og aggressiv skatteplanlægning;</w:t>
      </w:r>
    </w:p>
    <w:p w:rsidR="00FB1215" w:rsidRPr="00113B2A" w:rsidRDefault="00FB1215" w:rsidP="00FB1215">
      <w:pPr>
        <w:pStyle w:val="NormalHanging12a"/>
      </w:pPr>
      <w:r w:rsidRPr="00113B2A">
        <w:t>H.</w:t>
      </w:r>
      <w:r w:rsidRPr="00113B2A">
        <w:tab/>
        <w:t>der henviser til, at aggressiv skatteplanlægning kan have en indvirkning på skatteydernes overholdelse af reglerne om overholdelse af skattereglerne og på virksomhedernes konkurrenceevne og stabiliteten af skatteindtægterne; der henviser til, at aggressiv skatteplanlægning og skadelig skattekonkurrence kan have en negativ indvirkning på det indre markeds funktion;</w:t>
      </w:r>
    </w:p>
    <w:p w:rsidR="00FB1215" w:rsidRPr="00113B2A" w:rsidRDefault="00FB1215" w:rsidP="00FB1215">
      <w:pPr>
        <w:pStyle w:val="NormalHanging12a"/>
      </w:pPr>
      <w:r w:rsidRPr="00113B2A">
        <w:t>I.</w:t>
      </w:r>
      <w:r w:rsidRPr="00113B2A">
        <w:tab/>
        <w:t>der henviser til, at EU gik foran med et godt eksempel ved at omsætte internationale aftaler til et stort antal direktiver, der forbedrer koordineringen og EU's bekæmpelse af skattesvig, skatteundgåelse og aggressiv skatteplanlægning; der henviser til, at medlemsstaterne udviste en vis grad af mangfoldighed i håndteringen af OECD's BEPS-handlingsplan;</w:t>
      </w:r>
    </w:p>
    <w:p w:rsidR="00FB1215" w:rsidRPr="00113B2A" w:rsidRDefault="00FB1215" w:rsidP="00FB1215">
      <w:pPr>
        <w:pStyle w:val="NormalHanging12a"/>
      </w:pPr>
      <w:r w:rsidRPr="00113B2A">
        <w:t>J.</w:t>
      </w:r>
      <w:r w:rsidRPr="00113B2A">
        <w:tab/>
        <w:t>der henviser til, at Gruppen vedrørende Adfærdskodeksen (erhvervsbeskatning) fortsætter sin opgave med at identificere og begrænse medlemsstaternes skadelige skatteforanstaltninger; der henviser til, at finansministrene den 8. november 2022 blev enige om at styrke adfærdskodeksen; der henviser til, at nogle virksomheder synes at tilpasse sig nye skatteregler og muligvis anvender aggressive skatteplanlægningsordninger; der henviser til, at den endelige BEPS-pakke til reform af det internationale skattesystem til bekæmpelse af skatteundgåelse blev godkendt af OECD/G20-landene i 2015;</w:t>
      </w:r>
    </w:p>
    <w:p w:rsidR="00FB1215" w:rsidRPr="00113B2A" w:rsidRDefault="00FB1215" w:rsidP="00FB1215">
      <w:pPr>
        <w:pStyle w:val="NormalHanging12a"/>
      </w:pPr>
      <w:r w:rsidRPr="00113B2A">
        <w:t>K.</w:t>
      </w:r>
      <w:r w:rsidRPr="00113B2A">
        <w:tab/>
        <w:t>der henviser til, at den gennemsnitlige samlede selskabsskattesats i EU-landene har været faldende i de seneste årtier, fra 35 % i 1995 til 21,2 % i 2023;</w:t>
      </w:r>
    </w:p>
    <w:p w:rsidR="00FB1215" w:rsidRPr="00113B2A" w:rsidRDefault="00FB1215" w:rsidP="00FB1215">
      <w:pPr>
        <w:pStyle w:val="NormalHanging12a"/>
      </w:pPr>
      <w:r w:rsidRPr="00113B2A">
        <w:t>L.</w:t>
      </w:r>
      <w:r w:rsidRPr="00113B2A">
        <w:tab/>
        <w:t xml:space="preserve">der henviser til, at 143 jurisdiktioner, herunder alle EU's medlemsstater, pr. juni 2023 var blevet enige om en reform af det internationale skattesystem gennem en </w:t>
      </w:r>
      <w:proofErr w:type="spellStart"/>
      <w:r w:rsidRPr="00113B2A">
        <w:t>tosøjleløsning</w:t>
      </w:r>
      <w:proofErr w:type="spellEnd"/>
      <w:r w:rsidRPr="00113B2A">
        <w:t>;</w:t>
      </w:r>
    </w:p>
    <w:p w:rsidR="00FB1215" w:rsidRPr="00113B2A" w:rsidRDefault="00FB1215" w:rsidP="00FB1215">
      <w:pPr>
        <w:pStyle w:val="NormalHanging12a"/>
      </w:pPr>
      <w:r w:rsidRPr="00113B2A">
        <w:t>M.</w:t>
      </w:r>
      <w:r w:rsidRPr="00113B2A">
        <w:tab/>
        <w:t xml:space="preserve">der henviser til, at den juridisk bindende interinstitutionelle aftale af 16. december 2020 indeholder bestemmelser om gennemførelse af en køreplan for nye ressourcer; der henviser til, at de nye egne indtægter, som Kommissionen foreslog i december 2021, skal dække en del af tilbagebetalingen af </w:t>
      </w:r>
      <w:proofErr w:type="spellStart"/>
      <w:r w:rsidRPr="00113B2A">
        <w:t>Next</w:t>
      </w:r>
      <w:proofErr w:type="spellEnd"/>
      <w:r w:rsidRPr="00113B2A">
        <w:t> Generation EU; der henviser til, at Kommissionen i juni 2023 foreslog en egen indtægt knyttet til virksomhedssektoren;</w:t>
      </w:r>
    </w:p>
    <w:p w:rsidR="00FB1215" w:rsidRPr="00113B2A" w:rsidRDefault="00FB1215" w:rsidP="00FB1215">
      <w:pPr>
        <w:pStyle w:val="NormalHanging12a"/>
      </w:pPr>
      <w:r w:rsidRPr="00113B2A">
        <w:t>N.</w:t>
      </w:r>
      <w:r w:rsidRPr="00113B2A">
        <w:tab/>
        <w:t xml:space="preserve">der henviser til, at fragmentering, kompleksitet og utilstrækkelig digitalisering af skattepolitikken bidrager til at skabe forskellige hindringer for virksomheder, herunder SMV-arbejdstagere, selvstændige og borgere i det indre marked, såsom </w:t>
      </w:r>
      <w:proofErr w:type="spellStart"/>
      <w:r w:rsidRPr="00113B2A">
        <w:t>retsusikkerhed</w:t>
      </w:r>
      <w:proofErr w:type="spellEnd"/>
      <w:r w:rsidRPr="00113B2A">
        <w:t>, bureaukrati, risiko for dobbeltbeskatning og vanskeligheder med at anmode om skatterefusion; der henviser til, at disse hindringer hæmmer grænseoverskridende økonomisk aktivitet på det indre marked; der henviser til, at overvindelse af disse hindringer kræver multilateralt samarbejde mellem medlemsstaterne og hurtig gennemførelse i medlemsstaterne af digitale løsninger, der forenkler og reducerer omkostningerne ved skatteoverholdelse for virksomhederne; der henviser til, at fragmentering af skattepolitikken også skaber risici for skattemyndighederne såsom dobbelt ikkebeskatning og arbitragemuligheder (skatteplanlægning); der henviser til, at nogle medlemsstater har udviklet ordninger, der vil medføre lavere beskatning end den nationale nominelle sats og kan stille SMV'er konkurrencemæssigt dårligere;</w:t>
      </w:r>
    </w:p>
    <w:p w:rsidR="00FB1215" w:rsidRPr="00113B2A" w:rsidRDefault="00FB1215" w:rsidP="00FB1215">
      <w:pPr>
        <w:pStyle w:val="NormalHanging12a"/>
      </w:pPr>
      <w:r w:rsidRPr="00113B2A">
        <w:t>O.</w:t>
      </w:r>
      <w:r w:rsidRPr="00113B2A">
        <w:tab/>
        <w:t>der henviser til, at medlemsstaterne vedbliver at miste skatteindtægter som følge af skadelig skattepraksis, og at skønnene over det indtægtstab, der er en følge af selskabers skatteundgåelse, varierer fra 36-37 mia. EUR til 160-190 mia. EUR om året; der henviser til, at fragmentering af politikkerne kan øge håndhævelsesomkostningerne for skattemyndighederne;</w:t>
      </w:r>
    </w:p>
    <w:p w:rsidR="00FB1215" w:rsidRPr="00113B2A" w:rsidRDefault="00FB1215" w:rsidP="00FB1215">
      <w:pPr>
        <w:pStyle w:val="NormalHanging12a"/>
      </w:pPr>
      <w:r w:rsidRPr="00113B2A">
        <w:t>P.</w:t>
      </w:r>
      <w:r w:rsidRPr="00113B2A">
        <w:tab/>
        <w:t>der henviser til, at solidaritetsbidraget fandt anvendelse på visse virksomheders ekstraordinære fortjenester fra energisektoren;</w:t>
      </w:r>
    </w:p>
    <w:p w:rsidR="00FB1215" w:rsidRPr="00113B2A" w:rsidRDefault="00FB1215" w:rsidP="00FB1215">
      <w:pPr>
        <w:pStyle w:val="NormalHanging12a"/>
      </w:pPr>
      <w:r w:rsidRPr="00113B2A">
        <w:t>Q.</w:t>
      </w:r>
      <w:r w:rsidRPr="00113B2A">
        <w:tab/>
        <w:t>der henviser til, at passende skatteniveauer og enkle og klare skattelove inden for EU's sociale markedsøkonomi ikke bør forvride de økonomiske aktørers beslutningstagning; der henviser til, at en forsvarlig skattepolitik bør støtte jobskabelsen og den økonomiske vækst og forbedre EU's og medlemsstaternes konkurrenceevne;</w:t>
      </w:r>
    </w:p>
    <w:p w:rsidR="00FB1215" w:rsidRPr="00113B2A" w:rsidRDefault="00FB1215" w:rsidP="00FB1215">
      <w:pPr>
        <w:pStyle w:val="NormalHanging12a"/>
      </w:pPr>
      <w:r w:rsidRPr="00113B2A">
        <w:t>R.</w:t>
      </w:r>
      <w:r w:rsidRPr="00113B2A">
        <w:tab/>
        <w:t>der henviser til, at en sådan fragmentering af skattepolitikken skal afbødes med øget koordinering og samarbejde og med et klart tilsagn fra medlemsstaterne om hurtig og kompetent gennemførelse af direktiver på beskatningsområdet;</w:t>
      </w:r>
    </w:p>
    <w:p w:rsidR="00FB1215" w:rsidRPr="00113B2A" w:rsidRDefault="00FB1215" w:rsidP="00FB1215">
      <w:pPr>
        <w:widowControl/>
        <w:spacing w:after="240"/>
        <w:ind w:left="567" w:hanging="567"/>
      </w:pPr>
      <w:r w:rsidRPr="00113B2A">
        <w:t>S.</w:t>
      </w:r>
      <w:r w:rsidRPr="00113B2A">
        <w:tab/>
        <w:t>der henviser til, at de fleste selskabsskattesystemer i EU giver mulighed for generøse skattefradrag på rentebetalinger</w:t>
      </w:r>
      <w:r w:rsidRPr="007A20DD">
        <w:rPr>
          <w:rStyle w:val="FootnoteReference"/>
        </w:rPr>
        <w:footnoteReference w:id="27"/>
      </w:r>
      <w:r w:rsidRPr="007A20DD">
        <w:t>; der henviser til, at egenkapitalfinansieringsomkostninger, herunder udbyttebetalinger, ikke kan fradrages på samme måde; der henviser til, at der er en strukturel ulempe for virksomheder, der er afhængige af eg</w:t>
      </w:r>
      <w:r w:rsidRPr="000A3EC0">
        <w:t>enkapitalfinansiering, især hvis de er unge og små virksomheder med ringe adgang til kredit; der henviser til, at denne skævhed skaber problematiske incitamenter til overdreven gældsætning; der henviser til, at kvoter for selskabskapital kan have en indvir</w:t>
      </w:r>
      <w:r w:rsidRPr="00113B2A">
        <w:t>kning på medlemsstaternes skatteindtægter og skal udformes omhyggeligt;</w:t>
      </w:r>
    </w:p>
    <w:p w:rsidR="00FB1215" w:rsidRPr="00113B2A" w:rsidRDefault="00FB1215" w:rsidP="00FB1215">
      <w:pPr>
        <w:widowControl/>
        <w:spacing w:after="240"/>
        <w:ind w:left="567" w:hanging="567"/>
      </w:pPr>
      <w:r w:rsidRPr="00113B2A">
        <w:t>T.</w:t>
      </w:r>
      <w:r w:rsidRPr="00113B2A">
        <w:tab/>
        <w:t>der henviser til, at private virksomheder, herunder SMV'er, spiller en grundlæggende rolle i samfundet ved at være de vigtigste skabere af beskæftigelse; der henviser til, at disse organisationer gennem deres forretningsaktivitet skaber jobmuligheder for millioner af mennesker, hvilket igen driver den økonomiske og sociale udvikling i de samfund, hvor de opererer; der henviser til, at private virksomheder ved at fremme konkurrence og innovation fremmer effektiviteten i fordelingen af ressourcer, hvilket resulterer i øget produktivitet og økonomisk vækst; der henviser til, at privat erhvervsaktivitet også genererer skatteindtægter for staten, som kan bruges til at finansiere væsentlige offentlige tjenester; der henviser til, at private virksomheder som hovedproducenter af beskæftigelse spiller en væsentlig rolle i samfundets økonomiske og sociale udvikling, idet de fremmer fremskridt og forbedrer folks livskvalitet;</w:t>
      </w:r>
    </w:p>
    <w:p w:rsidR="00FB1215" w:rsidRPr="00113B2A" w:rsidRDefault="00FB1215" w:rsidP="00FB1215">
      <w:pPr>
        <w:pStyle w:val="NormalHanging12a"/>
      </w:pPr>
      <w:r w:rsidRPr="00113B2A">
        <w:t>U.</w:t>
      </w:r>
      <w:r w:rsidRPr="00113B2A">
        <w:tab/>
        <w:t xml:space="preserve">der henviser til, at Kommissionen bebudede et forslag om et enkelt sæt skatteregler for at drive forretning i Europa benævnt "Business in Europe: Framework for </w:t>
      </w:r>
      <w:proofErr w:type="spellStart"/>
      <w:r w:rsidRPr="00113B2A">
        <w:t>Income</w:t>
      </w:r>
      <w:proofErr w:type="spellEnd"/>
      <w:r w:rsidRPr="00113B2A">
        <w:t xml:space="preserve"> </w:t>
      </w:r>
      <w:proofErr w:type="spellStart"/>
      <w:r w:rsidRPr="00113B2A">
        <w:t>Taxation</w:t>
      </w:r>
      <w:proofErr w:type="spellEnd"/>
      <w:r w:rsidRPr="00113B2A">
        <w:t xml:space="preserve"> (BEFIT)" (Erhvervslivet i Europa: En ramme for indkomstbeskatning (BEFIT));</w:t>
      </w:r>
    </w:p>
    <w:p w:rsidR="00FB1215" w:rsidRPr="00113B2A" w:rsidRDefault="00FB1215" w:rsidP="00FB1215">
      <w:pPr>
        <w:pStyle w:val="NormalHanging12a"/>
      </w:pPr>
      <w:r w:rsidRPr="00113B2A">
        <w:t>V.</w:t>
      </w:r>
      <w:r w:rsidRPr="00113B2A">
        <w:tab/>
        <w:t>der henviser til, at Kommissionens lovgivningsmæssige fremdrift på beskatningsområdet bør forfølge klare prioriteter i forbindelse med bekæmpelse af skattesvig og skatteundgåelse, fremme af administrativ forenkling samt reduktion af bureaukrati og efterlevelsesomkostninger, navnlig hvad angår SMV'er;</w:t>
      </w:r>
    </w:p>
    <w:p w:rsidR="00FB1215" w:rsidRPr="00113B2A" w:rsidRDefault="00FB1215" w:rsidP="00FB1215">
      <w:pPr>
        <w:pStyle w:val="NormalHanging12a"/>
        <w:rPr>
          <w:b/>
          <w:i/>
        </w:rPr>
      </w:pPr>
      <w:r w:rsidRPr="00113B2A">
        <w:t>1.</w:t>
      </w:r>
      <w:r w:rsidRPr="00113B2A">
        <w:tab/>
        <w:t>minder om, at selv om skattepolitikken i vid udstrækning fortsat henhører under medlemsstaternes ansvarsområde, er skattesamarbejde og harmonisering ved fastlæggelse af skattepolitikken påkrævet af det indre marked; bemærker endvidere, at en fælles skattepolitisk tilgang er afgørende for at tackle skadelig skattekonkurrence og flytning af overskud samt bekæmpe skatteundgåelse og skatteunddragelse; påpeger, at et sådant samarbejde kræver gensidig tillid og god tro fra alle medlemsstaternes side;</w:t>
      </w:r>
    </w:p>
    <w:p w:rsidR="00FB1215" w:rsidRPr="00113B2A" w:rsidRDefault="00FB1215" w:rsidP="00FB1215">
      <w:pPr>
        <w:pStyle w:val="NormalHanging12a"/>
      </w:pPr>
      <w:r w:rsidRPr="00113B2A">
        <w:t>2</w:t>
      </w:r>
      <w:r w:rsidRPr="00113B2A">
        <w:rPr>
          <w:b/>
          <w:i/>
        </w:rPr>
        <w:t>.</w:t>
      </w:r>
      <w:r w:rsidRPr="00113B2A">
        <w:rPr>
          <w:b/>
          <w:i/>
        </w:rPr>
        <w:tab/>
      </w:r>
      <w:r w:rsidRPr="00113B2A">
        <w:t>opfordrer Kommissionen og Rådet til at bistå virksomheder med at forbedre investeringsklimaet og gøre selskabsbeskatningen nemmere at overholde, mere bæredygtig og i højere grad fokuseret på at forbedre Europas konkurrenceevne;</w:t>
      </w:r>
    </w:p>
    <w:p w:rsidR="00FB1215" w:rsidRPr="00113B2A" w:rsidRDefault="00FB1215" w:rsidP="00FB1215">
      <w:pPr>
        <w:pStyle w:val="NormalHanging12a"/>
      </w:pPr>
      <w:r w:rsidRPr="00113B2A">
        <w:t>3</w:t>
      </w:r>
      <w:r w:rsidRPr="00113B2A">
        <w:rPr>
          <w:b/>
          <w:i/>
        </w:rPr>
        <w:t>.</w:t>
      </w:r>
      <w:r w:rsidRPr="00113B2A">
        <w:tab/>
        <w:t>understreger, at EU's medlemsstater har det fulde ansvar for behørig skatteopkrævning, og at de er beføjet til at træffe beslutninger om deres egne skattesystemer, samtidig med at de respekterer det indre marked og de andre medlemsstaters beskatningsrettigheder; gør opmærksom på, at velfungerende skattesystemer og nationale skatteforvaltninger spiller en central rolle for skatteopkrævningen og at et holdbart skatteprovenu i medlemsstaternes offentlige budgetter er vigtigt;</w:t>
      </w:r>
    </w:p>
    <w:p w:rsidR="00FB1215" w:rsidRPr="00113B2A" w:rsidRDefault="00FB1215" w:rsidP="00FB1215">
      <w:pPr>
        <w:pStyle w:val="NormalHanging12a"/>
      </w:pPr>
      <w:r w:rsidRPr="00113B2A">
        <w:t>4.</w:t>
      </w:r>
      <w:r w:rsidRPr="00113B2A">
        <w:tab/>
        <w:t>noterer sig Kommissionens pakke om skatteforenkling for SMV'er og BEFIT; bemærker Det Europæiske Råds konklusioner af 23. marts 2023, hvori der opfordres til at forenkle de generelle lovgivningsmæssige rammer og mindske den administrative byrde, og Kommissionens meddelelser af 16. marts 2023, der understreger, at EU's skatteramme er afgørende for at støtte vækst og private investeringer, navnlig ved at fjerne skattemæssige hindringer for grænseoverskridende investeringer, og at EU's aktive skattepolitiske rolle tilstræber at tackle forvridninger, sikre et velfungerende indre marked og forebygge fragmentering af markedet; understreger behovet for at vedtage løsninger på EU-plan, der er veludformede, kompatible med eksisterende systemer i medlemsstaterne og ikke pålægger virksomheder, navnlig SMV'er, uforholdsmæssige og unødvendige byrder;</w:t>
      </w:r>
    </w:p>
    <w:p w:rsidR="00FB1215" w:rsidRPr="00113B2A" w:rsidRDefault="00FB1215" w:rsidP="00FB1215">
      <w:pPr>
        <w:widowControl/>
        <w:spacing w:after="240"/>
        <w:ind w:left="567" w:hanging="567"/>
        <w:rPr>
          <w:b/>
          <w:i/>
        </w:rPr>
      </w:pPr>
      <w:r w:rsidRPr="00113B2A">
        <w:t>5.</w:t>
      </w:r>
      <w:r w:rsidRPr="00113B2A">
        <w:tab/>
        <w:t>understreger, at det er af afgørende betydning at bekæmpe aggressiv skatteplanlægning</w:t>
      </w:r>
      <w:r w:rsidRPr="007A20DD">
        <w:rPr>
          <w:rStyle w:val="FootnoteReference"/>
        </w:rPr>
        <w:footnoteReference w:id="28"/>
      </w:r>
      <w:r w:rsidRPr="007A20DD">
        <w:t xml:space="preserve"> og skatteunddragelse og samtidig fremme skattemæssig retfærdighed, gennemsigtighed og sikkerhed; gør opmærksom på, at </w:t>
      </w:r>
      <w:r w:rsidRPr="000A3EC0">
        <w:t>bekæmpelse af skatteunddragelse, skatteundgåelse og aggressiv skatteplanlægning vil tilvejebringe yderligere skatteprovenu, hvilket hjælper nationale regeringer med at holde skatterne på et niveau, der understøtter en bæredygtig økonomisk vækst og EU's fin</w:t>
      </w:r>
      <w:r w:rsidRPr="00113B2A">
        <w:t>anspolitiske tiltrækningskraft og konkurrenceevne;</w:t>
      </w:r>
      <w:r w:rsidRPr="00113B2A">
        <w:rPr>
          <w:b/>
          <w:i/>
        </w:rPr>
        <w:t xml:space="preserve"> </w:t>
      </w:r>
    </w:p>
    <w:p w:rsidR="00FB1215" w:rsidRPr="00113B2A" w:rsidRDefault="00FB1215" w:rsidP="00FB1215">
      <w:pPr>
        <w:pStyle w:val="NormalHanging12a"/>
      </w:pPr>
      <w:r w:rsidRPr="00113B2A">
        <w:t>6.</w:t>
      </w:r>
      <w:r w:rsidRPr="00113B2A">
        <w:tab/>
        <w:t xml:space="preserve">opfordrer Kommissionen til at minde medlemsstaterne om at fastholde gennemførelsen af henstillingerne inden for rammerne af det europæiske semester og vurderingen af de nationale genopretnings- og </w:t>
      </w:r>
      <w:proofErr w:type="spellStart"/>
      <w:r w:rsidRPr="00113B2A">
        <w:t>resiliensplaner</w:t>
      </w:r>
      <w:proofErr w:type="spellEnd"/>
      <w:r w:rsidRPr="00113B2A">
        <w:t xml:space="preserve"> med hensyn til aggressiv skatteplanlægning;</w:t>
      </w:r>
    </w:p>
    <w:p w:rsidR="00FB1215" w:rsidRPr="000A3EC0" w:rsidRDefault="00FB1215" w:rsidP="00FB1215">
      <w:pPr>
        <w:pStyle w:val="NormalHanging12a"/>
      </w:pPr>
      <w:r w:rsidRPr="00113B2A">
        <w:t>7.</w:t>
      </w:r>
      <w:r w:rsidRPr="00113B2A">
        <w:tab/>
        <w:t>anerkender EU's tidligere tiltag mod skatteunddragelse og aggressiv overskudsflytning i overensstemmelse med internationale udviklingstendenser på OECD/G20-plan; noterer sig de mange skattedirektiver siden 2011, der har ført til en mere retfærdig, enklere og mere effektiv selskabsbeskatning i EU og til et stort antal forpligtelser til at overholde skattereglerne for virksomheder i EU</w:t>
      </w:r>
      <w:r w:rsidRPr="007A20DD">
        <w:rPr>
          <w:rStyle w:val="FootnoteReference"/>
        </w:rPr>
        <w:footnoteReference w:id="29"/>
      </w:r>
      <w:r w:rsidRPr="007A20DD">
        <w:t>; bemærker, at fordelene ved de nævnte direktiver bør veje tungere</w:t>
      </w:r>
      <w:r w:rsidRPr="000A3EC0">
        <w:t xml:space="preserve"> end deres omkostninger, og at forpligtelserne til at overholde skattereglerne for virksomheder i EU, navnlig SMV'er, ikke bør være uforholdsmæssige; bemærker dog også, at væsentlige direktiver, som blev blokeret i Rådet, bl.a. afgiften på finansielle tran</w:t>
      </w:r>
      <w:r w:rsidRPr="00113B2A">
        <w:t>saktioner eller forslagene til et fælles selskabsskattegrundlag og et fælles konsolideret selskabsskattegrundlag; fremhæver i denne henseende, at Europa-Parlamentet i 2018 vedtog en fælles holdning om direktivet om det fælles konsoliderede selskabsskattegrundlag</w:t>
      </w:r>
      <w:r w:rsidRPr="007A20DD">
        <w:rPr>
          <w:rStyle w:val="FootnoteReference"/>
        </w:rPr>
        <w:footnoteReference w:id="30"/>
      </w:r>
      <w:r w:rsidRPr="007A20DD">
        <w:t>;</w:t>
      </w:r>
    </w:p>
    <w:p w:rsidR="00FB1215" w:rsidRPr="00113B2A" w:rsidRDefault="00FB1215" w:rsidP="00FB1215">
      <w:pPr>
        <w:pStyle w:val="NormalHanging12a"/>
      </w:pPr>
      <w:r w:rsidRPr="00113B2A">
        <w:t>8.</w:t>
      </w:r>
      <w:r w:rsidRPr="00113B2A">
        <w:tab/>
        <w:t>beklager, at medlemsstaterne i nogle tilfælde har gennemført og anvendt skattedirektiver forskelligt, hvilket kan undergrave det indre markeds funktion og føre til manglende tilpasning af skattegrundlaget, mere bureaukrati og højere overholdelsesomkostninger; opfordrer medlemsstaterne til at sikre, at skattedirektiverne gennemføres fuldt ud og lever op til de hensigter, der er fastsat i direktivet; beklager i den henseende, at de nationale skattesystemer, de nationale skatteforvaltninger og i det hele taget forskellene i landenes bredere offentlige forvaltning påvirker regelbyrden, og at dette navnlig er tilfældet for SMV'er, fordi de skal håndtere op til 27 forskellige skattesystemer, som observeret af Kommissionen i januar 2022; opfordrer i denne forbindelse Kommissionen til at fremsætte konsekvente, retfærdige og klare henstillinger om anvendelsen af direktiverne for de enkelte medlemsstater samt om den effektive håndhævelse heraf; opfordrer medlemsstaterne og Europa-Kommissionen til at gøre bedst mulig brug af EU's eksisterende fora til at sikre sammenhængende gennemførelse af EU-skattelovgivning i medlemsstaterne;</w:t>
      </w:r>
    </w:p>
    <w:p w:rsidR="00FB1215" w:rsidRPr="00113B2A" w:rsidRDefault="00FB1215" w:rsidP="00FB1215">
      <w:pPr>
        <w:pStyle w:val="NormalHanging12a"/>
      </w:pPr>
      <w:r w:rsidRPr="00113B2A">
        <w:t>9.</w:t>
      </w:r>
      <w:r w:rsidRPr="00113B2A">
        <w:tab/>
        <w:t>fremhæver, at skattemiljøet, navnlig hvad angår selskabsbeskatning, påvirker investeringsbeslutningerne og derfor er en af de faktorer, der påvirker jobskabelsen, den bæredygtige økonomiske vækst og konkurrenceevnen;</w:t>
      </w:r>
    </w:p>
    <w:p w:rsidR="00FB1215" w:rsidRPr="00113B2A" w:rsidRDefault="00FB1215" w:rsidP="00FB1215">
      <w:pPr>
        <w:pStyle w:val="NormalHanging12a"/>
        <w:rPr>
          <w:b/>
          <w:i/>
        </w:rPr>
      </w:pPr>
      <w:r w:rsidRPr="00113B2A">
        <w:rPr>
          <w:b/>
          <w:i/>
        </w:rPr>
        <w:t>Mindskelse af regelbyrden for virksomheder i EU, navnlig SMV'er</w:t>
      </w:r>
    </w:p>
    <w:p w:rsidR="00FB1215" w:rsidRPr="00113B2A" w:rsidRDefault="00FB1215" w:rsidP="00FB1215">
      <w:pPr>
        <w:pStyle w:val="NormalHanging12a"/>
      </w:pPr>
      <w:r w:rsidRPr="00113B2A">
        <w:t>10.</w:t>
      </w:r>
      <w:r w:rsidRPr="00113B2A">
        <w:tab/>
        <w:t>bemærker, at de anslåede omkostninger til overholdelse af skattereglerne for store multinationale virksomheder ifølge Kommissionen beløber sig til ca. 2 % af de betalte skatter, mens det for SMV'er skønnes at være ca. 30 % af de betalte skatter; beklager, at nogle medlemsstater har udviklet skatteordninger, der giver mulighed for forskelle mellem multinationale selskaber og SMV'er, hvilket stiller SMV'er ringere i konkurrencen; minder om, at SMV'er er hoveddrivkræfterne bag økonomisk vækst og jobskabelse; opfordrer Europa-Kommissionen til at udforme skattepolitikken på en måde, der gør den let at gennemføre for mindre virksomheder og mindsker deres omkostninger og administrative forpligtelser i henhold til skattelovgivningen;</w:t>
      </w:r>
    </w:p>
    <w:p w:rsidR="00FB1215" w:rsidRPr="00113B2A" w:rsidRDefault="00FB1215" w:rsidP="00FB1215">
      <w:pPr>
        <w:pStyle w:val="NormalHanging12a"/>
      </w:pPr>
      <w:r w:rsidRPr="00113B2A">
        <w:t>11.</w:t>
      </w:r>
      <w:r w:rsidRPr="00113B2A">
        <w:tab/>
        <w:t xml:space="preserve">opfordrer Kommissionen til at udføre en EU-dækkende undersøgelse af niveauerne for skatteoverholdelsesomkostninger land for land og en samlet evaluering af det fastlagte scenario; opfordrer desuden Kommissionen til at følge op på en sådan undersøgelse med et initiativ til at tackle høje overholdelsesomkostninger og styrke samarbejdet for at reducere den administrative byrde; </w:t>
      </w:r>
    </w:p>
    <w:p w:rsidR="00FB1215" w:rsidRPr="00113B2A" w:rsidRDefault="00FB1215" w:rsidP="00FB1215">
      <w:pPr>
        <w:pStyle w:val="NormalHanging12a"/>
      </w:pPr>
      <w:r w:rsidRPr="00113B2A">
        <w:t>12.</w:t>
      </w:r>
      <w:r w:rsidRPr="00113B2A">
        <w:tab/>
        <w:t>bemærker, at grænseoverskridende aktiviteter for arbejdstagere og selvstændige på det indre marked stadig er administrativt komplekse ud fra et skatte- og socialsikringsperspektiv; bemærker endvidere, at den øgede forekomst af telearbejde har forværret dette problem;</w:t>
      </w:r>
    </w:p>
    <w:p w:rsidR="00FB1215" w:rsidRPr="00113B2A" w:rsidRDefault="00FB1215" w:rsidP="00FB1215">
      <w:pPr>
        <w:pStyle w:val="NormalHanging12a"/>
      </w:pPr>
      <w:r w:rsidRPr="00113B2A">
        <w:t>13.</w:t>
      </w:r>
      <w:r w:rsidRPr="00113B2A">
        <w:tab/>
        <w:t>opfordrer Kommissionen til at fremlægge en samlet evaluering af tidligere foranstaltninger vedrørende selskabsbeskatning siden 2011 og til at offentliggøre en grundig konsekvensanalyse af de bedste muligheder for at lette den administrative byrde for virksomheder, navnlig SMV'er, med henblik på at kortlægge alle forskelle i gennemførelsen i national ret i EU og identificere områder for forenkling og sikre, at virksomheder, der allerede er under pres, har en rimelig tidsramme til at gennemføre politikker; fremhæver Det Europæiske Råds anmodning af 22. marts 2023 om, at Kommissionen foretager kontroller af konkurrenceevnen i forbindelse med nye lovgivningsforslag, herunder om beskatning, og understreger, at fremlæggelsen af ethvert nyt forslag, hvis det er nødvendigt, bør bidrage til et velfungerende indre marked, integritet og lige vilkår og ikke skaber en uforholdsmæssig stor byrde for virksomhederne; opfordrer Kommissionen til også i nye lovgivningsforslag om beskatning at tage hensyn til behovet for at sikre forenelighed for løsninger, der allerede er indført i de enkelte medlemsstater (herunder digitale løsninger), som bidrager til at mindske byrden for virksomhederne;</w:t>
      </w:r>
    </w:p>
    <w:p w:rsidR="00FB1215" w:rsidRPr="00113B2A" w:rsidRDefault="00FB1215" w:rsidP="00FB1215">
      <w:pPr>
        <w:pStyle w:val="NormalHanging12a"/>
      </w:pPr>
      <w:r w:rsidRPr="00113B2A">
        <w:t>14.</w:t>
      </w:r>
      <w:r w:rsidRPr="00113B2A">
        <w:tab/>
        <w:t>noterer sig resultatet af konferencen om Europas fremtid den 9. maj 2022 og forslagene om at styrke EU's konkurrenceevne og yderligere uddybe det indre marked med henblik på at opnå en vis grad af skattepolitisk harmonisering og koordinering i medlemsstaterne med henblik på at forebygge skatteunddragelse og skatteundgåelse og samtidig støtte virksomhedernes økonomiske succes; afventer forslaget fra Kommissionens formand, Ursula von der </w:t>
      </w:r>
      <w:proofErr w:type="spellStart"/>
      <w:r w:rsidRPr="00113B2A">
        <w:t>Leyen</w:t>
      </w:r>
      <w:proofErr w:type="spellEnd"/>
      <w:r w:rsidRPr="00113B2A">
        <w:t>, af den 19. oktober 2022 om at indføre en standardkontrol af konkurrenceevnen i EU's lovgivning; påpeger, at der bør tages hensyn til opretholdelsen af konkurrenceevnen for EU's økonomi, når der udvikles ny skattelovgivning; forventer, at konkurrenceevnen fuldt ud bør respektere EU's eksisterende arbejdsmarkedsmæssige og sociale standarder;</w:t>
      </w:r>
    </w:p>
    <w:p w:rsidR="00727405" w:rsidRPr="00113B2A" w:rsidRDefault="00FB1215" w:rsidP="00FB1215">
      <w:pPr>
        <w:pStyle w:val="NormalHanging12a"/>
      </w:pPr>
      <w:r w:rsidRPr="00113B2A">
        <w:t>15</w:t>
      </w:r>
      <w:r w:rsidRPr="00113B2A">
        <w:rPr>
          <w:b/>
          <w:i/>
        </w:rPr>
        <w:t>.</w:t>
      </w:r>
      <w:r w:rsidRPr="00113B2A">
        <w:tab/>
        <w:t xml:space="preserve">glæder sig over </w:t>
      </w:r>
      <w:proofErr w:type="spellStart"/>
      <w:r w:rsidRPr="00113B2A">
        <w:t>REPowerEU</w:t>
      </w:r>
      <w:proofErr w:type="spellEnd"/>
      <w:r w:rsidRPr="00113B2A">
        <w:t xml:space="preserve">-planen og dens prioriteter og opfordrer medlemsstaterne til at overveje at integrere skatteforanstaltninger for at fremskynde gennemførelsen af midler, opnå større konkurrenceevne og hjælpe SMV'er, virksomheder og industrisektoren med at nå målene for dette program i deres ændrede nationale reformprogrammer og </w:t>
      </w:r>
      <w:proofErr w:type="spellStart"/>
      <w:r w:rsidRPr="00113B2A">
        <w:t>resiliensplaner</w:t>
      </w:r>
      <w:proofErr w:type="spellEnd"/>
      <w:r w:rsidRPr="00113B2A">
        <w:t xml:space="preserve"> som foreslået af Kommissionen;</w:t>
      </w:r>
    </w:p>
    <w:p w:rsidR="00FB1215" w:rsidRPr="00113B2A" w:rsidRDefault="00727405" w:rsidP="00FB1215">
      <w:pPr>
        <w:pStyle w:val="NormalHanging12a"/>
      </w:pPr>
      <w:r w:rsidRPr="00113B2A">
        <w:t>16.</w:t>
      </w:r>
      <w:r w:rsidR="00FB1215" w:rsidRPr="00113B2A">
        <w:tab/>
        <w:t xml:space="preserve">noterer sig den fornyede debat om skatteincitamenter efter vedtagelsen af søjle II-modelregler, der garanterer et minimumsniveau for effektiv selskabsbeskatning på 15 %, og i kølvandet på den amerikanske Inflation </w:t>
      </w:r>
      <w:proofErr w:type="spellStart"/>
      <w:r w:rsidR="00FB1215" w:rsidRPr="00113B2A">
        <w:t>Reduction</w:t>
      </w:r>
      <w:proofErr w:type="spellEnd"/>
      <w:r w:rsidR="00FB1215" w:rsidRPr="00113B2A">
        <w:t xml:space="preserve"> Act (lov om inflationsreduktion); opfordrer Kommissionen til at analysere eksperimenter med skattefradrag, navnlig inden for de reviderede rammer for EU's statsstøtte; bemærker ikke desto mindre, at alle beslutninger bør træffes på en koordineret måde for at bevare det indre markeds funktion i overensstemmelse med konkurrencelovgivningen og forhindre en international støttekonkurrence; understreger, at skatteincitamenter bør sigte mod at tiltrække reelle investeringer under hensyntagen til bekymringerne over et aldrende samfund, anstændige arbejdsmarkedsmæssige og sociale standarder samt den grønne og den digitale omstilling;</w:t>
      </w:r>
    </w:p>
    <w:p w:rsidR="00FB1215" w:rsidRPr="00113B2A" w:rsidRDefault="00FB1215" w:rsidP="00FB1215">
      <w:pPr>
        <w:pStyle w:val="NormalHanging12a"/>
      </w:pPr>
      <w:r w:rsidRPr="00113B2A">
        <w:t>17.</w:t>
      </w:r>
      <w:r w:rsidRPr="00113B2A">
        <w:tab/>
        <w:t>bemærker, at medlemsstaterne kan overveje at føre en politik med fuld udgift til kapitalinvesteringer og til at gøre hensættelser til kapitalfradrag permanente med henblik på at forbedre de reelle investeringer. navnlig investeringer i forskning og udvikling og for at nå klimamålene såvel som at støtte Europas konkurrenceevne; fremhæver, at fuld udgift til kapitalinvesteringer kræver en koordineret gennemførelse, et omhyggeligt design og betydelig administrativ omhu for at forhindre, at der skabes et middel til uberettigede skattesubsidier eller skattemisbrug; understreger derfor, at sådanne politikker bør gå hånd i hånd med regelmæssig overvågning og analyser af deres afsmittende virkninger;</w:t>
      </w:r>
    </w:p>
    <w:p w:rsidR="00FB1215" w:rsidRPr="00113B2A" w:rsidRDefault="00FB1215" w:rsidP="00FB1215">
      <w:pPr>
        <w:pStyle w:val="NormalHanging12a"/>
      </w:pPr>
      <w:r w:rsidRPr="00113B2A">
        <w:t>18.</w:t>
      </w:r>
      <w:r w:rsidRPr="00113B2A">
        <w:tab/>
        <w:t>opfordrer medlemsstaterne til i lyset af den høje inflation at lette byrden for virksomheder, navnlig SMV'er, for eksempel gennem midlertidige skatteforanstaltninger for at afbøde stigningen i energiomkostningerne og til at anvende de yderligere indtægter baseret på højere energipriser til at yde direkte og målrettet støtte til at hjælpe de mest sårbare borgere og middelklassen og lette byrden for borgere og virksomheder, navnlig SMV'er, der er blevet hårdt ramt af krisen;</w:t>
      </w:r>
    </w:p>
    <w:p w:rsidR="00FB1215" w:rsidRPr="00113B2A" w:rsidRDefault="00FB1215" w:rsidP="00FB1215">
      <w:pPr>
        <w:pStyle w:val="NormalHanging12a"/>
        <w:rPr>
          <w:b/>
          <w:i/>
        </w:rPr>
      </w:pPr>
      <w:r w:rsidRPr="00113B2A">
        <w:rPr>
          <w:b/>
          <w:i/>
        </w:rPr>
        <w:t>Søjle II-aftalen</w:t>
      </w:r>
    </w:p>
    <w:p w:rsidR="00FB1215" w:rsidRPr="00113B2A" w:rsidRDefault="00FB1215" w:rsidP="00FB1215">
      <w:pPr>
        <w:pStyle w:val="NormalHanging12a"/>
      </w:pPr>
      <w:r w:rsidRPr="00113B2A">
        <w:t>19.</w:t>
      </w:r>
      <w:r w:rsidRPr="00113B2A">
        <w:tab/>
        <w:t xml:space="preserve">glæder sig over, at </w:t>
      </w:r>
      <w:proofErr w:type="spellStart"/>
      <w:r w:rsidRPr="00113B2A">
        <w:t>tosøjleløsningen</w:t>
      </w:r>
      <w:proofErr w:type="spellEnd"/>
      <w:r w:rsidRPr="00113B2A">
        <w:t xml:space="preserve"> blev aftalt som led i OECD/G20's inklusive ramme om fordelingen af beskatningsrettigheder og anvendelsen af en effektiv skattesats på mindst 15 % på multinationale selskabers globale overskud og vedtagelsen af søjle II-direktivet, der gennemfører den internationale aftale i EU-retten; opfordrer Kommissionen til at aflægge rapport til Europa-Parlamentet om succesen med ratificeringsprocessen for søjle II-aftalen i ikke-EU-lande;</w:t>
      </w:r>
    </w:p>
    <w:p w:rsidR="00FB1215" w:rsidRPr="00113B2A" w:rsidRDefault="00FB1215" w:rsidP="00FB1215">
      <w:pPr>
        <w:pStyle w:val="NormalHanging12a"/>
      </w:pPr>
      <w:r w:rsidRPr="00113B2A">
        <w:t>20.</w:t>
      </w:r>
      <w:r w:rsidRPr="00113B2A">
        <w:tab/>
        <w:t xml:space="preserve">bemærker, at virksomhederne ud over deres håndtering af et </w:t>
      </w:r>
      <w:proofErr w:type="spellStart"/>
      <w:r w:rsidRPr="00113B2A">
        <w:t>volatilt</w:t>
      </w:r>
      <w:proofErr w:type="spellEnd"/>
      <w:r w:rsidRPr="00113B2A">
        <w:t xml:space="preserve"> erhvervsklima og et stigende antal EU-skattedirektiver fokuserer deres finansielle og menneskelige ressourcer på anvendelsen af søjle II-reglerne samt på yderligere OECD-vejledning og de enkelte medlemsstaters yderligere fortolkninger; noterer sig den pakke om skatteforenkling for SMV'er, BEFIT og interne afregningspriser, som Kommissionen fremsatte den 12. september 2023; ser frem til at indlede forhandlinger om de forskellige sager og til at vurdere effektiviteten og virkningen af reglerne under anden søjle, navnlig i forbindelse med de forventede mål, cost-benefit-analyser, bekæmpelse af skatteunddragelse og skatteundgåelse, skadelig skattekonkurrence og højere skatteindtægter;</w:t>
      </w:r>
    </w:p>
    <w:p w:rsidR="00FB1215" w:rsidRPr="00113B2A" w:rsidRDefault="00FB1215" w:rsidP="00FB1215">
      <w:pPr>
        <w:pStyle w:val="NormalHanging12a"/>
        <w:rPr>
          <w:b/>
          <w:i/>
        </w:rPr>
      </w:pPr>
      <w:r w:rsidRPr="00113B2A">
        <w:t>21.</w:t>
      </w:r>
      <w:r w:rsidRPr="00113B2A">
        <w:rPr>
          <w:b/>
          <w:i/>
        </w:rPr>
        <w:tab/>
      </w:r>
      <w:r w:rsidRPr="00113B2A">
        <w:t>bemærker, at søjle I- og søjle II-reglerne kun gælder for multinationale virksomheder med en omsætning over tærsklerne på henholdsvis 20 mia. EUR</w:t>
      </w:r>
      <w:r w:rsidRPr="00113B2A">
        <w:rPr>
          <w:rStyle w:val="Heading1Char"/>
          <w:sz w:val="21"/>
          <w:shd w:val="clear" w:color="auto" w:fill="FFFFFF"/>
          <w:lang w:val="da-DK"/>
        </w:rPr>
        <w:t xml:space="preserve"> </w:t>
      </w:r>
      <w:r w:rsidRPr="00113B2A">
        <w:t>og med en rentabilitet, der er større end 10 % og 750 mio. EUR; bemærker, at de fleste virksomheder, navnlig SMV'er, derfor er undtaget fra denne aftale; noterer sig Kommissionens bestræbelser på at basere BEFIT på den internationale søjle II-aftale og EU's søjle II-direktiv;</w:t>
      </w:r>
    </w:p>
    <w:p w:rsidR="00FB1215" w:rsidRPr="00113B2A" w:rsidRDefault="00FB1215" w:rsidP="00FB1215">
      <w:pPr>
        <w:pStyle w:val="NormalHanging12a"/>
      </w:pPr>
      <w:r w:rsidRPr="00113B2A">
        <w:t>22.</w:t>
      </w:r>
      <w:r w:rsidRPr="00113B2A">
        <w:tab/>
        <w:t xml:space="preserve">forstår, at G20/OECD's inklusive rammeaftale var tænkt som en pakke med det formål at begge søjler skulle træde i kraft samtidig; noterer sig resultaterklæringen fra OECD/G20's inklusive ramme af 11. juli 2023 om en </w:t>
      </w:r>
      <w:proofErr w:type="spellStart"/>
      <w:r w:rsidRPr="00113B2A">
        <w:t>tosøjleløsning</w:t>
      </w:r>
      <w:proofErr w:type="spellEnd"/>
      <w:r w:rsidRPr="00113B2A">
        <w:t xml:space="preserve"> for at tackle de skattemæssige udfordringer, der opstår som følge af digitaliseringen af økonomien; beklager de forskellige tidsforløb for søjle I og søjle II; noterer sig behørigt det internationale scenario for gennemførelsen af søjle I og søjle II;</w:t>
      </w:r>
    </w:p>
    <w:p w:rsidR="00FB1215" w:rsidRPr="00113B2A" w:rsidRDefault="00FB1215" w:rsidP="00FB1215">
      <w:pPr>
        <w:pStyle w:val="NormalHanging12a"/>
      </w:pPr>
      <w:r w:rsidRPr="00113B2A">
        <w:t>23.</w:t>
      </w:r>
      <w:r w:rsidRPr="00113B2A">
        <w:tab/>
        <w:t>noterer sig den nylige reform af Gruppen vedrørende Adfærdskodeksen om udvidelse af dens anvendelsesområde i 2022; opfordrer Kommissionen, medlemsstaterne og Gruppen vedrørende Adfærdskodeksen (erhvervsbeskatning) til at fremlægge en vurdering af tidligere reformer; minder om sin holdning af 7. oktober 2021 om at medtage skatteforanstaltninger, der fører til lave beskatningsniveauer i overensstemmelse med søjle II, i vurderingen;</w:t>
      </w:r>
    </w:p>
    <w:p w:rsidR="00FB1215" w:rsidRPr="00113B2A" w:rsidRDefault="00FB1215" w:rsidP="00FB1215">
      <w:pPr>
        <w:pStyle w:val="NormalHanging12a"/>
      </w:pPr>
      <w:r w:rsidRPr="00113B2A">
        <w:t>24.</w:t>
      </w:r>
      <w:r w:rsidRPr="00113B2A">
        <w:tab/>
        <w:t>glæder sig endvidere over, at Kommissionen overvejer en eventuel indførelse af en ny egen indtægt baseret på BEFIT-rammen, når den er vedtaget, i overensstemmelse med den interinstitutionelle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 (interinstitutionel aftale, IIA)</w:t>
      </w:r>
      <w:r w:rsidRPr="007A20DD">
        <w:rPr>
          <w:rStyle w:val="FootnoteReference"/>
        </w:rPr>
        <w:footnoteReference w:id="31"/>
      </w:r>
      <w:r w:rsidRPr="007A20DD">
        <w:t>; minder om, at Kommissionen har forpligtet sig til at foreslå en digital afgift, hvis gennemførelsen af søjle I forsin</w:t>
      </w:r>
      <w:r w:rsidRPr="00113B2A">
        <w:t>kes ud over det nuværende mandat; noterer sig, at Kommissionen gentog sin anerkendelse af, at BEFIT også er relevant for så vidt angår egne indtægter;</w:t>
      </w:r>
    </w:p>
    <w:p w:rsidR="00FB1215" w:rsidRPr="00113B2A" w:rsidRDefault="00FB1215" w:rsidP="00FB1215">
      <w:pPr>
        <w:pStyle w:val="NormalHanging12a"/>
      </w:pPr>
      <w:r w:rsidRPr="00113B2A">
        <w:t>25.</w:t>
      </w:r>
      <w:r w:rsidRPr="00113B2A">
        <w:tab/>
        <w:t>minder om, at Europa-Parlamentet allerede og ved flere lejligheder, herunder i den nyligt vedtagne beslutning om egne indtægter: en ny start for EU's finanser, en ny start for Europa</w:t>
      </w:r>
      <w:r w:rsidRPr="007A20DD">
        <w:rPr>
          <w:rStyle w:val="FootnoteReference"/>
        </w:rPr>
        <w:footnoteReference w:id="32"/>
      </w:r>
      <w:r w:rsidRPr="007A20DD">
        <w:t xml:space="preserve">, har udtrykt støtte til nye egne indtægter i forbindelse med selskabsbeskatning såsom det fælles konsoliderede selskabsskattegrundlag (FKSSG), skat på digitale tjenester og </w:t>
      </w:r>
      <w:r w:rsidRPr="00113B2A">
        <w:t xml:space="preserve">senest til egne indtægter baseret på søjle I </w:t>
      </w:r>
      <w:proofErr w:type="spellStart"/>
      <w:r w:rsidRPr="00113B2A">
        <w:t>i</w:t>
      </w:r>
      <w:proofErr w:type="spellEnd"/>
      <w:r w:rsidRPr="00113B2A">
        <w:t xml:space="preserve"> forbindelse med OECD's inklusive ramme vedrørende BEPS; minder endvidere om sin opfordring til en afgift på finansielle transaktioner (AFT) på EU-plan og til at undersøge yderligere muligheder for en punktafgift for tilbagekøb af virksomhedsaktier som foreslået i den amerikanske Inflation </w:t>
      </w:r>
      <w:proofErr w:type="spellStart"/>
      <w:r w:rsidRPr="00113B2A">
        <w:t>Reduction</w:t>
      </w:r>
      <w:proofErr w:type="spellEnd"/>
      <w:r w:rsidRPr="00113B2A">
        <w:t xml:space="preserve"> Act (lov om inflationsreduktion) samt for en fælles og standardiseret ramme for kildeskat;</w:t>
      </w:r>
    </w:p>
    <w:p w:rsidR="00FB1215" w:rsidRPr="00113B2A" w:rsidRDefault="00FB1215" w:rsidP="00FB1215">
      <w:pPr>
        <w:pStyle w:val="NormalHanging12a"/>
      </w:pPr>
      <w:r w:rsidRPr="00113B2A">
        <w:t xml:space="preserve">26. </w:t>
      </w:r>
      <w:r w:rsidRPr="00113B2A">
        <w:tab/>
        <w:t xml:space="preserve">fremhæver, at veludformede nye egne indtægter, der er baseret på selskabsskat, skal være fuldt forenelige med målet om en forenklet skatteordning og kan fremme skattemæssig retfærdighed; opfordrer Kommissionen til at indkredse </w:t>
      </w:r>
      <w:proofErr w:type="spellStart"/>
      <w:r w:rsidRPr="00113B2A">
        <w:t>synergier</w:t>
      </w:r>
      <w:proofErr w:type="spellEnd"/>
      <w:r w:rsidRPr="00113B2A">
        <w:t xml:space="preserve"> mellem modernisering af skatteregler og potentielle skattebaserede egne indtægter;</w:t>
      </w:r>
    </w:p>
    <w:p w:rsidR="00FB1215" w:rsidRPr="00113B2A" w:rsidRDefault="00FB1215" w:rsidP="00FB1215">
      <w:pPr>
        <w:pStyle w:val="NormalHanging12a"/>
      </w:pPr>
      <w:r w:rsidRPr="00113B2A">
        <w:t>27.</w:t>
      </w:r>
      <w:r w:rsidRPr="00113B2A">
        <w:tab/>
        <w:t>noterer sig Kommissionens forslag om en midlertidig statistisk baseret egen indtægt i forbindelse med virksomhedssektoren, som kan gennemføres indtil en eventuel fastlæggelse af en egen indtægt, der er knyttet til BEFIT; mener, at en sådan egen indtægt, der er udformet på en sammenhængende måde, bør fungere som incitament for medlemsstaterne til at fremskynde forhandlingerne om BEFIT;</w:t>
      </w:r>
    </w:p>
    <w:p w:rsidR="00FB1215" w:rsidRPr="00113B2A" w:rsidRDefault="00FB1215" w:rsidP="00FB1215">
      <w:pPr>
        <w:pStyle w:val="NormalHanging12a"/>
      </w:pPr>
      <w:r w:rsidRPr="00113B2A">
        <w:t>28.</w:t>
      </w:r>
      <w:r w:rsidRPr="00113B2A">
        <w:tab/>
        <w:t>gentager sin opfordring til medlemsstaterne om at vedtage de nye egne indtægter, der skal dække tilbagebetalingen af låneomkostninger for NextGenerationEU (NGEU), og om at finansiere sine politikker og prioriteter tilstrækkeligt så hurtigt som muligt</w:t>
      </w:r>
      <w:r w:rsidR="00727405" w:rsidRPr="00113B2A">
        <w:t>;</w:t>
      </w:r>
    </w:p>
    <w:p w:rsidR="00FB1215" w:rsidRPr="00113B2A" w:rsidRDefault="00FB1215" w:rsidP="00FB1215">
      <w:pPr>
        <w:pStyle w:val="NormalHanging12a"/>
        <w:spacing w:after="0"/>
        <w:ind w:left="0" w:firstLine="0"/>
      </w:pPr>
    </w:p>
    <w:p w:rsidR="00FB1215" w:rsidRPr="00113B2A" w:rsidRDefault="00FB1215" w:rsidP="00FB1215">
      <w:pPr>
        <w:pStyle w:val="NormalHanging12a"/>
        <w:rPr>
          <w:b/>
          <w:i/>
        </w:rPr>
      </w:pPr>
      <w:r w:rsidRPr="00113B2A">
        <w:rPr>
          <w:b/>
          <w:i/>
        </w:rPr>
        <w:t>På vej mod et mere koordineret og forenklet selskabsskattesystem (BEFIT)</w:t>
      </w:r>
    </w:p>
    <w:p w:rsidR="00FB1215" w:rsidRPr="00113B2A" w:rsidRDefault="00FB1215" w:rsidP="00FB1215">
      <w:pPr>
        <w:pStyle w:val="NormalHanging12a"/>
      </w:pPr>
      <w:r w:rsidRPr="00113B2A">
        <w:t>29.</w:t>
      </w:r>
      <w:r w:rsidRPr="00113B2A">
        <w:tab/>
        <w:t xml:space="preserve">noterer sig, at BEFIT og SMV-hjælpepakken om beskatning supplerer hinanden og begge har til formål at forbedre forenklingen for virksomhederne; opfordrer Kommissionen til at foreslå foranstaltninger, der kan hjælpe alle medlemsstater med at bevæge sig i retning af et forenklet, effektivt og konkurrencedygtigt skattesystem for at mindske den administrative byrde for virksomheder, navnlig SMV'er; anerkender, at forenkling af tilbagebetalingsprocedurer, fradrag og retssager er andre løsninger til at mindske den administrative byrde, navnlig for SMV'er; bemærker i denne forbindelse Kommissionens forslag fra juni 2023 om hurtigere og sikrere lempelse af overskydende kildeskat (Faster and </w:t>
      </w:r>
      <w:proofErr w:type="spellStart"/>
      <w:r w:rsidRPr="00113B2A">
        <w:t>Safer</w:t>
      </w:r>
      <w:proofErr w:type="spellEnd"/>
      <w:r w:rsidRPr="00113B2A">
        <w:t xml:space="preserve"> Relief of </w:t>
      </w:r>
      <w:proofErr w:type="spellStart"/>
      <w:r w:rsidRPr="00113B2A">
        <w:t>Excess</w:t>
      </w:r>
      <w:proofErr w:type="spellEnd"/>
      <w:r w:rsidRPr="00113B2A">
        <w:t xml:space="preserve"> </w:t>
      </w:r>
      <w:proofErr w:type="spellStart"/>
      <w:r w:rsidRPr="00113B2A">
        <w:t>Withholding</w:t>
      </w:r>
      <w:proofErr w:type="spellEnd"/>
      <w:r w:rsidRPr="00113B2A">
        <w:t xml:space="preserve"> </w:t>
      </w:r>
      <w:proofErr w:type="spellStart"/>
      <w:r w:rsidRPr="00113B2A">
        <w:t>Taxes</w:t>
      </w:r>
      <w:proofErr w:type="spellEnd"/>
      <w:r w:rsidRPr="00113B2A">
        <w:t>, FASTER), der har til formål at sætte skub i grænseoverskridende investeringer og bidrage til at forebygge skattemisbrug gennem en reform af kildeskatteprocedurerne, og opfordrer til en hurtig vedtagelse og gennemførelse heraf;</w:t>
      </w:r>
    </w:p>
    <w:p w:rsidR="00FB1215" w:rsidRPr="00113B2A" w:rsidRDefault="00FB1215" w:rsidP="00FB1215">
      <w:pPr>
        <w:pStyle w:val="NormalHanging12a"/>
      </w:pPr>
      <w:r w:rsidRPr="00113B2A">
        <w:t>30.</w:t>
      </w:r>
      <w:r w:rsidRPr="00113B2A">
        <w:tab/>
        <w:t>bemærker, at adfærdskodeksen for erhvervsbeskatning siden 1997 har været Unionens primære instrument til forebyggelse af skadelig skattekonkurrence blandt virksomheder; understreger, at medlemsstaterne inden for denne ramme bør undersøge, ændre eller ophæve de af deres eksisterende skattemæssige foranstaltninger, som kan udgøre skadelig skattekonkurrence, og afstå fra at indføre nye i fremtiden; glæder sig i denne forbindelse over Rådets konklusioner af 8. november 2022 om reformen af adfærdskodeksen for erhvervsbeskatning vedrørende anvendelsesområdet for de skatteforanstaltninger, der granskes, når skadelig skattepraksis i EU undersøges; opfordrer Gruppen vedrørende Adfærdskodeksen (erhvervsbeskatning) til at udnytte dens reviderede mandat fuldt ud;</w:t>
      </w:r>
    </w:p>
    <w:p w:rsidR="00FB1215" w:rsidRPr="00113B2A" w:rsidRDefault="00FB1215" w:rsidP="00FB1215">
      <w:pPr>
        <w:pStyle w:val="NormalHanging12a"/>
      </w:pPr>
      <w:r w:rsidRPr="00113B2A">
        <w:t>31.</w:t>
      </w:r>
      <w:r w:rsidRPr="00113B2A">
        <w:tab/>
        <w:t>opfordrer Rådet til at fortsætte forhandlingerne om UNSHELL-forslaget uden yderligere forsinkelse; minder om Kommissionens oprindelige hensigt og Parlamentets holdning af 17. januar 2023</w:t>
      </w:r>
      <w:r w:rsidRPr="007A20DD">
        <w:rPr>
          <w:rStyle w:val="FootnoteReference"/>
        </w:rPr>
        <w:footnoteReference w:id="33"/>
      </w:r>
      <w:r w:rsidRPr="007A20DD">
        <w:t>;</w:t>
      </w:r>
    </w:p>
    <w:p w:rsidR="00FB1215" w:rsidRPr="00113B2A" w:rsidRDefault="00FB1215" w:rsidP="00FB1215">
      <w:pPr>
        <w:pStyle w:val="NormalHanging12a"/>
      </w:pPr>
      <w:r w:rsidRPr="00113B2A">
        <w:t>32.</w:t>
      </w:r>
      <w:r w:rsidRPr="00113B2A">
        <w:tab/>
        <w:t>ser frem til de forventede virkninger af BEFIT og hovedkontorsbaserede beskatningsregler med hensyn til at mindske kompleksiteten af de retlige rammer for selskabsskattesystemer, der dermed bidrager til at tiltrække udenlandske direkte investeringer, forbedrer EU's konkurrenceevne og således mindsker risikoen for, at virksomheder flytter til lande uden for EU; noterer sig Kommissionens meddelelse om erhvervsbeskatning i det 21. århundrede, hvori det anføres, at "manglen på et fælles selskabsskattesystem i det indre marked hæmmer konkurrenceevnen (…) og skaber en konkurrencemæssig ulempe i forhold til tredjelandsmarkeder"; minder om, at en enklere ramme også reducerer mulighederne for aggressiv skatteplanlægning;</w:t>
      </w:r>
    </w:p>
    <w:p w:rsidR="00FB1215" w:rsidRPr="00113B2A" w:rsidRDefault="00FB1215" w:rsidP="00FB1215">
      <w:pPr>
        <w:pStyle w:val="NormalHanging12a"/>
      </w:pPr>
      <w:r w:rsidRPr="00113B2A">
        <w:t>33.</w:t>
      </w:r>
      <w:r w:rsidRPr="00113B2A">
        <w:tab/>
        <w:t>bemærker Kommissionens plan om at arbejde på et BEFIT-forslag med henblik på at udforme et nyt og fælles EU-regelsæt for selskabsbeskatning og et fælles skattegrundlag for indkomstbeskatning for virksomheder; opfordrer i denne forbindelse Kommissionen til at sikre, at det nye forslag skaber klarhed og forudsigelighed for virksomhederne samt fremmer grænseoverskridelse økonomisk aktivitet; understreger, at et sådant forslag skal tage hensyn til indgåede aftaler eller igangværende drøftelser på globalt plan og beskytte EU's interesser; gentager, at aftaler om selskabsskatterammer er mest effektive, når de indgås på globalt plan;</w:t>
      </w:r>
    </w:p>
    <w:p w:rsidR="00FB1215" w:rsidRPr="00113B2A" w:rsidRDefault="00FB1215" w:rsidP="00FB1215">
      <w:pPr>
        <w:pStyle w:val="NormalHanging12a"/>
      </w:pPr>
      <w:r w:rsidRPr="00113B2A">
        <w:t>34.</w:t>
      </w:r>
      <w:r w:rsidRPr="00113B2A">
        <w:tab/>
        <w:t>forstår, at BEFIT-initiativet udgør en mulighed for at imødegå de omkostninger, der er forbundet med overholdelse af skattereglerne, og for at mindske den administrative byrde, samtidig med at det vil bidrage til at minimere aggressiv skatteplanlægning og fremme lige vilkår for SMV'er; mener, at lukning af smuthuller, der giver mulighed for skatteunddragelse, skatteundgåelse og svig, bør være en prioritet for lovgivningsinitiativer på skatteområdet; bemærker, at det kræver løbende arbejde med selskabsskatterammen for at foretage justeringer i denne henseende;</w:t>
      </w:r>
    </w:p>
    <w:p w:rsidR="00FB1215" w:rsidRPr="00113B2A" w:rsidRDefault="00FB1215" w:rsidP="00FB1215">
      <w:pPr>
        <w:pStyle w:val="NormalHanging12a"/>
      </w:pPr>
      <w:r w:rsidRPr="00113B2A">
        <w:t>35.</w:t>
      </w:r>
      <w:r w:rsidRPr="00113B2A">
        <w:tab/>
        <w:t>minder om, at det mener, at BEFIT-initiativet bør støttes af den politiske proces med hensyn til at opbygge politisk støtte til forandring; noterer sig den reviderede konsekvensanalyserapport, der præciserer erfaringerne fra tidligere selskabsskatteinitiativer og tilføjer forbindelserne til OECD's tilgang med to søjler;</w:t>
      </w:r>
    </w:p>
    <w:p w:rsidR="00FB1215" w:rsidRPr="00113B2A" w:rsidRDefault="00FB1215" w:rsidP="00FB1215">
      <w:pPr>
        <w:pStyle w:val="NormalHanging12a"/>
      </w:pPr>
      <w:r w:rsidRPr="00113B2A">
        <w:t>36.</w:t>
      </w:r>
      <w:r w:rsidRPr="00113B2A">
        <w:tab/>
        <w:t>glæder sig over de bebudede BEFIT-mål, som omhandlet i Kommissionens opfordring til at indsende dokumentation vedrørende en konsekvensanalyse, om at øge virksomhedernes modstandsdygtighed ved at mindske kompleksiteten som følge af forskellige sæt nationale skatteregler og de respektive overholdelsesomkostninger, som EU-virksomheder står over for i forbindelse med grænseoverskridende aktiviteter, at fjerne hindringer for grænseoverskridende investeringer og gøre det indre marked til et mere attraktivt sted for internationale investeringer, at skabe et miljø, der fremmer en retfærdig og bæredygtig vækst ved at bane vejen for administrativ forenkling, og at tilvejebringe bæredygtige skatteindtægter for medlemsstaternes nationale budgetter, hvilket er særlig vigtigt i det nuværende udfordrende økonomiske klima; mener, at gennemførelsen af ét fælles regelsæt for beskatning kan bidrage til at mindske spillerummet for skadelig skattekonkurrence mellem medlemsstaterne og samtidig forenkle selskabsskattereglerne i EU;</w:t>
      </w:r>
    </w:p>
    <w:p w:rsidR="00FB1215" w:rsidRPr="00113B2A" w:rsidRDefault="00FB1215" w:rsidP="00FB1215">
      <w:pPr>
        <w:pStyle w:val="NormalHanging12a"/>
      </w:pPr>
      <w:r w:rsidRPr="00113B2A">
        <w:t>37.</w:t>
      </w:r>
      <w:r w:rsidRPr="00113B2A">
        <w:tab/>
        <w:t>fremhæver skatteforvaltningernes fremtrædende rolle i at sikre gennemførelsen af en BEFIT-reform; anbefaler, at tilstrækkelige midler, herunder uddannelse, tildeles af medlemsstaterne og gennem det fremtidige FISCALIS-program;</w:t>
      </w:r>
    </w:p>
    <w:p w:rsidR="00FB1215" w:rsidRPr="00113B2A" w:rsidRDefault="00FB1215" w:rsidP="00FB1215">
      <w:pPr>
        <w:pStyle w:val="NormalHanging12a"/>
      </w:pPr>
      <w:r w:rsidRPr="00113B2A">
        <w:t>38.</w:t>
      </w:r>
      <w:r w:rsidRPr="00113B2A">
        <w:tab/>
        <w:t>minder om, at der i Unionens tidligere forsøg på at fastlægge et fælles regelsæt blev taget hensyn til tre faktorer: arbejde, aktiver og omsætning; noterer sig Kommissionens tilsagn om inden for rammerne af en omfattende revision af overgangsreglen at vurdere en eventuel ændring med henblik på at indføre en formel fordeling af BEFIT-skattegrundlaget;</w:t>
      </w:r>
    </w:p>
    <w:p w:rsidR="00FB1215" w:rsidRPr="00113B2A" w:rsidRDefault="00FB1215" w:rsidP="00FB1215">
      <w:pPr>
        <w:pStyle w:val="NormalHanging12a"/>
      </w:pPr>
      <w:r w:rsidRPr="00113B2A">
        <w:t>39.</w:t>
      </w:r>
      <w:r w:rsidRPr="00113B2A">
        <w:tab/>
        <w:t xml:space="preserve">bemærker, at virksomheder, der driver forretning i hele Unionen, skal håndtere forskellige skattelove og skattemyndigheder; understreger idéen om en kvikskranke (også kaldet </w:t>
      </w:r>
      <w:proofErr w:type="spellStart"/>
      <w:r w:rsidRPr="00113B2A">
        <w:t>one</w:t>
      </w:r>
      <w:proofErr w:type="spellEnd"/>
      <w:r w:rsidRPr="00113B2A">
        <w:t>-stop-shop), der gør det muligt at indgive én konsolideret indkomsterklæring som en måde at reducere den administrative byrde og minimere skattemæssige hindringer for det indre marked; opfordrer i denne henseende medlemsstaterne til at intensivere deres bestræbelser på at indføre et elektronisk arkiveringssystem til gavn for skatteyderen; opfordrer Kommissionen til at undersøge, om indførelsen af en kvikskranke kræver yderligere harmonisering af selskabsskattegrundlaget og etablering af en nøgle til retfærdig og effektiv fordeling af beskatningsrettigheder mellem medlemsstaterne; opfordrer Kommissionen til at vurdere, om kvikskranken potentielt kan testes på koncerner, der opererer i det indre marked og anvender søjle II-reglerne, hvor de nye BEFIT-regler bliver indarbejdet senere som opfølgning herpå; glæder sig i denne henseende over Kommissionens meddelelse af 16. marts 2023 (COM(2023)0162), der fremhæver nytten af kvikskranker til at nedbringe barrierer;</w:t>
      </w:r>
    </w:p>
    <w:p w:rsidR="00FB1215" w:rsidRPr="00113B2A" w:rsidRDefault="00FB1215" w:rsidP="00FB1215">
      <w:pPr>
        <w:pStyle w:val="NormalHanging12a"/>
      </w:pPr>
      <w:r w:rsidRPr="00113B2A">
        <w:t>40.</w:t>
      </w:r>
      <w:r w:rsidRPr="00113B2A">
        <w:tab/>
        <w:t xml:space="preserve">mener, at alle meget store virksomheder, der opererer i EU, bør være omfattet af det fremtidige BEFIT-forslag; opfordrer Kommissionen til at sikre, at </w:t>
      </w:r>
      <w:proofErr w:type="spellStart"/>
      <w:r w:rsidRPr="00113B2A">
        <w:t>SMV'ernes</w:t>
      </w:r>
      <w:proofErr w:type="spellEnd"/>
      <w:r w:rsidRPr="00113B2A">
        <w:t xml:space="preserve"> specifikke krav opfyldes, ved altid at lade BEFIT være valgfri for SMV'er, navnlig dem, der ikke driver grænseoverskridende virksomhed; glæder sig ikke desto mindre over ethvert forslag, der giver mindre virksomheder mulighed for at benytte en forenklet og harmoniseret selskabsbeskatningsramme;</w:t>
      </w:r>
    </w:p>
    <w:p w:rsidR="00FB1215" w:rsidRPr="00113B2A" w:rsidRDefault="00FB1215" w:rsidP="00FB1215">
      <w:pPr>
        <w:pStyle w:val="NormalHanging12a"/>
      </w:pPr>
      <w:r w:rsidRPr="00113B2A">
        <w:t>41.</w:t>
      </w:r>
      <w:r w:rsidRPr="00113B2A">
        <w:tab/>
        <w:t>understreger, at skævheden mellem gæld og egenkapital i selskabsbeskatningen, som giver mulighed for generøse skattefradrag for rentebetalinger, mens egenkapitalfinansieringsomkostninger ikke kan fratrækkes på samme måde, fremhæver de strukturelle ulemper, som virksomheder, der er afhængige af egenkapitalfinansiering, og som ofte er yngre og mindre virksomheder med ringere adgang til kredit, står over for; noterer sig, at godtgørelser for selskabskapital tidligere er blevet misbrugt til ulovlige aktiviteter; noterer sig Kommissionens forslag af 11. maj 2022 om at imødegå skævheden mellem gæld og egenkapital som et middel til at fremme finansiering gennem kapitalmarkederne frem for at afskrække fra gældsfinansiering, samtidig med at medlemsstaternes ejerskab i beskatningsspørgsmål anerkendes, og Rådets afgørelse af 6. december 2022 om at suspendere behandlingen af forslaget; opfordrer Rådet til at revurdere og eventuelt genoptage forhandlingerne om dette forslag med bistand fra Kommissionen; støtter indarbejdelsen af stærke bestemmelser om bekæmpelse af skatteundgåelse, herunder dem, der er fastsat i artikel 5 i Kommissionens forslag, og opfordrer i denne forbindelse medlemsstaterne til at sikre et højt beskyttelsesniveau mod udhuling af skattegrundlaget;</w:t>
      </w:r>
    </w:p>
    <w:p w:rsidR="00FB1215" w:rsidRPr="00113B2A" w:rsidRDefault="00FB1215" w:rsidP="00FB1215">
      <w:pPr>
        <w:pStyle w:val="NormalHanging12a"/>
      </w:pPr>
      <w:r w:rsidRPr="00113B2A">
        <w:t>42.</w:t>
      </w:r>
      <w:r w:rsidRPr="00113B2A">
        <w:tab/>
        <w:t>mener, at den skattemæssige sikkerhed ville blive styrket, hvis medlemsstaterne havde en fælles forståelse af, hvilke skatteincitamenter der ikke er konkurrenceforvridende; opfordrer Kommissionen til at evaluere effektiviteten af patentbokse og andre ordninger for intellektuel ejendom i henhold til den nye neksustilgang, der er defineret i aktion 5 i BEPS-handlingsplanen for skadelig skattepraksis;</w:t>
      </w:r>
    </w:p>
    <w:p w:rsidR="00FB1215" w:rsidRPr="00113B2A" w:rsidRDefault="00FB1215" w:rsidP="00FB1215">
      <w:pPr>
        <w:pStyle w:val="NormalHanging12a"/>
      </w:pPr>
      <w:r w:rsidRPr="00113B2A">
        <w:t>43.</w:t>
      </w:r>
      <w:r w:rsidRPr="00113B2A">
        <w:tab/>
        <w:t>opfordrer Kommissionen og medlemsstaterne til at øge forsknings-, udviklings- og innovationsbudgetterne betydeligt for at nå målet om 3 % af EU's BNP på en koordineret måde; fremhæver, at skatteincitamenter, der gennemføres på en finanspolitisk ansvarlig måde til privat forskning og udvikling (f.eks. via skattefradrag, øgede fradrag eller justerede afskrivningsplaner), kan bidrage til at løfte private udgifter til disse formål, hvilket ofte medfører positive eksterne virkninger; understreger, at der bør foretages regelmæssige analyser af sådanne positive eksterne virkninger, som bør justeres eller ophæves, hvis incitamenterne ikke giver det tilsigtede resultat, og noterer sig vurderingen af, at sådanne incitamenter er mere effektive for SMV'er, hvis de er udgiftsbaserede</w:t>
      </w:r>
      <w:r w:rsidRPr="007A20DD">
        <w:rPr>
          <w:rStyle w:val="FootnoteReference"/>
        </w:rPr>
        <w:footnoteReference w:id="34"/>
      </w:r>
      <w:r w:rsidRPr="007A20DD">
        <w:t>; understreger, at sådanne skatteincitamenter skal være i nøje overensstemmelse med eksisterende lovgivning og EU's overordnede politiske priorite</w:t>
      </w:r>
      <w:r w:rsidRPr="00113B2A">
        <w:t>ter; minder om, at virksomhedernes udgifter til forskning og udvikling udgjorde blot 1,5 % af EU's BNP i 2020 sammenlignet med 2,6 % i USA og Japan ifølge Den Europæiske Investeringsbanks investeringsrapport for 2022/2023; bemærker, at denne mangel kan reducere EU's konkurrenceevne på lang sigt; glæder sig i denne forbindelse over Kommissionens meddelelse af 16. marts 2023, der opfordrer medlemsstaterne til at yde støtte til forsknings- og innovationsaktiviteter; opfordrer Kommissionen til at fremlægge en vurdering af de mest effektive skatteincitamenter til privat forskning og udvikling;</w:t>
      </w:r>
    </w:p>
    <w:p w:rsidR="00FB1215" w:rsidRPr="00113B2A" w:rsidRDefault="00FB1215" w:rsidP="00FB1215">
      <w:pPr>
        <w:pStyle w:val="NormalHanging12a"/>
      </w:pPr>
      <w:r w:rsidRPr="00113B2A">
        <w:t>44.</w:t>
      </w:r>
      <w:r w:rsidRPr="00113B2A">
        <w:tab/>
        <w:t>opfordrer Kommissionen til at foretage en konsekvensanalyse af anvendelsen af nye teknologier for at forbedre hastigheden, effektiviteten, pålideligheden, gennemsigtigheden og modstandsdygtigheden af skatterelaterede administrative procedurer; forstår, at Kommissionen kan følge op på en sådan konsekvensanalyse med et forslag om at styrke samarbejdet mellem skattemyndighederne og drage fordel af den fastlagte gode praksis, hvilket fører til et erhvervsvenligt miljø med mindre bureaukrati, færre overholdelsesomkostninger og mindre administrativ overbelastning;</w:t>
      </w:r>
    </w:p>
    <w:p w:rsidR="00FB1215" w:rsidRPr="00113B2A" w:rsidRDefault="00FB1215" w:rsidP="00FB1215">
      <w:pPr>
        <w:pStyle w:val="NormalHanging12a"/>
      </w:pPr>
    </w:p>
    <w:p w:rsidR="00FB1215" w:rsidRPr="00113B2A" w:rsidRDefault="00FB1215" w:rsidP="00FB1215">
      <w:pPr>
        <w:pStyle w:val="NormalHanging12a"/>
        <w:jc w:val="center"/>
        <w:rPr>
          <w:rStyle w:val="BoldItalic"/>
          <w:b w:val="0"/>
          <w:i w:val="0"/>
        </w:rPr>
      </w:pPr>
      <w:r w:rsidRPr="00113B2A">
        <w:rPr>
          <w:rStyle w:val="BoldItalic"/>
        </w:rPr>
        <w:t>°</w:t>
      </w:r>
    </w:p>
    <w:p w:rsidR="00FB1215" w:rsidRPr="00113B2A" w:rsidRDefault="00FB1215" w:rsidP="00FB1215">
      <w:pPr>
        <w:pStyle w:val="NormalHanging12a"/>
        <w:jc w:val="center"/>
        <w:rPr>
          <w:rStyle w:val="BoldItalic"/>
          <w:b w:val="0"/>
          <w:i w:val="0"/>
        </w:rPr>
      </w:pPr>
      <w:r w:rsidRPr="00113B2A">
        <w:rPr>
          <w:rStyle w:val="BoldItalic"/>
        </w:rPr>
        <w:t>°</w:t>
      </w:r>
      <w:r w:rsidRPr="00113B2A">
        <w:rPr>
          <w:rStyle w:val="BoldItalic"/>
        </w:rPr>
        <w:tab/>
        <w:t>°</w:t>
      </w:r>
    </w:p>
    <w:p w:rsidR="00E365E1" w:rsidRPr="00113B2A" w:rsidRDefault="00FB1215" w:rsidP="00727405">
      <w:pPr>
        <w:pStyle w:val="NormalHanging12a"/>
      </w:pPr>
      <w:r w:rsidRPr="00113B2A">
        <w:t>45.</w:t>
      </w:r>
      <w:r w:rsidRPr="00113B2A">
        <w:tab/>
        <w:t>pålægger sin formand at sende denne beslutning til Rådet og Kommissionen.</w:t>
      </w:r>
      <w:bookmarkStart w:id="9" w:name="TextBodyEnd"/>
      <w:bookmarkEnd w:id="9"/>
    </w:p>
    <w:sectPr w:rsidR="00E365E1" w:rsidRPr="00113B2A" w:rsidSect="004D5E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67E" w:rsidRPr="004D5EE8" w:rsidRDefault="00CC267E">
      <w:r w:rsidRPr="004D5EE8">
        <w:separator/>
      </w:r>
    </w:p>
  </w:endnote>
  <w:endnote w:type="continuationSeparator" w:id="0">
    <w:p w:rsidR="00CC267E" w:rsidRPr="004D5EE8" w:rsidRDefault="00CC267E">
      <w:r w:rsidRPr="004D5E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E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E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E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67E" w:rsidRPr="004D5EE8" w:rsidRDefault="00CC267E">
      <w:r w:rsidRPr="004D5EE8">
        <w:separator/>
      </w:r>
    </w:p>
  </w:footnote>
  <w:footnote w:type="continuationSeparator" w:id="0">
    <w:p w:rsidR="00CC267E" w:rsidRPr="004D5EE8" w:rsidRDefault="00CC267E">
      <w:r w:rsidRPr="004D5EE8">
        <w:continuationSeparator/>
      </w:r>
    </w:p>
  </w:footnote>
  <w:footnote w:id="1">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157 af 26.6.2003, s. 49</w:t>
      </w:r>
      <w:r w:rsidRPr="004D5EE8">
        <w:rPr>
          <w:sz w:val="24"/>
          <w:lang w:val="da-DK"/>
        </w:rPr>
        <w:t>.</w:t>
      </w:r>
    </w:p>
  </w:footnote>
  <w:footnote w:id="2">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345 af 29.12.2011, s. 8</w:t>
      </w:r>
      <w:r w:rsidRPr="004D5EE8">
        <w:rPr>
          <w:sz w:val="24"/>
          <w:lang w:val="da-DK"/>
        </w:rPr>
        <w:t>.</w:t>
      </w:r>
    </w:p>
  </w:footnote>
  <w:footnote w:id="3">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193 af 19.7.2016, s. 1</w:t>
      </w:r>
      <w:r w:rsidRPr="004D5EE8">
        <w:rPr>
          <w:sz w:val="24"/>
          <w:lang w:val="da-DK"/>
        </w:rPr>
        <w:t>.</w:t>
      </w:r>
    </w:p>
  </w:footnote>
  <w:footnote w:id="4">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144 af 7.6.2017, s. 1</w:t>
      </w:r>
      <w:r w:rsidRPr="004D5EE8">
        <w:rPr>
          <w:sz w:val="24"/>
          <w:lang w:val="da-DK"/>
        </w:rPr>
        <w:t>.</w:t>
      </w:r>
    </w:p>
  </w:footnote>
  <w:footnote w:id="5">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64 af 11.3.2011, s. 1</w:t>
      </w:r>
      <w:r w:rsidRPr="004D5EE8">
        <w:rPr>
          <w:sz w:val="24"/>
          <w:lang w:val="da-DK"/>
        </w:rPr>
        <w:t>.</w:t>
      </w:r>
    </w:p>
  </w:footnote>
  <w:footnote w:id="6">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359 af 16.12.2014, s. 1</w:t>
      </w:r>
      <w:r w:rsidRPr="004D5EE8">
        <w:rPr>
          <w:sz w:val="24"/>
          <w:lang w:val="da-DK"/>
        </w:rPr>
        <w:t>.</w:t>
      </w:r>
    </w:p>
  </w:footnote>
  <w:footnote w:id="7">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332 af 18.12.2015, s. 1</w:t>
      </w:r>
      <w:r w:rsidRPr="004D5EE8">
        <w:rPr>
          <w:sz w:val="24"/>
          <w:lang w:val="da-DK"/>
        </w:rPr>
        <w:t>.</w:t>
      </w:r>
    </w:p>
  </w:footnote>
  <w:footnote w:id="8">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146 af 3.6.2016, s. 8</w:t>
      </w:r>
      <w:r w:rsidRPr="004D5EE8">
        <w:rPr>
          <w:sz w:val="24"/>
          <w:lang w:val="da-DK"/>
        </w:rPr>
        <w:t>.</w:t>
      </w:r>
    </w:p>
  </w:footnote>
  <w:footnote w:id="9">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342 af 16.12.2016, s. 1</w:t>
      </w:r>
      <w:r w:rsidRPr="004D5EE8">
        <w:rPr>
          <w:sz w:val="24"/>
          <w:lang w:val="da-DK"/>
        </w:rPr>
        <w:t>.</w:t>
      </w:r>
    </w:p>
  </w:footnote>
  <w:footnote w:id="10">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139 af 5.6.2018, s. 1</w:t>
      </w:r>
      <w:r w:rsidRPr="004D5EE8">
        <w:rPr>
          <w:sz w:val="24"/>
          <w:lang w:val="da-DK"/>
        </w:rPr>
        <w:t>.</w:t>
      </w:r>
    </w:p>
  </w:footnote>
  <w:footnote w:id="11">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104 af 25.3.2021, s. 1</w:t>
      </w:r>
      <w:r w:rsidRPr="004D5EE8">
        <w:rPr>
          <w:sz w:val="24"/>
          <w:lang w:val="da-DK"/>
        </w:rPr>
        <w:t>.</w:t>
      </w:r>
    </w:p>
  </w:footnote>
  <w:footnote w:id="12">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265 af 14.10.2017, s. 1</w:t>
      </w:r>
      <w:r w:rsidRPr="004D5EE8">
        <w:rPr>
          <w:sz w:val="24"/>
          <w:lang w:val="da-DK"/>
        </w:rPr>
        <w:t>.</w:t>
      </w:r>
    </w:p>
  </w:footnote>
  <w:footnote w:id="13">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429 af 1.12.2021, s. 1</w:t>
      </w:r>
      <w:r w:rsidRPr="004D5EE8">
        <w:rPr>
          <w:sz w:val="24"/>
          <w:lang w:val="da-DK"/>
        </w:rPr>
        <w:t>.</w:t>
      </w:r>
    </w:p>
  </w:footnote>
  <w:footnote w:id="14">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328 af 22.12.2022, s. 1</w:t>
      </w:r>
      <w:r w:rsidRPr="004D5EE8">
        <w:rPr>
          <w:sz w:val="24"/>
          <w:lang w:val="da-DK"/>
        </w:rPr>
        <w:t>.</w:t>
      </w:r>
    </w:p>
  </w:footnote>
  <w:footnote w:id="15">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https://ec.europa.eu/commission/presscorner/detail/da/IP_</w:t>
      </w:r>
      <w:r w:rsidRPr="00727405">
        <w:rPr>
          <w:sz w:val="24"/>
          <w:lang w:val="da-DK"/>
        </w:rPr>
        <w:t>19</w:t>
      </w:r>
      <w:r w:rsidRPr="004D5EE8">
        <w:rPr>
          <w:sz w:val="24"/>
          <w:lang w:val="da-DK"/>
        </w:rPr>
        <w:t>_</w:t>
      </w:r>
      <w:r w:rsidRPr="00727405">
        <w:rPr>
          <w:sz w:val="24"/>
          <w:lang w:val="da-DK"/>
        </w:rPr>
        <w:t>225</w:t>
      </w:r>
      <w:r w:rsidRPr="004D5EE8">
        <w:rPr>
          <w:sz w:val="24"/>
          <w:lang w:val="da-DK"/>
        </w:rPr>
        <w:t>.</w:t>
      </w:r>
    </w:p>
  </w:footnote>
  <w:footnote w:id="16">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https://ec.europa.eu/commission/presscorner/detail/da/ip_</w:t>
      </w:r>
      <w:r w:rsidRPr="00727405">
        <w:rPr>
          <w:sz w:val="24"/>
          <w:lang w:val="da-DK"/>
        </w:rPr>
        <w:t>21</w:t>
      </w:r>
      <w:r w:rsidRPr="004D5EE8">
        <w:rPr>
          <w:sz w:val="24"/>
          <w:lang w:val="da-DK"/>
        </w:rPr>
        <w:t>_</w:t>
      </w:r>
      <w:r w:rsidRPr="00727405">
        <w:rPr>
          <w:sz w:val="24"/>
          <w:lang w:val="da-DK"/>
        </w:rPr>
        <w:t>7025</w:t>
      </w:r>
      <w:r w:rsidRPr="004D5EE8">
        <w:rPr>
          <w:sz w:val="24"/>
          <w:lang w:val="da-DK"/>
        </w:rPr>
        <w:t>.</w:t>
      </w:r>
    </w:p>
  </w:footnote>
  <w:footnote w:id="17">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C 479 af 16.12.2022, s. 89</w:t>
      </w:r>
      <w:r w:rsidRPr="004D5EE8">
        <w:rPr>
          <w:sz w:val="24"/>
          <w:lang w:val="da-DK"/>
        </w:rPr>
        <w:t>.</w:t>
      </w:r>
    </w:p>
  </w:footnote>
  <w:footnote w:id="18">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https://ec.europa.eu/commission/presscorner/detail/da/ip_</w:t>
      </w:r>
      <w:r w:rsidRPr="00727405">
        <w:rPr>
          <w:sz w:val="24"/>
          <w:lang w:val="da-DK"/>
        </w:rPr>
        <w:t>23</w:t>
      </w:r>
      <w:r w:rsidRPr="004D5EE8">
        <w:rPr>
          <w:sz w:val="24"/>
          <w:lang w:val="da-DK"/>
        </w:rPr>
        <w:t>_</w:t>
      </w:r>
      <w:r w:rsidRPr="00727405">
        <w:rPr>
          <w:sz w:val="24"/>
          <w:lang w:val="da-DK"/>
        </w:rPr>
        <w:t>3328</w:t>
      </w:r>
      <w:r w:rsidRPr="004D5EE8">
        <w:rPr>
          <w:sz w:val="24"/>
          <w:lang w:val="da-DK"/>
        </w:rPr>
        <w:t>.</w:t>
      </w:r>
    </w:p>
  </w:footnote>
  <w:footnote w:id="19">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C 465 af 6.12.2022, s. 109</w:t>
      </w:r>
      <w:r w:rsidRPr="004D5EE8">
        <w:rPr>
          <w:sz w:val="24"/>
          <w:lang w:val="da-DK"/>
        </w:rPr>
        <w:t>.</w:t>
      </w:r>
    </w:p>
  </w:footnote>
  <w:footnote w:id="20">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https://taxation-customs.ec.europa.eu/taxation-</w:t>
      </w:r>
      <w:r w:rsidRPr="00727405">
        <w:rPr>
          <w:sz w:val="24"/>
          <w:lang w:val="da-DK"/>
        </w:rPr>
        <w:t>1</w:t>
      </w:r>
      <w:r w:rsidRPr="004D5EE8">
        <w:rPr>
          <w:sz w:val="24"/>
          <w:lang w:val="da-DK"/>
        </w:rPr>
        <w:t>/economic-analysis-taxation/annual-report-taxation_da.</w:t>
      </w:r>
    </w:p>
  </w:footnote>
  <w:footnote w:id="21">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C 132 af 24.3.2022, s. 167</w:t>
      </w:r>
      <w:r w:rsidRPr="004D5EE8">
        <w:rPr>
          <w:sz w:val="24"/>
          <w:lang w:val="da-DK"/>
        </w:rPr>
        <w:t>.</w:t>
      </w:r>
    </w:p>
  </w:footnote>
  <w:footnote w:id="22">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C 342 af 6.9.2022, s. 14</w:t>
      </w:r>
      <w:r w:rsidRPr="004D5EE8">
        <w:rPr>
          <w:sz w:val="24"/>
          <w:lang w:val="da-DK"/>
        </w:rPr>
        <w:t>.</w:t>
      </w:r>
    </w:p>
  </w:footnote>
  <w:footnote w:id="23">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C 347 af 9.9.2022, s. 211</w:t>
      </w:r>
      <w:r w:rsidRPr="004D5EE8">
        <w:rPr>
          <w:sz w:val="24"/>
          <w:lang w:val="da-DK"/>
        </w:rPr>
        <w:t>.</w:t>
      </w:r>
    </w:p>
  </w:footnote>
  <w:footnote w:id="24">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 xml:space="preserve">Europa-Parlamentet, </w:t>
      </w:r>
      <w:hyperlink r:id="rId1" w:history="1">
        <w:r w:rsidRPr="004D5EE8">
          <w:rPr>
            <w:rStyle w:val="Hyperlink"/>
            <w:i/>
            <w:sz w:val="24"/>
            <w:lang w:val="da-DK"/>
          </w:rPr>
          <w:t>betænkning om en europæisk ramme for kildeskat</w:t>
        </w:r>
      </w:hyperlink>
      <w:r w:rsidRPr="004D5EE8">
        <w:rPr>
          <w:sz w:val="24"/>
          <w:lang w:val="da-DK"/>
        </w:rPr>
        <w:t>, februar </w:t>
      </w:r>
      <w:r w:rsidRPr="00727405">
        <w:rPr>
          <w:sz w:val="24"/>
          <w:lang w:val="da-DK"/>
        </w:rPr>
        <w:t>2022</w:t>
      </w:r>
      <w:r w:rsidRPr="004D5EE8">
        <w:rPr>
          <w:sz w:val="24"/>
          <w:lang w:val="da-DK"/>
        </w:rPr>
        <w:t xml:space="preserve">. </w:t>
      </w:r>
    </w:p>
  </w:footnote>
  <w:footnote w:id="25">
    <w:p w:rsidR="00FB1215" w:rsidRPr="00113B2A" w:rsidRDefault="00FB1215" w:rsidP="004D5EE8">
      <w:pPr>
        <w:pStyle w:val="FootnoteText"/>
        <w:ind w:left="567" w:hanging="567"/>
        <w:rPr>
          <w:sz w:val="24"/>
          <w:lang w:val="en-GB"/>
        </w:rPr>
      </w:pPr>
      <w:r w:rsidRPr="004D5EE8">
        <w:rPr>
          <w:rStyle w:val="FootnoteReference"/>
          <w:sz w:val="24"/>
          <w:lang w:val="da-DK"/>
        </w:rPr>
        <w:footnoteRef/>
      </w:r>
      <w:r w:rsidR="004D5EE8" w:rsidRPr="00113B2A">
        <w:rPr>
          <w:sz w:val="24"/>
          <w:lang w:val="en-GB"/>
        </w:rPr>
        <w:t xml:space="preserve"> </w:t>
      </w:r>
      <w:r w:rsidR="004D5EE8" w:rsidRPr="00113B2A">
        <w:rPr>
          <w:sz w:val="24"/>
          <w:lang w:val="en-GB"/>
        </w:rPr>
        <w:tab/>
      </w:r>
      <w:r w:rsidRPr="00113B2A">
        <w:rPr>
          <w:sz w:val="24"/>
          <w:lang w:val="en-GB"/>
        </w:rPr>
        <w:t xml:space="preserve">EUT C 132 </w:t>
      </w:r>
      <w:proofErr w:type="spellStart"/>
      <w:proofErr w:type="gramStart"/>
      <w:r w:rsidRPr="00113B2A">
        <w:rPr>
          <w:sz w:val="24"/>
          <w:lang w:val="en-GB"/>
        </w:rPr>
        <w:t>af</w:t>
      </w:r>
      <w:proofErr w:type="spellEnd"/>
      <w:proofErr w:type="gramEnd"/>
      <w:r w:rsidRPr="00113B2A">
        <w:rPr>
          <w:sz w:val="24"/>
          <w:lang w:val="en-GB"/>
        </w:rPr>
        <w:t xml:space="preserve"> 14.4.2023, s. 15.</w:t>
      </w:r>
    </w:p>
  </w:footnote>
  <w:footnote w:id="26">
    <w:p w:rsidR="00FB1215" w:rsidRPr="00113B2A" w:rsidRDefault="00FB1215" w:rsidP="004D5EE8">
      <w:pPr>
        <w:pStyle w:val="FootnoteText"/>
        <w:ind w:left="567" w:hanging="567"/>
        <w:rPr>
          <w:sz w:val="24"/>
          <w:lang w:val="en-GB"/>
        </w:rPr>
      </w:pPr>
      <w:r w:rsidRPr="004D5EE8">
        <w:rPr>
          <w:rStyle w:val="FootnoteReference"/>
          <w:sz w:val="24"/>
          <w:lang w:val="da-DK"/>
        </w:rPr>
        <w:footnoteRef/>
      </w:r>
      <w:r w:rsidR="004D5EE8" w:rsidRPr="00113B2A">
        <w:rPr>
          <w:sz w:val="24"/>
          <w:lang w:val="en-GB"/>
        </w:rPr>
        <w:t xml:space="preserve"> </w:t>
      </w:r>
      <w:r w:rsidR="004D5EE8" w:rsidRPr="00113B2A">
        <w:rPr>
          <w:sz w:val="24"/>
          <w:lang w:val="en-GB"/>
        </w:rPr>
        <w:tab/>
      </w:r>
      <w:r w:rsidRPr="00113B2A">
        <w:rPr>
          <w:sz w:val="24"/>
          <w:lang w:val="en-GB"/>
        </w:rPr>
        <w:t>"Study on Structures of Aggressive Tax Planning and Indicators – Final Report" (Taxation paper No 61, 27. </w:t>
      </w:r>
      <w:proofErr w:type="spellStart"/>
      <w:r w:rsidRPr="00113B2A">
        <w:rPr>
          <w:sz w:val="24"/>
          <w:lang w:val="en-GB"/>
        </w:rPr>
        <w:t>januar</w:t>
      </w:r>
      <w:proofErr w:type="spellEnd"/>
      <w:r w:rsidRPr="00113B2A">
        <w:rPr>
          <w:sz w:val="24"/>
          <w:lang w:val="en-GB"/>
        </w:rPr>
        <w:t> 2016), "The Impact of Tax Planning on Forward-Looking Effective Tax Rates" (Taxation paper No 64, 25. </w:t>
      </w:r>
      <w:proofErr w:type="spellStart"/>
      <w:r w:rsidRPr="00113B2A">
        <w:rPr>
          <w:sz w:val="24"/>
          <w:lang w:val="en-GB"/>
        </w:rPr>
        <w:t>oktober</w:t>
      </w:r>
      <w:proofErr w:type="spellEnd"/>
      <w:r w:rsidRPr="00113B2A">
        <w:rPr>
          <w:sz w:val="24"/>
          <w:lang w:val="en-GB"/>
        </w:rPr>
        <w:t xml:space="preserve"> 2016) </w:t>
      </w:r>
      <w:proofErr w:type="spellStart"/>
      <w:proofErr w:type="gramStart"/>
      <w:r w:rsidRPr="00113B2A">
        <w:rPr>
          <w:sz w:val="24"/>
          <w:lang w:val="en-GB"/>
        </w:rPr>
        <w:t>og</w:t>
      </w:r>
      <w:proofErr w:type="spellEnd"/>
      <w:proofErr w:type="gramEnd"/>
      <w:r w:rsidRPr="00113B2A">
        <w:rPr>
          <w:sz w:val="24"/>
          <w:lang w:val="en-GB"/>
        </w:rPr>
        <w:t xml:space="preserve"> "Aggressive tax planning indicators – Final Report" (Taxation paper No 71, 7. marts 2018).</w:t>
      </w:r>
    </w:p>
  </w:footnote>
  <w:footnote w:id="27">
    <w:p w:rsidR="00FB1215" w:rsidRPr="00D77FF7" w:rsidRDefault="00FB1215" w:rsidP="004D5EE8">
      <w:pPr>
        <w:pStyle w:val="FootnoteText"/>
        <w:ind w:left="567" w:hanging="567"/>
        <w:rPr>
          <w:sz w:val="24"/>
          <w:lang w:val="en-GB"/>
        </w:rPr>
      </w:pPr>
      <w:r w:rsidRPr="004D5EE8">
        <w:rPr>
          <w:rStyle w:val="FootnoteReference"/>
          <w:sz w:val="24"/>
          <w:lang w:val="da-DK"/>
        </w:rPr>
        <w:footnoteRef/>
      </w:r>
      <w:r w:rsidR="004D5EE8" w:rsidRPr="00D77FF7">
        <w:rPr>
          <w:sz w:val="24"/>
          <w:lang w:val="en-GB"/>
        </w:rPr>
        <w:t xml:space="preserve"> </w:t>
      </w:r>
      <w:r w:rsidR="004D5EE8" w:rsidRPr="00D77FF7">
        <w:rPr>
          <w:sz w:val="24"/>
          <w:lang w:val="en-GB"/>
        </w:rPr>
        <w:tab/>
      </w:r>
      <w:r w:rsidRPr="00D77FF7">
        <w:rPr>
          <w:sz w:val="24"/>
          <w:lang w:val="en-GB"/>
        </w:rPr>
        <w:t>Europa-</w:t>
      </w:r>
      <w:proofErr w:type="spellStart"/>
      <w:r w:rsidRPr="00D77FF7">
        <w:rPr>
          <w:sz w:val="24"/>
          <w:lang w:val="en-GB"/>
        </w:rPr>
        <w:t>Kommissionen</w:t>
      </w:r>
      <w:proofErr w:type="spellEnd"/>
      <w:r w:rsidRPr="00D77FF7">
        <w:rPr>
          <w:sz w:val="24"/>
          <w:lang w:val="en-GB"/>
        </w:rPr>
        <w:t xml:space="preserve">, </w:t>
      </w:r>
      <w:r w:rsidRPr="00D77FF7">
        <w:rPr>
          <w:i/>
          <w:sz w:val="24"/>
          <w:lang w:val="en-GB"/>
        </w:rPr>
        <w:t>Impact assessment accompanying the document proposal for a Council directive on laying down rules on a debt-equity bias reduction and on limiting the deductibility of interest for corporate income tax purposes,</w:t>
      </w:r>
      <w:r w:rsidRPr="00D77FF7">
        <w:rPr>
          <w:sz w:val="24"/>
          <w:lang w:val="en-GB"/>
        </w:rPr>
        <w:t xml:space="preserve"> (</w:t>
      </w:r>
      <w:proofErr w:type="spellStart"/>
      <w:r w:rsidRPr="00D77FF7">
        <w:rPr>
          <w:sz w:val="24"/>
          <w:lang w:val="en-GB"/>
        </w:rPr>
        <w:t>konsekvensanalyse</w:t>
      </w:r>
      <w:proofErr w:type="spellEnd"/>
      <w:r w:rsidRPr="00D77FF7">
        <w:rPr>
          <w:sz w:val="24"/>
          <w:lang w:val="en-GB"/>
        </w:rPr>
        <w:t xml:space="preserve">, der </w:t>
      </w:r>
      <w:proofErr w:type="spellStart"/>
      <w:r w:rsidRPr="00D77FF7">
        <w:rPr>
          <w:sz w:val="24"/>
          <w:lang w:val="en-GB"/>
        </w:rPr>
        <w:t>ledsager</w:t>
      </w:r>
      <w:proofErr w:type="spellEnd"/>
      <w:r w:rsidRPr="00D77FF7">
        <w:rPr>
          <w:sz w:val="24"/>
          <w:lang w:val="en-GB"/>
        </w:rPr>
        <w:t xml:space="preserve"> </w:t>
      </w:r>
      <w:proofErr w:type="spellStart"/>
      <w:r w:rsidRPr="00D77FF7">
        <w:rPr>
          <w:sz w:val="24"/>
          <w:lang w:val="en-GB"/>
        </w:rPr>
        <w:t>forslag</w:t>
      </w:r>
      <w:proofErr w:type="spellEnd"/>
      <w:r w:rsidRPr="00D77FF7">
        <w:rPr>
          <w:sz w:val="24"/>
          <w:lang w:val="en-GB"/>
        </w:rPr>
        <w:t xml:space="preserve"> </w:t>
      </w:r>
      <w:proofErr w:type="spellStart"/>
      <w:r w:rsidRPr="00D77FF7">
        <w:rPr>
          <w:sz w:val="24"/>
          <w:lang w:val="en-GB"/>
        </w:rPr>
        <w:t>til</w:t>
      </w:r>
      <w:proofErr w:type="spellEnd"/>
      <w:r w:rsidRPr="00D77FF7">
        <w:rPr>
          <w:sz w:val="24"/>
          <w:lang w:val="en-GB"/>
        </w:rPr>
        <w:t xml:space="preserve"> </w:t>
      </w:r>
      <w:proofErr w:type="spellStart"/>
      <w:r w:rsidRPr="00D77FF7">
        <w:rPr>
          <w:sz w:val="24"/>
          <w:lang w:val="en-GB"/>
        </w:rPr>
        <w:t>Rådets</w:t>
      </w:r>
      <w:proofErr w:type="spellEnd"/>
      <w:r w:rsidRPr="00D77FF7">
        <w:rPr>
          <w:sz w:val="24"/>
          <w:lang w:val="en-GB"/>
        </w:rPr>
        <w:t xml:space="preserve"> </w:t>
      </w:r>
      <w:proofErr w:type="spellStart"/>
      <w:r w:rsidRPr="00D77FF7">
        <w:rPr>
          <w:sz w:val="24"/>
          <w:lang w:val="en-GB"/>
        </w:rPr>
        <w:t>direktiv</w:t>
      </w:r>
      <w:proofErr w:type="spellEnd"/>
      <w:r w:rsidRPr="00D77FF7">
        <w:rPr>
          <w:sz w:val="24"/>
          <w:lang w:val="en-GB"/>
        </w:rPr>
        <w:t xml:space="preserve"> om </w:t>
      </w:r>
      <w:proofErr w:type="spellStart"/>
      <w:r w:rsidRPr="00D77FF7">
        <w:rPr>
          <w:sz w:val="24"/>
          <w:lang w:val="en-GB"/>
        </w:rPr>
        <w:t>fastsættelse</w:t>
      </w:r>
      <w:proofErr w:type="spellEnd"/>
      <w:r w:rsidRPr="00D77FF7">
        <w:rPr>
          <w:sz w:val="24"/>
          <w:lang w:val="en-GB"/>
        </w:rPr>
        <w:t xml:space="preserve"> </w:t>
      </w:r>
      <w:proofErr w:type="spellStart"/>
      <w:r w:rsidRPr="00D77FF7">
        <w:rPr>
          <w:sz w:val="24"/>
          <w:lang w:val="en-GB"/>
        </w:rPr>
        <w:t>af</w:t>
      </w:r>
      <w:proofErr w:type="spellEnd"/>
      <w:r w:rsidRPr="00D77FF7">
        <w:rPr>
          <w:sz w:val="24"/>
          <w:lang w:val="en-GB"/>
        </w:rPr>
        <w:t xml:space="preserve"> </w:t>
      </w:r>
      <w:proofErr w:type="spellStart"/>
      <w:r w:rsidRPr="00D77FF7">
        <w:rPr>
          <w:sz w:val="24"/>
          <w:lang w:val="en-GB"/>
        </w:rPr>
        <w:t>regler</w:t>
      </w:r>
      <w:proofErr w:type="spellEnd"/>
      <w:r w:rsidRPr="00D77FF7">
        <w:rPr>
          <w:sz w:val="24"/>
          <w:lang w:val="en-GB"/>
        </w:rPr>
        <w:t xml:space="preserve"> om et </w:t>
      </w:r>
      <w:proofErr w:type="spellStart"/>
      <w:r w:rsidRPr="00D77FF7">
        <w:rPr>
          <w:sz w:val="24"/>
          <w:lang w:val="en-GB"/>
        </w:rPr>
        <w:t>fradrag</w:t>
      </w:r>
      <w:proofErr w:type="spellEnd"/>
      <w:r w:rsidRPr="00D77FF7">
        <w:rPr>
          <w:sz w:val="24"/>
          <w:lang w:val="en-GB"/>
        </w:rPr>
        <w:t xml:space="preserve"> </w:t>
      </w:r>
      <w:proofErr w:type="spellStart"/>
      <w:r w:rsidRPr="00D77FF7">
        <w:rPr>
          <w:sz w:val="24"/>
          <w:lang w:val="en-GB"/>
        </w:rPr>
        <w:t>til</w:t>
      </w:r>
      <w:proofErr w:type="spellEnd"/>
      <w:r w:rsidRPr="00D77FF7">
        <w:rPr>
          <w:sz w:val="24"/>
          <w:lang w:val="en-GB"/>
        </w:rPr>
        <w:t xml:space="preserve"> </w:t>
      </w:r>
      <w:proofErr w:type="spellStart"/>
      <w:r w:rsidRPr="00D77FF7">
        <w:rPr>
          <w:sz w:val="24"/>
          <w:lang w:val="en-GB"/>
        </w:rPr>
        <w:t>reduktion</w:t>
      </w:r>
      <w:proofErr w:type="spellEnd"/>
      <w:r w:rsidRPr="00D77FF7">
        <w:rPr>
          <w:sz w:val="24"/>
          <w:lang w:val="en-GB"/>
        </w:rPr>
        <w:t xml:space="preserve"> </w:t>
      </w:r>
      <w:proofErr w:type="spellStart"/>
      <w:r w:rsidRPr="00D77FF7">
        <w:rPr>
          <w:sz w:val="24"/>
          <w:lang w:val="en-GB"/>
        </w:rPr>
        <w:t>af</w:t>
      </w:r>
      <w:proofErr w:type="spellEnd"/>
      <w:r w:rsidRPr="00D77FF7">
        <w:rPr>
          <w:sz w:val="24"/>
          <w:lang w:val="en-GB"/>
        </w:rPr>
        <w:t xml:space="preserve"> </w:t>
      </w:r>
      <w:proofErr w:type="spellStart"/>
      <w:r w:rsidRPr="00D77FF7">
        <w:rPr>
          <w:sz w:val="24"/>
          <w:lang w:val="en-GB"/>
        </w:rPr>
        <w:t>skævvridningen</w:t>
      </w:r>
      <w:proofErr w:type="spellEnd"/>
      <w:r w:rsidRPr="00D77FF7">
        <w:rPr>
          <w:sz w:val="24"/>
          <w:lang w:val="en-GB"/>
        </w:rPr>
        <w:t xml:space="preserve"> </w:t>
      </w:r>
      <w:proofErr w:type="spellStart"/>
      <w:r w:rsidRPr="00D77FF7">
        <w:rPr>
          <w:sz w:val="24"/>
          <w:lang w:val="en-GB"/>
        </w:rPr>
        <w:t>mellem</w:t>
      </w:r>
      <w:proofErr w:type="spellEnd"/>
      <w:r w:rsidRPr="00D77FF7">
        <w:rPr>
          <w:sz w:val="24"/>
          <w:lang w:val="en-GB"/>
        </w:rPr>
        <w:t xml:space="preserve"> </w:t>
      </w:r>
      <w:proofErr w:type="spellStart"/>
      <w:r w:rsidRPr="00D77FF7">
        <w:rPr>
          <w:sz w:val="24"/>
          <w:lang w:val="en-GB"/>
        </w:rPr>
        <w:t>gæld</w:t>
      </w:r>
      <w:proofErr w:type="spellEnd"/>
      <w:r w:rsidRPr="00D77FF7">
        <w:rPr>
          <w:sz w:val="24"/>
          <w:lang w:val="en-GB"/>
        </w:rPr>
        <w:t xml:space="preserve"> </w:t>
      </w:r>
      <w:proofErr w:type="spellStart"/>
      <w:r w:rsidRPr="00D77FF7">
        <w:rPr>
          <w:sz w:val="24"/>
          <w:lang w:val="en-GB"/>
        </w:rPr>
        <w:t>og</w:t>
      </w:r>
      <w:proofErr w:type="spellEnd"/>
      <w:r w:rsidRPr="00D77FF7">
        <w:rPr>
          <w:sz w:val="24"/>
          <w:lang w:val="en-GB"/>
        </w:rPr>
        <w:t xml:space="preserve"> </w:t>
      </w:r>
      <w:proofErr w:type="spellStart"/>
      <w:r w:rsidRPr="00D77FF7">
        <w:rPr>
          <w:sz w:val="24"/>
          <w:lang w:val="en-GB"/>
        </w:rPr>
        <w:t>egenkapital</w:t>
      </w:r>
      <w:proofErr w:type="spellEnd"/>
      <w:r w:rsidRPr="00D77FF7">
        <w:rPr>
          <w:sz w:val="24"/>
          <w:lang w:val="en-GB"/>
        </w:rPr>
        <w:t xml:space="preserve"> </w:t>
      </w:r>
      <w:proofErr w:type="spellStart"/>
      <w:r w:rsidRPr="00D77FF7">
        <w:rPr>
          <w:sz w:val="24"/>
          <w:lang w:val="en-GB"/>
        </w:rPr>
        <w:t>og</w:t>
      </w:r>
      <w:proofErr w:type="spellEnd"/>
      <w:r w:rsidRPr="00D77FF7">
        <w:rPr>
          <w:sz w:val="24"/>
          <w:lang w:val="en-GB"/>
        </w:rPr>
        <w:t xml:space="preserve"> om </w:t>
      </w:r>
      <w:proofErr w:type="spellStart"/>
      <w:r w:rsidRPr="00D77FF7">
        <w:rPr>
          <w:sz w:val="24"/>
          <w:lang w:val="en-GB"/>
        </w:rPr>
        <w:t>begrænsning</w:t>
      </w:r>
      <w:proofErr w:type="spellEnd"/>
      <w:r w:rsidRPr="00D77FF7">
        <w:rPr>
          <w:sz w:val="24"/>
          <w:lang w:val="en-GB"/>
        </w:rPr>
        <w:t xml:space="preserve"> </w:t>
      </w:r>
      <w:proofErr w:type="spellStart"/>
      <w:r w:rsidRPr="00D77FF7">
        <w:rPr>
          <w:sz w:val="24"/>
          <w:lang w:val="en-GB"/>
        </w:rPr>
        <w:t>af</w:t>
      </w:r>
      <w:proofErr w:type="spellEnd"/>
      <w:r w:rsidRPr="00D77FF7">
        <w:rPr>
          <w:sz w:val="24"/>
          <w:lang w:val="en-GB"/>
        </w:rPr>
        <w:t xml:space="preserve"> </w:t>
      </w:r>
      <w:proofErr w:type="spellStart"/>
      <w:r w:rsidRPr="00D77FF7">
        <w:rPr>
          <w:sz w:val="24"/>
          <w:lang w:val="en-GB"/>
        </w:rPr>
        <w:t>fradragsretten</w:t>
      </w:r>
      <w:proofErr w:type="spellEnd"/>
      <w:r w:rsidRPr="00D77FF7">
        <w:rPr>
          <w:sz w:val="24"/>
          <w:lang w:val="en-GB"/>
        </w:rPr>
        <w:t xml:space="preserve"> for renter </w:t>
      </w:r>
      <w:proofErr w:type="spellStart"/>
      <w:r w:rsidRPr="00D77FF7">
        <w:rPr>
          <w:sz w:val="24"/>
          <w:lang w:val="en-GB"/>
        </w:rPr>
        <w:t>i</w:t>
      </w:r>
      <w:proofErr w:type="spellEnd"/>
      <w:r w:rsidRPr="00D77FF7">
        <w:rPr>
          <w:sz w:val="24"/>
          <w:lang w:val="en-GB"/>
        </w:rPr>
        <w:t xml:space="preserve"> </w:t>
      </w:r>
      <w:proofErr w:type="spellStart"/>
      <w:r w:rsidRPr="00D77FF7">
        <w:rPr>
          <w:sz w:val="24"/>
          <w:lang w:val="en-GB"/>
        </w:rPr>
        <w:t>forbindelse</w:t>
      </w:r>
      <w:proofErr w:type="spellEnd"/>
      <w:r w:rsidRPr="00D77FF7">
        <w:rPr>
          <w:sz w:val="24"/>
          <w:lang w:val="en-GB"/>
        </w:rPr>
        <w:t xml:space="preserve"> med </w:t>
      </w:r>
      <w:proofErr w:type="spellStart"/>
      <w:r w:rsidRPr="00D77FF7">
        <w:rPr>
          <w:sz w:val="24"/>
          <w:lang w:val="en-GB"/>
        </w:rPr>
        <w:t>selskabsskat</w:t>
      </w:r>
      <w:proofErr w:type="spellEnd"/>
      <w:r w:rsidRPr="00D77FF7">
        <w:rPr>
          <w:sz w:val="24"/>
          <w:lang w:val="en-GB"/>
        </w:rPr>
        <w:t xml:space="preserve">) (SWD(2022)0145). </w:t>
      </w:r>
    </w:p>
  </w:footnote>
  <w:footnote w:id="28">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 xml:space="preserve">OECD, </w:t>
      </w:r>
      <w:hyperlink r:id="rId2" w:history="1">
        <w:r w:rsidRPr="004D5EE8">
          <w:rPr>
            <w:rStyle w:val="Hyperlink"/>
            <w:sz w:val="24"/>
            <w:lang w:val="da-DK"/>
          </w:rPr>
          <w:t xml:space="preserve">Aggressive </w:t>
        </w:r>
        <w:proofErr w:type="spellStart"/>
        <w:r w:rsidRPr="004D5EE8">
          <w:rPr>
            <w:rStyle w:val="Hyperlink"/>
            <w:sz w:val="24"/>
            <w:lang w:val="da-DK"/>
          </w:rPr>
          <w:t>Tax</w:t>
        </w:r>
        <w:proofErr w:type="spellEnd"/>
        <w:r w:rsidRPr="004D5EE8">
          <w:rPr>
            <w:rStyle w:val="Hyperlink"/>
            <w:sz w:val="24"/>
            <w:lang w:val="da-DK"/>
          </w:rPr>
          <w:t xml:space="preserve"> Planning</w:t>
        </w:r>
      </w:hyperlink>
      <w:r w:rsidRPr="004D5EE8">
        <w:rPr>
          <w:sz w:val="24"/>
          <w:lang w:val="da-DK"/>
        </w:rPr>
        <w:t xml:space="preserve"> (aggressiv skatteplanlægning).</w:t>
      </w:r>
    </w:p>
  </w:footnote>
  <w:footnote w:id="29">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Se navnlig direktiverne om bekæmpelse af skatteundgåelse (ATAD I og ATAD II), ændringerne af direktivet om administrativt samarbejde på beskatningsområdet (DAC </w:t>
      </w:r>
      <w:r w:rsidRPr="00727405">
        <w:rPr>
          <w:sz w:val="24"/>
          <w:lang w:val="da-DK"/>
        </w:rPr>
        <w:t>1</w:t>
      </w:r>
      <w:r w:rsidRPr="004D5EE8">
        <w:rPr>
          <w:sz w:val="24"/>
          <w:lang w:val="da-DK"/>
        </w:rPr>
        <w:t>-DAC </w:t>
      </w:r>
      <w:r w:rsidRPr="00727405">
        <w:rPr>
          <w:sz w:val="24"/>
          <w:lang w:val="da-DK"/>
        </w:rPr>
        <w:t>7</w:t>
      </w:r>
      <w:r w:rsidRPr="004D5EE8">
        <w:rPr>
          <w:sz w:val="24"/>
          <w:lang w:val="da-DK"/>
        </w:rPr>
        <w:t>), revisionen af direktivet om moder- og datterselskaber, EU's direktiv om tvistbilæggelse, direktivet om offentlig landeopdelt rapportering eller søjle II-direktivet.</w:t>
      </w:r>
    </w:p>
  </w:footnote>
  <w:footnote w:id="30">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 xml:space="preserve">Vedtagne tekster, </w:t>
      </w:r>
      <w:r w:rsidR="00727405" w:rsidRPr="00113B2A">
        <w:rPr>
          <w:lang w:val="da-DK"/>
        </w:rPr>
        <w:t>P8_</w:t>
      </w:r>
      <w:proofErr w:type="gramStart"/>
      <w:r w:rsidR="00727405" w:rsidRPr="00113B2A">
        <w:rPr>
          <w:lang w:val="da-DK"/>
        </w:rPr>
        <w:t>TA(</w:t>
      </w:r>
      <w:proofErr w:type="gramEnd"/>
      <w:r w:rsidR="00727405" w:rsidRPr="00113B2A">
        <w:rPr>
          <w:lang w:val="da-DK"/>
        </w:rPr>
        <w:t>2018)0087</w:t>
      </w:r>
      <w:r w:rsidRPr="004D5EE8">
        <w:rPr>
          <w:sz w:val="24"/>
          <w:lang w:val="da-DK"/>
        </w:rPr>
        <w:t>.</w:t>
      </w:r>
    </w:p>
  </w:footnote>
  <w:footnote w:id="31">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113B2A">
        <w:rPr>
          <w:sz w:val="24"/>
          <w:lang w:val="da-DK"/>
        </w:rPr>
        <w:t>EUT L 433</w:t>
      </w:r>
      <w:r w:rsidR="00727405" w:rsidRPr="00113B2A">
        <w:rPr>
          <w:sz w:val="24"/>
          <w:lang w:val="da-DK"/>
        </w:rPr>
        <w:t> </w:t>
      </w:r>
      <w:r w:rsidRPr="00113B2A">
        <w:rPr>
          <w:sz w:val="24"/>
          <w:lang w:val="da-DK"/>
        </w:rPr>
        <w:t>I af 22.12.2020, s. 28</w:t>
      </w:r>
      <w:r w:rsidRPr="004D5EE8">
        <w:rPr>
          <w:sz w:val="24"/>
          <w:lang w:val="da-DK"/>
        </w:rPr>
        <w:t>.</w:t>
      </w:r>
    </w:p>
  </w:footnote>
  <w:footnote w:id="32">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Vedtagne tekster, P</w:t>
      </w:r>
      <w:r w:rsidRPr="00727405">
        <w:rPr>
          <w:sz w:val="24"/>
          <w:lang w:val="da-DK"/>
        </w:rPr>
        <w:t>9</w:t>
      </w:r>
      <w:r w:rsidRPr="004D5EE8">
        <w:rPr>
          <w:sz w:val="24"/>
          <w:lang w:val="da-DK"/>
        </w:rPr>
        <w:t>_</w:t>
      </w:r>
      <w:proofErr w:type="gramStart"/>
      <w:r w:rsidRPr="004D5EE8">
        <w:rPr>
          <w:sz w:val="24"/>
          <w:lang w:val="da-DK"/>
        </w:rPr>
        <w:t>TA(</w:t>
      </w:r>
      <w:proofErr w:type="gramEnd"/>
      <w:r w:rsidRPr="00727405">
        <w:rPr>
          <w:sz w:val="24"/>
          <w:lang w:val="da-DK"/>
        </w:rPr>
        <w:t>2023</w:t>
      </w:r>
      <w:r w:rsidRPr="004D5EE8">
        <w:rPr>
          <w:sz w:val="24"/>
          <w:lang w:val="da-DK"/>
        </w:rPr>
        <w:t>)</w:t>
      </w:r>
      <w:r w:rsidRPr="00727405">
        <w:rPr>
          <w:sz w:val="24"/>
          <w:lang w:val="da-DK"/>
        </w:rPr>
        <w:t>0195</w:t>
      </w:r>
      <w:r w:rsidRPr="004D5EE8">
        <w:rPr>
          <w:sz w:val="24"/>
          <w:lang w:val="da-DK"/>
        </w:rPr>
        <w:t>.</w:t>
      </w:r>
    </w:p>
  </w:footnote>
  <w:footnote w:id="33">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 xml:space="preserve">Vedtagne tekster, </w:t>
      </w:r>
      <w:r w:rsidRPr="00113B2A">
        <w:rPr>
          <w:sz w:val="24"/>
          <w:lang w:val="da-DK"/>
        </w:rPr>
        <w:t>P9_TA(2023)0004</w:t>
      </w:r>
      <w:r w:rsidRPr="004D5EE8">
        <w:rPr>
          <w:sz w:val="24"/>
          <w:lang w:val="da-DK"/>
        </w:rPr>
        <w:t>.</w:t>
      </w:r>
    </w:p>
  </w:footnote>
  <w:footnote w:id="34">
    <w:p w:rsidR="00FB1215" w:rsidRPr="004D5EE8" w:rsidRDefault="00FB1215" w:rsidP="004D5EE8">
      <w:pPr>
        <w:pStyle w:val="FootnoteText"/>
        <w:ind w:left="567" w:hanging="567"/>
        <w:rPr>
          <w:sz w:val="24"/>
          <w:lang w:val="da-DK"/>
        </w:rPr>
      </w:pPr>
      <w:r w:rsidRPr="004D5EE8">
        <w:rPr>
          <w:rStyle w:val="FootnoteReference"/>
          <w:sz w:val="24"/>
          <w:lang w:val="da-DK"/>
        </w:rPr>
        <w:footnoteRef/>
      </w:r>
      <w:r w:rsidR="004D5EE8" w:rsidRPr="004D5EE8">
        <w:rPr>
          <w:sz w:val="24"/>
          <w:lang w:val="da-DK"/>
        </w:rPr>
        <w:t xml:space="preserve"> </w:t>
      </w:r>
      <w:r w:rsidR="004D5EE8" w:rsidRPr="004D5EE8">
        <w:rPr>
          <w:sz w:val="24"/>
          <w:lang w:val="da-DK"/>
        </w:rPr>
        <w:tab/>
      </w:r>
      <w:r w:rsidRPr="004D5EE8">
        <w:rPr>
          <w:sz w:val="24"/>
          <w:lang w:val="da-DK"/>
        </w:rPr>
        <w:t xml:space="preserve">Underudvalget om Skatteanliggender, høring om skatteincitamenternes og skattefritagelsernes rolle i forbindelse med reformen af selskabsbeskatningen og fremme af de europæiske økonomiers konkurrenceevne, </w:t>
      </w:r>
      <w:r w:rsidRPr="00727405">
        <w:rPr>
          <w:sz w:val="24"/>
          <w:lang w:val="da-DK"/>
        </w:rPr>
        <w:t>11</w:t>
      </w:r>
      <w:r w:rsidRPr="004D5EE8">
        <w:rPr>
          <w:sz w:val="24"/>
          <w:lang w:val="da-DK"/>
        </w:rPr>
        <w:t>. juli </w:t>
      </w:r>
      <w:r w:rsidRPr="00727405">
        <w:rPr>
          <w:sz w:val="24"/>
          <w:lang w:val="da-DK"/>
        </w:rPr>
        <w:t>2022</w:t>
      </w:r>
      <w:r w:rsidRPr="004D5EE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E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E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E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DA"/>
    <w:docVar w:name="dvnumam" w:val="0"/>
    <w:docVar w:name="dvpe" w:val="736.738"/>
    <w:docVar w:name="dvrapporteur" w:val="Ordfører: "/>
    <w:docVar w:name="dvtitre" w:val="Europa-Parlamentets beslutning af xx. december 2023 om yderligere reform af selskabsskatteregler(2022/2146(INI))"/>
  </w:docVars>
  <w:rsids>
    <w:rsidRoot w:val="00CC267E"/>
    <w:rsid w:val="00002272"/>
    <w:rsid w:val="00064002"/>
    <w:rsid w:val="000677B9"/>
    <w:rsid w:val="000831BA"/>
    <w:rsid w:val="000A3EC0"/>
    <w:rsid w:val="000A42CC"/>
    <w:rsid w:val="000E7DD9"/>
    <w:rsid w:val="0010095E"/>
    <w:rsid w:val="00113B2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EE8"/>
    <w:rsid w:val="0050519A"/>
    <w:rsid w:val="005072A1"/>
    <w:rsid w:val="00514517"/>
    <w:rsid w:val="00545827"/>
    <w:rsid w:val="00560270"/>
    <w:rsid w:val="005C2568"/>
    <w:rsid w:val="006037C0"/>
    <w:rsid w:val="006631B6"/>
    <w:rsid w:val="00680577"/>
    <w:rsid w:val="006F74FA"/>
    <w:rsid w:val="00727405"/>
    <w:rsid w:val="00731ADD"/>
    <w:rsid w:val="00734777"/>
    <w:rsid w:val="00747932"/>
    <w:rsid w:val="00751A4A"/>
    <w:rsid w:val="00756632"/>
    <w:rsid w:val="00762C74"/>
    <w:rsid w:val="00786EC0"/>
    <w:rsid w:val="007A20D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67E"/>
    <w:rsid w:val="00CF071A"/>
    <w:rsid w:val="00D058B8"/>
    <w:rsid w:val="00D56C11"/>
    <w:rsid w:val="00D77FF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A9B"/>
    <w:rsid w:val="00F87713"/>
    <w:rsid w:val="00FB12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5606D"/>
  <w15:chartTrackingRefBased/>
  <w15:docId w15:val="{5588EE5A-9C01-427E-B65F-5253BD3EA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B1215"/>
    <w:rPr>
      <w:b/>
      <w:kern w:val="28"/>
      <w:sz w:val="28"/>
      <w:lang w:val="fr-FR" w:eastAsia="fr-FR"/>
    </w:rPr>
  </w:style>
  <w:style w:type="paragraph" w:customStyle="1" w:styleId="NormalHanging12a">
    <w:name w:val="NormalHanging12a"/>
    <w:basedOn w:val="Normal"/>
    <w:rsid w:val="00FB1215"/>
    <w:pPr>
      <w:spacing w:after="240"/>
      <w:ind w:left="567" w:hanging="567"/>
    </w:pPr>
  </w:style>
  <w:style w:type="paragraph" w:customStyle="1" w:styleId="EPComma">
    <w:name w:val="EPComma"/>
    <w:basedOn w:val="Normal"/>
    <w:rsid w:val="00FB1215"/>
    <w:pPr>
      <w:spacing w:before="480" w:after="240"/>
    </w:pPr>
  </w:style>
  <w:style w:type="character" w:customStyle="1" w:styleId="BoldItalic">
    <w:name w:val="BoldItalic"/>
    <w:basedOn w:val="DefaultParagraphFont"/>
    <w:uiPriority w:val="1"/>
    <w:qFormat/>
    <w:rsid w:val="00FB1215"/>
    <w:rPr>
      <w:rFonts w:ascii="Times New Roman" w:hAnsi="Times New Roman" w:cs="Times New Roman" w:hint="default"/>
      <w:b/>
      <w:bCs w:val="0"/>
      <w:i/>
      <w:iCs w:val="0"/>
      <w:sz w:val="24"/>
    </w:rPr>
  </w:style>
  <w:style w:type="character" w:styleId="Hyperlink">
    <w:name w:val="Hyperlink"/>
    <w:basedOn w:val="DefaultParagraphFont"/>
    <w:uiPriority w:val="99"/>
    <w:rsid w:val="00FB1215"/>
    <w:rPr>
      <w:color w:val="0563C1" w:themeColor="hyperlink"/>
      <w:u w:val="single"/>
    </w:rPr>
  </w:style>
  <w:style w:type="paragraph" w:styleId="BalloonText">
    <w:name w:val="Balloon Text"/>
    <w:basedOn w:val="Normal"/>
    <w:link w:val="BalloonTextChar"/>
    <w:rsid w:val="00727405"/>
    <w:rPr>
      <w:rFonts w:ascii="Segoe UI" w:hAnsi="Segoe UI" w:cs="Segoe UI"/>
      <w:sz w:val="18"/>
      <w:szCs w:val="18"/>
    </w:rPr>
  </w:style>
  <w:style w:type="character" w:customStyle="1" w:styleId="BalloonTextChar">
    <w:name w:val="Balloon Text Char"/>
    <w:basedOn w:val="DefaultParagraphFont"/>
    <w:link w:val="BalloonText"/>
    <w:rsid w:val="00727405"/>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tax/aggressive/" TargetMode="External"/><Relationship Id="rId1" Type="http://schemas.openxmlformats.org/officeDocument/2006/relationships/hyperlink" Target="https://www.europarl.europa.eu/doceo/document/A-9-2022-0011_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83706-10CB-4071-96C9-EFC98DE2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6304</Words>
  <Characters>40324</Characters>
  <Application>Microsoft Office Word</Application>
  <DocSecurity>0</DocSecurity>
  <Lines>336</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3</cp:revision>
  <cp:lastPrinted>2004-11-19T15:42:00Z</cp:lastPrinted>
  <dcterms:created xsi:type="dcterms:W3CDTF">2023-12-12T12:05:00Z</dcterms:created>
  <dcterms:modified xsi:type="dcterms:W3CDTF">2024-01-23T11:27:00Z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A9-0359/2023</vt:lpwstr>
  </property>
  <property fmtid="{D5CDD505-2E9C-101B-9397-08002B2CF9AE}" pid="4" name="&lt;Type&gt;">
    <vt:lpwstr>RR</vt:lpwstr>
  </property>
</Properties>
</file>