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777FA" w:rsidTr="0010095E">
        <w:trPr>
          <w:trHeight w:hRule="exact" w:val="1418"/>
        </w:trPr>
        <w:tc>
          <w:tcPr>
            <w:tcW w:w="6804" w:type="dxa"/>
            <w:shd w:val="clear" w:color="auto" w:fill="auto"/>
            <w:vAlign w:val="center"/>
          </w:tcPr>
          <w:p w:rsidR="00751A4A" w:rsidRPr="007777FA" w:rsidRDefault="00C83C56" w:rsidP="0010095E">
            <w:pPr>
              <w:pStyle w:val="EPName"/>
            </w:pPr>
            <w:r w:rsidRPr="007777FA">
              <w:t>Ευρωπαϊκό Κοινοβούλιο</w:t>
            </w:r>
          </w:p>
          <w:p w:rsidR="00751A4A" w:rsidRPr="007777FA" w:rsidRDefault="00817416" w:rsidP="00756632">
            <w:pPr>
              <w:pStyle w:val="EPTerm"/>
              <w:rPr>
                <w:rStyle w:val="HideTWBExt"/>
                <w:noProof w:val="0"/>
                <w:vanish w:val="0"/>
                <w:color w:val="auto"/>
              </w:rPr>
            </w:pPr>
            <w:r w:rsidRPr="007777FA">
              <w:t>2019-2024</w:t>
            </w:r>
          </w:p>
        </w:tc>
        <w:tc>
          <w:tcPr>
            <w:tcW w:w="2268" w:type="dxa"/>
            <w:shd w:val="clear" w:color="auto" w:fill="auto"/>
          </w:tcPr>
          <w:p w:rsidR="00751A4A" w:rsidRPr="007777FA" w:rsidRDefault="00187494" w:rsidP="0010095E">
            <w:pPr>
              <w:pStyle w:val="EPLogo"/>
            </w:pPr>
            <w:r w:rsidRPr="007777F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777FA" w:rsidRDefault="00D058B8" w:rsidP="004C5D52">
      <w:pPr>
        <w:pStyle w:val="LineTop"/>
      </w:pPr>
    </w:p>
    <w:p w:rsidR="00680577" w:rsidRPr="007777FA" w:rsidRDefault="00C83C56" w:rsidP="00680577">
      <w:pPr>
        <w:pStyle w:val="EPBodyTA1"/>
      </w:pPr>
      <w:r w:rsidRPr="007777FA">
        <w:t>ΚΕΙΜΕΝΑ ΠΟΥ ΕΓΚΡΙΘΗΚΑΝ</w:t>
      </w:r>
    </w:p>
    <w:p w:rsidR="00D058B8" w:rsidRPr="007777FA" w:rsidRDefault="00D058B8" w:rsidP="00D058B8">
      <w:pPr>
        <w:pStyle w:val="LineBottom"/>
      </w:pPr>
    </w:p>
    <w:p w:rsidR="00C83C56" w:rsidRPr="007777FA" w:rsidRDefault="00C83C56" w:rsidP="00C83C56">
      <w:pPr>
        <w:pStyle w:val="ATHeading1"/>
      </w:pPr>
      <w:bookmarkStart w:id="0" w:name="TANumber"/>
      <w:r w:rsidRPr="007777FA">
        <w:t>P9_TA(2023)0</w:t>
      </w:r>
      <w:r w:rsidR="00D92E34" w:rsidRPr="007777FA">
        <w:t>46</w:t>
      </w:r>
      <w:r w:rsidRPr="007777FA">
        <w:t>0</w:t>
      </w:r>
      <w:bookmarkEnd w:id="0"/>
    </w:p>
    <w:p w:rsidR="00C83C56" w:rsidRPr="007777FA" w:rsidRDefault="000E4247" w:rsidP="00C83C56">
      <w:pPr>
        <w:pStyle w:val="ATHeading2"/>
      </w:pPr>
      <w:bookmarkStart w:id="1" w:name="title"/>
      <w:r w:rsidRPr="007777FA">
        <w:t>Περαιτέρω μεταρρύθμιση των κανόνων για τη φορολόγηση των εταιρειών</w:t>
      </w:r>
      <w:bookmarkEnd w:id="1"/>
    </w:p>
    <w:p w:rsidR="00C83C56" w:rsidRPr="007777FA" w:rsidRDefault="00C83C56" w:rsidP="00C83C56">
      <w:pPr>
        <w:rPr>
          <w:i/>
          <w:vanish/>
        </w:rPr>
      </w:pPr>
      <w:r w:rsidRPr="007777FA">
        <w:rPr>
          <w:i/>
        </w:rPr>
        <w:fldChar w:fldCharType="begin"/>
      </w:r>
      <w:r w:rsidRPr="007777FA">
        <w:rPr>
          <w:i/>
        </w:rPr>
        <w:instrText xml:space="preserve"> TC"(</w:instrText>
      </w:r>
      <w:bookmarkStart w:id="2" w:name="DocNumber"/>
      <w:r w:rsidRPr="007777FA">
        <w:rPr>
          <w:i/>
        </w:rPr>
        <w:instrText>A9-0359/2023</w:instrText>
      </w:r>
      <w:bookmarkEnd w:id="2"/>
      <w:r w:rsidRPr="007777FA">
        <w:rPr>
          <w:i/>
        </w:rPr>
        <w:instrText xml:space="preserve"> - Εισηγήτρια: Isabel Benjumea Benjumea)"\l3 \n&gt; \* MERGEFORMAT </w:instrText>
      </w:r>
      <w:r w:rsidRPr="007777FA">
        <w:rPr>
          <w:i/>
        </w:rPr>
        <w:fldChar w:fldCharType="end"/>
      </w:r>
    </w:p>
    <w:p w:rsidR="00C83C56" w:rsidRPr="007777FA" w:rsidRDefault="00C83C56" w:rsidP="00C83C56">
      <w:pPr>
        <w:rPr>
          <w:vanish/>
        </w:rPr>
      </w:pPr>
      <w:bookmarkStart w:id="3" w:name="Commission"/>
      <w:r w:rsidRPr="007777FA">
        <w:rPr>
          <w:vanish/>
        </w:rPr>
        <w:t>Επιτροπή Οικονομικής και Νομισματικής Πολιτικής</w:t>
      </w:r>
      <w:bookmarkEnd w:id="3"/>
    </w:p>
    <w:p w:rsidR="00C83C56" w:rsidRPr="007777FA" w:rsidRDefault="00C83C56" w:rsidP="00C83C56">
      <w:pPr>
        <w:rPr>
          <w:vanish/>
        </w:rPr>
      </w:pPr>
      <w:bookmarkStart w:id="4" w:name="PE"/>
      <w:r w:rsidRPr="007777FA">
        <w:rPr>
          <w:vanish/>
        </w:rPr>
        <w:t>PE736.738</w:t>
      </w:r>
      <w:bookmarkEnd w:id="4"/>
    </w:p>
    <w:p w:rsidR="00C83C56" w:rsidRPr="007777FA" w:rsidRDefault="00C83C56" w:rsidP="00C83C56">
      <w:pPr>
        <w:pStyle w:val="ATHeading3"/>
      </w:pPr>
      <w:bookmarkStart w:id="5" w:name="Sujet"/>
      <w:r w:rsidRPr="007777FA">
        <w:t xml:space="preserve">Ψήφισμα του Ευρωπαϊκού Κοινοβουλίου </w:t>
      </w:r>
      <w:r w:rsidR="007A4719" w:rsidRPr="007777FA">
        <w:t xml:space="preserve">της </w:t>
      </w:r>
      <w:r w:rsidR="00F00D31" w:rsidRPr="007777FA">
        <w:t>12</w:t>
      </w:r>
      <w:r w:rsidR="007A4719" w:rsidRPr="007777FA">
        <w:t xml:space="preserve">ης Δεκεμβρίου 2023 </w:t>
      </w:r>
      <w:r w:rsidRPr="007777FA">
        <w:t>σχετικά με την περαιτέρω μεταρρύθμιση των κανόνων για τη φορολόγηση των εταιρειών</w:t>
      </w:r>
      <w:bookmarkEnd w:id="5"/>
      <w:r w:rsidRPr="007777FA">
        <w:t xml:space="preserve"> </w:t>
      </w:r>
      <w:bookmarkStart w:id="6" w:name="References"/>
      <w:r w:rsidRPr="007777FA">
        <w:t>(2022/2146(INI))</w:t>
      </w:r>
      <w:bookmarkEnd w:id="6"/>
    </w:p>
    <w:p w:rsidR="00E82C4B" w:rsidRPr="007777FA" w:rsidRDefault="00E82C4B" w:rsidP="00E82C4B">
      <w:pPr>
        <w:pStyle w:val="EPComma"/>
      </w:pPr>
      <w:bookmarkStart w:id="7" w:name="TextBodyBegin"/>
      <w:bookmarkEnd w:id="7"/>
      <w:r w:rsidRPr="007777FA">
        <w:rPr>
          <w:i/>
        </w:rPr>
        <w:t>Το Ευρωπαϊκό Κοινοβούλιο</w:t>
      </w:r>
      <w:r w:rsidRPr="007777FA">
        <w:t>,</w:t>
      </w:r>
    </w:p>
    <w:p w:rsidR="00E82C4B" w:rsidRPr="007777FA" w:rsidRDefault="00E82C4B" w:rsidP="007A4719">
      <w:pPr>
        <w:pStyle w:val="NormalHanging12a"/>
        <w:widowControl/>
      </w:pPr>
      <w:r w:rsidRPr="007777FA">
        <w:t>–</w:t>
      </w:r>
      <w:r w:rsidRPr="007777FA">
        <w:tab/>
        <w:t>έχοντας υπόψη την οδηγία 2003/49/ΕΚ του Συμβουλίου, της 3ης Ιουνίου 2003, για την καθιέρωση κοινού συστήματος φορολόγησης των τόκων και των δικαιωμάτων που καταβάλλονται μεταξύ συνδεδεμένων εταιρειών διαφορετικών κρατών μελών</w:t>
      </w:r>
      <w:r w:rsidRPr="007777FA">
        <w:rPr>
          <w:rStyle w:val="FootnoteReference"/>
        </w:rPr>
        <w:footnoteReference w:id="1"/>
      </w:r>
      <w:r w:rsidRPr="007777FA">
        <w:t xml:space="preserve"> (οδηγία για τους τόκους και τα δικαιώματα),</w:t>
      </w:r>
    </w:p>
    <w:p w:rsidR="00E82C4B" w:rsidRPr="007777FA" w:rsidRDefault="00E82C4B" w:rsidP="007A4719">
      <w:pPr>
        <w:pStyle w:val="NormalHanging12a"/>
        <w:widowControl/>
      </w:pPr>
      <w:r w:rsidRPr="007777FA">
        <w:t>–</w:t>
      </w:r>
      <w:r w:rsidRPr="007777FA">
        <w:tab/>
        <w:t>έχοντας υπόψη την οδηγία 2011/96/ΕΕ του Συμβουλίου, της 30ής Νοεμβρίου 2011, σχετικά με το κοινό φορολογικό καθεστώς το οποίο ισχύει για τις μητρικές και τις θυγατρικές εταιρείες διαφορετικών κρατών μελών</w:t>
      </w:r>
      <w:r w:rsidRPr="007777FA">
        <w:rPr>
          <w:rStyle w:val="FootnoteReference"/>
        </w:rPr>
        <w:footnoteReference w:id="2"/>
      </w:r>
      <w:r w:rsidRPr="007777FA">
        <w:t xml:space="preserve"> (οδηγία για τις μητρικές και θυγατρικές εταιρείες),</w:t>
      </w:r>
    </w:p>
    <w:p w:rsidR="00E82C4B" w:rsidRPr="007777FA" w:rsidRDefault="00E82C4B" w:rsidP="007A4719">
      <w:pPr>
        <w:pStyle w:val="NormalHanging12a"/>
        <w:widowControl/>
      </w:pPr>
      <w:r w:rsidRPr="007777FA">
        <w:t>–</w:t>
      </w:r>
      <w:r w:rsidRPr="007777FA">
        <w:tab/>
        <w:t>έχοντας υπόψη την οδηγία (ΕΕ) 2016/1164 του Συμβουλίου, της 12ης Ιουλίου 2016, για τη θέσπιση κανόνων κατά πρακτικών φοροαποφυγής που έχουν άμεση επίπτωση στη λειτουργία της εσωτερικής αγοράς</w:t>
      </w:r>
      <w:r w:rsidRPr="007777FA">
        <w:rPr>
          <w:rStyle w:val="FootnoteReference"/>
        </w:rPr>
        <w:footnoteReference w:id="3"/>
      </w:r>
      <w:r w:rsidRPr="007777FA">
        <w:t xml:space="preserve"> (οδηγία κατά της φοροαποφυγής Ι ή οδηγία ATAD I) και την οδηγία (ΕΕ) 2017/952 του Συμβουλίου της 29ης Μαΐου 2017 για την τροποποίηση της οδηγίας (ΕΕ) 2016/1164 όσον αφορά τις ασυμφωνίες στη μεταχείριση υβριδικών μέσων με τρίτες χώρες</w:t>
      </w:r>
      <w:r w:rsidRPr="007777FA">
        <w:rPr>
          <w:rStyle w:val="FootnoteReference"/>
        </w:rPr>
        <w:footnoteReference w:id="4"/>
      </w:r>
      <w:r w:rsidRPr="007777FA">
        <w:t xml:space="preserve"> (οδηγία ATAD ΙI),</w:t>
      </w:r>
    </w:p>
    <w:p w:rsidR="00E82C4B" w:rsidRPr="007777FA" w:rsidRDefault="00E82C4B" w:rsidP="007A4719">
      <w:pPr>
        <w:pStyle w:val="NormalHanging12a"/>
        <w:widowControl/>
      </w:pPr>
      <w:r w:rsidRPr="007777FA">
        <w:t>–</w:t>
      </w:r>
      <w:r w:rsidRPr="007777FA">
        <w:tab/>
        <w:t>έχοντας υπόψη την οδηγία 2011/16/ΕΕ του Συμβουλίου, της 15ης Φεβρουαρίου 2011, σχετικά με τη διοικητική συνεργασία στον τομέα της φορολογίας και με την κατάργηση της οδηγίας 77/799/ΕΟΚ</w:t>
      </w:r>
      <w:r w:rsidRPr="007777FA">
        <w:rPr>
          <w:rStyle w:val="FootnoteReference"/>
        </w:rPr>
        <w:footnoteReference w:id="5"/>
      </w:r>
      <w:r w:rsidRPr="007777FA">
        <w:t xml:space="preserve"> (οδηγία σχετικά με τη διοικητική συνεργασία στον τομέα της φορολογίας ή DAC 1), την οδηγία 2014/107/ΕΕ του Συμβουλίου, της 9ης Δεκεμβρίου 2014, για την τροποποίηση της οδηγίας 2011/16/ΕΕ όσον αφορά την υποχρεωτική </w:t>
      </w:r>
      <w:r w:rsidRPr="007777FA">
        <w:lastRenderedPageBreak/>
        <w:t>αυτόματη ανταλλαγή πληροφοριών στον φορολογικό τομέα</w:t>
      </w:r>
      <w:r w:rsidRPr="007777FA">
        <w:rPr>
          <w:rStyle w:val="FootnoteReference"/>
        </w:rPr>
        <w:footnoteReference w:id="6"/>
      </w:r>
      <w:r w:rsidRPr="007777FA">
        <w:t xml:space="preserve"> (DAC 2), την οδηγία (ΕΕ) 2015/2376 του Συμβουλίου, της 8ης Δεκεμβρίου 2015, για την τροποποίηση της οδηγίας 2011/16/ΕΕ όσον αφορά την υποχρεωτική αυτόματη ανταλλαγή πληροφοριών στον φορολογικό τομέα</w:t>
      </w:r>
      <w:r w:rsidRPr="007777FA">
        <w:rPr>
          <w:rStyle w:val="FootnoteReference"/>
        </w:rPr>
        <w:footnoteReference w:id="7"/>
      </w:r>
      <w:r w:rsidRPr="007777FA">
        <w:t xml:space="preserve"> (DAC 3), την οδηγία (ΕΕ) 2016/881 του Συμβουλίου, της 25ης Μαΐου 2016, για την τροποποίηση της οδηγίας 2011/16/ΕΕ όσον αφορά την υποχρεωτική αυτόματη ανταλλαγή πληροφοριών στον τομέα της φορολογίας</w:t>
      </w:r>
      <w:r w:rsidRPr="007777FA">
        <w:rPr>
          <w:rStyle w:val="FootnoteReference"/>
        </w:rPr>
        <w:footnoteReference w:id="8"/>
      </w:r>
      <w:r w:rsidRPr="007777FA">
        <w:t xml:space="preserve"> (DAC 4), την οδηγία (ΕΕ) 2016/2258 του Συμβουλίου, της 6ης Δεκεμβρίου 2016, για την τροποποίηση της οδηγίας 2011/16/ΕΕ όσον αφορά την πρόσβαση των φορολογικών αρχών σε πληροφορίες για την καταπολέμηση της νομιμοποίησης εσόδων από παράνομες δραστηριότητες</w:t>
      </w:r>
      <w:r w:rsidRPr="007777FA">
        <w:rPr>
          <w:rStyle w:val="FootnoteReference"/>
        </w:rPr>
        <w:footnoteReference w:id="9"/>
      </w:r>
      <w:r w:rsidRPr="007777FA">
        <w:t xml:space="preserve"> (DAC 5), την οδηγία (ΕΕ) 2018/822 του Συμβουλίου, της 25ης Μαΐου 2018, για την τροποποίηση της οδηγίας 2011/16/ΕΕ όσον αφορά την υποχρεωτική αυτόματη ανταλλαγή πληροφοριών στον τομέα της φορολογίας σχετικά με δηλωτέες διασυνοριακές ρυθμίσεις</w:t>
      </w:r>
      <w:r w:rsidRPr="007777FA">
        <w:rPr>
          <w:rStyle w:val="FootnoteReference"/>
        </w:rPr>
        <w:footnoteReference w:id="10"/>
      </w:r>
      <w:r w:rsidRPr="007777FA">
        <w:t xml:space="preserve"> (DAC 6) και την οδηγία (ΕΕ) 2021/514 του Συμβουλίου, της 22ης Μαρτίου 2021, για την τροποποίηση της οδηγίας 2011/16/ΕΕ σχετικά με τη διοικητική συνεργασία στον τομέα της φορολογίας</w:t>
      </w:r>
      <w:r w:rsidRPr="007777FA">
        <w:rPr>
          <w:rStyle w:val="FootnoteReference"/>
        </w:rPr>
        <w:footnoteReference w:id="11"/>
      </w:r>
      <w:r w:rsidRPr="007777FA">
        <w:t xml:space="preserve"> (DAC 7),</w:t>
      </w:r>
    </w:p>
    <w:p w:rsidR="00E82C4B" w:rsidRPr="007777FA" w:rsidRDefault="00E82C4B" w:rsidP="007A4719">
      <w:pPr>
        <w:pStyle w:val="NormalHanging12a"/>
        <w:widowControl/>
      </w:pPr>
      <w:r w:rsidRPr="007777FA">
        <w:t>–</w:t>
      </w:r>
      <w:r w:rsidRPr="007777FA">
        <w:tab/>
        <w:t>έχοντας υπόψη την οδηγία (ΕΕ) 2017/1852 του Συμβουλίου, της 10ης Οκτωβρίου 2017, για τους μηχανισμούς επίλυσης φορολογικών διαφορών στην Ευρωπαϊκή Ένωση</w:t>
      </w:r>
      <w:r w:rsidRPr="007777FA">
        <w:rPr>
          <w:rStyle w:val="FootnoteReference"/>
        </w:rPr>
        <w:footnoteReference w:id="12"/>
      </w:r>
      <w:r w:rsidRPr="007777FA">
        <w:t xml:space="preserve"> (οδηγία για την επίλυση διαφορών στην ΕΕ),</w:t>
      </w:r>
    </w:p>
    <w:p w:rsidR="00E82C4B" w:rsidRPr="007777FA" w:rsidRDefault="00E82C4B" w:rsidP="007A4719">
      <w:pPr>
        <w:pStyle w:val="NormalHanging12a"/>
        <w:widowControl/>
      </w:pPr>
      <w:r w:rsidRPr="007777FA">
        <w:t>–</w:t>
      </w:r>
      <w:r w:rsidRPr="007777FA">
        <w:tab/>
        <w:t>έχοντας υπόψη την οδηγία (ΕΕ) 2021/2101 του Ευρωπαϊκού Κοινοβουλίου και του Συμ</w:t>
      </w:r>
      <w:r w:rsidR="00993B91">
        <w:t>βουλίου, της 24ης Νοεμβρίου 2021</w:t>
      </w:r>
      <w:r w:rsidRPr="007777FA">
        <w:t>, για την τροποποίηση της οδηγίας 2013/34/ΕΕ όσον αφορά τη δημοσιοποίηση στοιχείων φορολογίας εισοδήματος από ορισμένες επιχειρήσεις και υποκαταστήματα</w:t>
      </w:r>
      <w:r w:rsidRPr="007777FA">
        <w:rPr>
          <w:rStyle w:val="FootnoteReference"/>
        </w:rPr>
        <w:footnoteReference w:id="13"/>
      </w:r>
      <w:r w:rsidRPr="007777FA">
        <w:t xml:space="preserve"> (οδηγία σχετικά με τη δημόσια υποβολή εκθέσεων ανά χώρα),</w:t>
      </w:r>
    </w:p>
    <w:p w:rsidR="00E82C4B" w:rsidRPr="007777FA" w:rsidRDefault="00E82C4B" w:rsidP="007A4719">
      <w:pPr>
        <w:pStyle w:val="NormalHanging12a"/>
        <w:widowControl/>
      </w:pPr>
      <w:r w:rsidRPr="007777FA">
        <w:t>–</w:t>
      </w:r>
      <w:r w:rsidRPr="007777FA">
        <w:tab/>
        <w:t>έχοντας υπόψη την οδηγία (ΕΕ) 2022/2523 του Συμβουλίου, της 14ης Δεκεμβρίου 2022, σχετικά με την εξασφάλιση παγκόσμιου ελάχιστου επιπέδου φορολογίας των ομίλων πολυεθνικών επιχειρήσεων και των εγχώριων ομίλων μεγάλης κλίμακας στην Ένωση</w:t>
      </w:r>
      <w:r w:rsidRPr="007777FA">
        <w:rPr>
          <w:rStyle w:val="FootnoteReference"/>
        </w:rPr>
        <w:footnoteReference w:id="14"/>
      </w:r>
      <w:r w:rsidRPr="007777FA">
        <w:t xml:space="preserve"> (οδηγία σχετικά με τον δεύτερο πυλώνα),</w:t>
      </w:r>
    </w:p>
    <w:p w:rsidR="00E82C4B" w:rsidRPr="007777FA" w:rsidRDefault="00E82C4B" w:rsidP="007A4719">
      <w:pPr>
        <w:pStyle w:val="NormalHanging12a"/>
        <w:widowControl/>
      </w:pPr>
      <w:r w:rsidRPr="007777FA">
        <w:t>–</w:t>
      </w:r>
      <w:r w:rsidRPr="007777FA">
        <w:tab/>
        <w:t>έχοντας υπόψη τις προτάσεις της Επιτροπής που εκκρεμούν προς έγκριση και αφορούν, συγκεκριμένα την κοινή βάση φορολογίας εταιρειών (COM(2016)0685), την κοινή ενοποιημένη βάση φορολογίας εταιρειών (COM(2016)0683) και τη δέσμη μέτρων για τη φορολόγηση της ψηφιακής οικονομίας (COM(2018)0147 και COM(2018)0148), καθώς και τις θέσεις του Κοινοβουλίου σχετικά με αυτές τις προτάσεις,</w:t>
      </w:r>
    </w:p>
    <w:p w:rsidR="00E82C4B" w:rsidRPr="007777FA" w:rsidRDefault="00E82C4B" w:rsidP="007A4719">
      <w:pPr>
        <w:widowControl/>
        <w:spacing w:after="240"/>
        <w:ind w:left="567" w:hanging="567"/>
      </w:pPr>
      <w:r w:rsidRPr="007777FA">
        <w:t>–</w:t>
      </w:r>
      <w:r w:rsidRPr="007777FA">
        <w:tab/>
        <w:t>έχοντας υπόψη την ανακοίνωση της Επιτροπής, της 15ης Ιανουαρίου 2019, με τίτλο «Προς μια πιο αποτελεσματική και πιο δημοκρατική διαδικασία λήψης αποφάσεων στη φορολογική πολιτική της ΕΕ»</w:t>
      </w:r>
      <w:r w:rsidRPr="007777FA">
        <w:rPr>
          <w:rStyle w:val="FootnoteReference"/>
        </w:rPr>
        <w:footnoteReference w:id="15"/>
      </w:r>
      <w:r w:rsidRPr="007777FA">
        <w:t>,</w:t>
      </w:r>
    </w:p>
    <w:p w:rsidR="00E82C4B" w:rsidRPr="007777FA" w:rsidRDefault="00E82C4B" w:rsidP="007A4719">
      <w:pPr>
        <w:pStyle w:val="NormalHanging12a"/>
        <w:widowControl/>
      </w:pPr>
      <w:r w:rsidRPr="007777FA">
        <w:t>–</w:t>
      </w:r>
      <w:r w:rsidRPr="007777FA">
        <w:tab/>
        <w:t>έχοντας υπόψη την ανακοίνωση της Επιτροπής, της 15ης Ιουλίου 2020, με τίτλο «Σχέδιο δράσης για δίκαιη και απλή φορολόγηση που στηρίζει τη στρατηγική ανάκαμψης» (COM(2020)0312),</w:t>
      </w:r>
    </w:p>
    <w:p w:rsidR="00E82C4B" w:rsidRPr="007777FA" w:rsidRDefault="00E82C4B" w:rsidP="007A4719">
      <w:pPr>
        <w:pStyle w:val="NormalHanging12a"/>
        <w:widowControl/>
      </w:pPr>
      <w:r w:rsidRPr="007777FA">
        <w:t>–</w:t>
      </w:r>
      <w:r w:rsidRPr="007777FA">
        <w:tab/>
        <w:t>έχοντας υπόψη την ανακοίνωση της Επιτροπής, της 18ης Μαΐου 2021, με τίτλο «Φορολογία των επιχειρήσεων για τον 21ο αιώνα» (COM(2021)0251),</w:t>
      </w:r>
    </w:p>
    <w:p w:rsidR="00E82C4B" w:rsidRPr="007777FA" w:rsidRDefault="00E82C4B" w:rsidP="007A4719">
      <w:pPr>
        <w:pStyle w:val="NormalHanging12a"/>
        <w:widowControl/>
      </w:pPr>
      <w:r w:rsidRPr="007777FA">
        <w:t>–</w:t>
      </w:r>
      <w:r w:rsidRPr="007777FA">
        <w:rPr>
          <w:b/>
          <w:i/>
        </w:rPr>
        <w:tab/>
      </w:r>
      <w:r w:rsidRPr="007777FA">
        <w:t>έχοντας υπόψη την ανακοίνωση της Επιτροπής, της 22ας Δεκεμβρίου 2021, με τίτλο «Η επόμενη γενιά ιδίων πόρων για τον προϋπολογισμό της ΕΕ»</w:t>
      </w:r>
      <w:r w:rsidRPr="007777FA">
        <w:rPr>
          <w:rStyle w:val="FootnoteReference"/>
        </w:rPr>
        <w:footnoteReference w:id="16"/>
      </w:r>
      <w:r w:rsidRPr="007777FA">
        <w:t>,</w:t>
      </w:r>
    </w:p>
    <w:p w:rsidR="00E82C4B" w:rsidRPr="007777FA" w:rsidRDefault="00E82C4B" w:rsidP="007A4719">
      <w:pPr>
        <w:pStyle w:val="NormalHanging12a"/>
        <w:widowControl/>
      </w:pPr>
      <w:r w:rsidRPr="007777FA">
        <w:t>–</w:t>
      </w:r>
      <w:r w:rsidRPr="007777FA">
        <w:tab/>
        <w:t>έχοντας υπόψη την πρόταση της Επιτροπής, της 22ας Δεκεμβρίου 2021, σχετικά με την οδηγία του Συμβουλίου που αφορά την εξασφάλιση παγκόσμιου ελάχιστου επιπέδου φορολογίας των πολυεθνικών ομίλων στην Ένωση (COM(2021)0823), καθώς και τη θέση του Κοινοβουλίου σχετικά με την πρόταση αυτή</w:t>
      </w:r>
      <w:r w:rsidRPr="007777FA">
        <w:rPr>
          <w:rStyle w:val="FootnoteReference"/>
        </w:rPr>
        <w:footnoteReference w:id="17"/>
      </w:r>
      <w:r w:rsidRPr="007777FA">
        <w:t>,</w:t>
      </w:r>
    </w:p>
    <w:p w:rsidR="00E82C4B" w:rsidRPr="007777FA" w:rsidRDefault="00E82C4B" w:rsidP="007A4719">
      <w:pPr>
        <w:widowControl/>
        <w:spacing w:after="240"/>
        <w:ind w:left="567" w:hanging="567"/>
        <w:rPr>
          <w:vertAlign w:val="superscript"/>
        </w:rPr>
      </w:pPr>
      <w:r w:rsidRPr="007777FA">
        <w:t>–</w:t>
      </w:r>
      <w:r w:rsidRPr="007777FA">
        <w:tab/>
        <w:t>έχοντας υπόψη την ανακοίνωση της Επιτροπής, της 20</w:t>
      </w:r>
      <w:r w:rsidR="004A477A" w:rsidRPr="007777FA">
        <w:t>ή</w:t>
      </w:r>
      <w:r w:rsidRPr="007777FA">
        <w:t xml:space="preserve">ς Ιουνίου 2023, με τίτλο «Προσαρμοσμένη δέσμη μέτρων για την επόμενη γενιά ιδίων πόρων» </w:t>
      </w:r>
      <w:r w:rsidRPr="007777FA">
        <w:rPr>
          <w:rStyle w:val="FootnoteReference"/>
        </w:rPr>
        <w:footnoteReference w:id="18"/>
      </w:r>
      <w:r w:rsidRPr="007777FA">
        <w:t>,</w:t>
      </w:r>
    </w:p>
    <w:p w:rsidR="00E82C4B" w:rsidRPr="007777FA" w:rsidRDefault="00E82C4B" w:rsidP="007A4719">
      <w:pPr>
        <w:pStyle w:val="NormalHanging12a"/>
        <w:widowControl/>
      </w:pPr>
      <w:r w:rsidRPr="007777FA">
        <w:t>–</w:t>
      </w:r>
      <w:r w:rsidRPr="007777FA">
        <w:tab/>
        <w:t>έχοντας υπόψη τα συμπεράσματα του Συμβουλίου Οικονομικών και Δημοσιονομικών Θεμάτων της 6ης Δεκεμβρίου 2022,</w:t>
      </w:r>
    </w:p>
    <w:p w:rsidR="00E82C4B" w:rsidRPr="007777FA" w:rsidRDefault="00E82C4B" w:rsidP="007A4719">
      <w:pPr>
        <w:pStyle w:val="NormalHanging12a"/>
        <w:widowControl/>
      </w:pPr>
      <w:r w:rsidRPr="007777FA">
        <w:t>–</w:t>
      </w:r>
      <w:r w:rsidRPr="007777FA">
        <w:tab/>
        <w:t xml:space="preserve">έχοντας υπόψη τη μελέτη της Επιτροπής, του Ιανουαρίου </w:t>
      </w:r>
      <w:r w:rsidR="004A477A" w:rsidRPr="007777FA">
        <w:t xml:space="preserve">του </w:t>
      </w:r>
      <w:r w:rsidRPr="007777FA">
        <w:t>2022, με τίτλο «Tax compliance costs for SMEs – An update and a complement: final report» (Κόστος φορολογικής συμμόρφωσης για τις ΜΜΕ – Επικαιροποίηση και συμπλήρωμα: τελική έκθεση),</w:t>
      </w:r>
    </w:p>
    <w:p w:rsidR="00E82C4B" w:rsidRPr="007777FA" w:rsidRDefault="00E82C4B" w:rsidP="007A4719">
      <w:pPr>
        <w:pStyle w:val="NormalHanging12a"/>
        <w:widowControl/>
      </w:pPr>
      <w:r w:rsidRPr="007777FA">
        <w:t>–</w:t>
      </w:r>
      <w:r w:rsidRPr="007777FA">
        <w:tab/>
        <w:t>έχοντας υπόψη την έκθεση σχετικά με το τελικό αποτέλεσμα της Διάσκεψης για το Μέλλον της Ευρώπης, και το ψήφισμα του Ευρωπαϊκού Κοινοβουλίου, της 4ης Μαΐου 2022, σχετικά με τη συνέχεια στη Διάσκεψη για το μέλλον της Ευρώπης</w:t>
      </w:r>
      <w:r w:rsidRPr="007777FA">
        <w:rPr>
          <w:rStyle w:val="FootnoteReference"/>
        </w:rPr>
        <w:footnoteReference w:id="19"/>
      </w:r>
      <w:r w:rsidRPr="007777FA">
        <w:t>,</w:t>
      </w:r>
    </w:p>
    <w:p w:rsidR="00E82C4B" w:rsidRPr="007777FA" w:rsidRDefault="00E82C4B" w:rsidP="007A4719">
      <w:pPr>
        <w:pStyle w:val="NormalHanging12a"/>
        <w:widowControl/>
      </w:pPr>
      <w:r w:rsidRPr="007777FA">
        <w:t>–</w:t>
      </w:r>
      <w:r w:rsidRPr="007777FA">
        <w:tab/>
        <w:t>έχοντας υπόψη την πρόταση της Επιτροπής, της 11ης Μαΐου 2022, για οδηγία του Συμβουλίου σχετικά με τη θέσπιση κανόνων για έκπτωση φόρου για τη μείωση της στρέβλωσης που προκαλείται από την ευνοϊκή μεταχείριση του χρέους έναντι του μετοχικού κεφαλαίου και για τον περιορισμό της δυνατότητας έκπτωσης τόκων για σκοπούς φόρου εισοδήματος εταιρειών (COM(2022)0216),</w:t>
      </w:r>
    </w:p>
    <w:p w:rsidR="00E82C4B" w:rsidRPr="007777FA" w:rsidRDefault="00E82C4B" w:rsidP="007A4719">
      <w:pPr>
        <w:pStyle w:val="NormalHanging12a"/>
        <w:widowControl/>
      </w:pPr>
      <w:r w:rsidRPr="007777FA">
        <w:t>–</w:t>
      </w:r>
      <w:r w:rsidRPr="007777FA">
        <w:tab/>
        <w:t>έχοντας υπόψη τον κανονισμό (ΕΕ) 2022/1854 του Συμβουλίου, της 6ης Οκτωβρίου 2022, σχετικά με παρέμβαση έκτακτης ανάγκης για την αντιμετώπιση των υψηλών τιμών ενέργειας,</w:t>
      </w:r>
    </w:p>
    <w:p w:rsidR="00E82C4B" w:rsidRPr="007777FA" w:rsidRDefault="00E82C4B" w:rsidP="007A4719">
      <w:pPr>
        <w:pStyle w:val="NormalHanging12a"/>
        <w:widowControl/>
      </w:pPr>
      <w:r w:rsidRPr="007777FA">
        <w:t>–</w:t>
      </w:r>
      <w:r w:rsidRPr="007777FA">
        <w:tab/>
        <w:t>έχοντας υπόψη την πρόσκληση υποβολής στοιχείων για εκτίμηση επιπτώσεων της Επιτροπής</w:t>
      </w:r>
      <w:r w:rsidR="004A477A" w:rsidRPr="007777FA">
        <w:t xml:space="preserve">, </w:t>
      </w:r>
      <w:r w:rsidRPr="007777FA">
        <w:t>της 13ης Οκτωβρίου 2022, σχετικά με την πρόταση οδηγίας του Συμβουλίου «Επιχειρήσεις στην Ευρώπη: πλαίσιο για τη φορολογία εισοδήματος» (BEFIT),</w:t>
      </w:r>
    </w:p>
    <w:p w:rsidR="00E82C4B" w:rsidRPr="007777FA" w:rsidRDefault="00E82C4B" w:rsidP="007A4719">
      <w:pPr>
        <w:pStyle w:val="NormalHanging12a"/>
        <w:widowControl/>
      </w:pPr>
      <w:r w:rsidRPr="007777FA">
        <w:t>–</w:t>
      </w:r>
      <w:r w:rsidRPr="007777FA">
        <w:tab/>
        <w:t>έχοντας υπόψη την ομιλία της Προέδρου της Επιτροπής, Ursula von der Leyen, στην ολομέλεια του Ευρωπαϊκού Κοινοβουλίου, στις 19 Οκτωβρίου 2022, σχετικά με τις προετοιμασίες της συνόδου του Ευρωπαϊκού Συμβουλίου στις 20-21 Οκτωβρίου 2022,</w:t>
      </w:r>
    </w:p>
    <w:p w:rsidR="00E82C4B" w:rsidRPr="007777FA" w:rsidRDefault="00E82C4B" w:rsidP="007A4719">
      <w:pPr>
        <w:pStyle w:val="NormalHanging12a"/>
        <w:widowControl/>
        <w:rPr>
          <w:b/>
          <w:i/>
        </w:rPr>
      </w:pPr>
      <w:r w:rsidRPr="007777FA">
        <w:t>–</w:t>
      </w:r>
      <w:r w:rsidRPr="007777FA">
        <w:tab/>
        <w:t>έχοντας υπόψη την ομιλία της Προέδρου της Επιτροπής Ursula von der Leyen σχετικά με την κατάσταση της Ένωσης ενώπιον της ολομέλειας του Ευρωπαϊκού Κοινοβουλίου τον Σεπτέμβριο του 2022,</w:t>
      </w:r>
    </w:p>
    <w:p w:rsidR="00E82C4B" w:rsidRPr="007777FA" w:rsidRDefault="00E82C4B" w:rsidP="007A4719">
      <w:pPr>
        <w:pStyle w:val="NormalHanging12a"/>
        <w:widowControl/>
      </w:pPr>
      <w:r w:rsidRPr="007777FA">
        <w:t>–</w:t>
      </w:r>
      <w:r w:rsidRPr="007777FA">
        <w:tab/>
        <w:t>έχοντας υπόψη τις εκθέσεις ανά χώρα της Επιτροπής για το 2023 στο πλαίσιο του Ευρωπαϊκού Εξαμήνου της,</w:t>
      </w:r>
    </w:p>
    <w:p w:rsidR="00E82C4B" w:rsidRPr="007777FA" w:rsidRDefault="00E82C4B" w:rsidP="007A4719">
      <w:pPr>
        <w:pStyle w:val="NormalHanging12a"/>
        <w:widowControl/>
      </w:pPr>
      <w:r w:rsidRPr="007777FA">
        <w:t>–</w:t>
      </w:r>
      <w:r w:rsidRPr="007777FA">
        <w:tab/>
        <w:t>έχοντας υπόψη την ανακοίνωση της Επιτροπής, της 16ης Μαρτίου 2023, με τίτλο «Μακροπρόθεσμη ανταγωνιστικότητα της ΕΕ: προοπτικές μετά το 2030» (COM(2023)0168),</w:t>
      </w:r>
    </w:p>
    <w:p w:rsidR="00E82C4B" w:rsidRPr="007777FA" w:rsidRDefault="00E82C4B" w:rsidP="007A4719">
      <w:pPr>
        <w:pStyle w:val="NormalHanging12a"/>
        <w:widowControl/>
        <w:rPr>
          <w:vertAlign w:val="superscript"/>
        </w:rPr>
      </w:pPr>
      <w:r w:rsidRPr="007777FA">
        <w:t>–</w:t>
      </w:r>
      <w:r w:rsidRPr="007777FA">
        <w:tab/>
        <w:t>έχοντας υπόψη την ετήσια έκθεση της Επιτροπής για τη φορολογία 2023</w:t>
      </w:r>
      <w:r w:rsidRPr="007777FA">
        <w:rPr>
          <w:rStyle w:val="FootnoteReference"/>
        </w:rPr>
        <w:footnoteReference w:id="20"/>
      </w:r>
      <w:r w:rsidRPr="007777FA">
        <w:t>,</w:t>
      </w:r>
    </w:p>
    <w:p w:rsidR="00E82C4B" w:rsidRPr="007777FA" w:rsidRDefault="00E82C4B" w:rsidP="007A4719">
      <w:pPr>
        <w:pStyle w:val="NormalHanging12a"/>
        <w:widowControl/>
      </w:pPr>
      <w:r w:rsidRPr="007777FA">
        <w:t>–</w:t>
      </w:r>
      <w:r w:rsidRPr="007777FA">
        <w:tab/>
        <w:t>έχοντας υπόψη τα συμπεράσματα του Ευρωπαϊκού Συμβουλίου της 23ης Μαρτίου 2023,</w:t>
      </w:r>
    </w:p>
    <w:p w:rsidR="00E82C4B" w:rsidRPr="007777FA" w:rsidRDefault="00E82C4B" w:rsidP="007A4719">
      <w:pPr>
        <w:pStyle w:val="NormalHanging12a"/>
        <w:widowControl/>
      </w:pPr>
      <w:r w:rsidRPr="007777FA">
        <w:t>–</w:t>
      </w:r>
      <w:r w:rsidRPr="007777FA">
        <w:tab/>
        <w:t>έχοντας υπόψη το ψήφισμά του της 7ης Οκτωβρίου 2021 σχετικά με τη μεταρρύθμιση της πολιτικής της ΕΕ για τις επιζήμιες φορολογικές πρακτικές</w:t>
      </w:r>
      <w:r w:rsidRPr="007777FA">
        <w:rPr>
          <w:vertAlign w:val="superscript"/>
        </w:rPr>
        <w:footnoteReference w:id="21"/>
      </w:r>
      <w:r w:rsidRPr="007777FA">
        <w:t xml:space="preserve"> (συμπεριλαμβανομένης της μεταρρύθμισης της Ομάδας «Κώδικας δεοντολογίας»),</w:t>
      </w:r>
    </w:p>
    <w:p w:rsidR="00E82C4B" w:rsidRPr="007777FA" w:rsidRDefault="00E82C4B" w:rsidP="007A4719">
      <w:pPr>
        <w:pStyle w:val="NormalHanging12a"/>
        <w:widowControl/>
      </w:pPr>
      <w:r w:rsidRPr="007777FA">
        <w:t>–</w:t>
      </w:r>
      <w:r w:rsidRPr="007777FA">
        <w:tab/>
        <w:t>έχοντας υπόψη το ψήφισμά του της 15ης Φεβρουαρίου 2022 σχετικά με τον αντίκτυπο των εθνικών φορολογικών μεταρρυθμίσεων στην οικονομία της ΕΕ</w:t>
      </w:r>
      <w:r w:rsidRPr="007777FA">
        <w:rPr>
          <w:vertAlign w:val="superscript"/>
        </w:rPr>
        <w:footnoteReference w:id="22"/>
      </w:r>
      <w:r w:rsidRPr="007777FA">
        <w:t>,</w:t>
      </w:r>
    </w:p>
    <w:p w:rsidR="00E82C4B" w:rsidRPr="007777FA" w:rsidRDefault="00E82C4B" w:rsidP="007A4719">
      <w:pPr>
        <w:pStyle w:val="NormalHanging12a"/>
        <w:widowControl/>
      </w:pPr>
      <w:r w:rsidRPr="007777FA">
        <w:t>–</w:t>
      </w:r>
      <w:r w:rsidRPr="007777FA">
        <w:tab/>
        <w:t>έχοντας υπόψη το ψήφισμά του της 10ης Μαρτίου 2022 με συστάσεις προς την Επιτροπή σχετικά με τη δίκαιη και απλή φορολόγηση για τη στήριξη της στρατηγικής ανάκαμψης (συνέχεια που δίδεται από το ΕΚ στο σχέδιο δράσης της Επιτροπής του Ιουλίου και στις 25 πρωτοβουλίες της στον τομέα του ΦΠΑ, των επιχειρήσεων και της ατομικής φορολόγησης)</w:t>
      </w:r>
      <w:r w:rsidRPr="007777FA">
        <w:rPr>
          <w:vertAlign w:val="superscript"/>
        </w:rPr>
        <w:footnoteReference w:id="23"/>
      </w:r>
      <w:r w:rsidRPr="007777FA">
        <w:t>,</w:t>
      </w:r>
    </w:p>
    <w:p w:rsidR="00E82C4B" w:rsidRPr="007777FA" w:rsidRDefault="00E82C4B" w:rsidP="007A4719">
      <w:pPr>
        <w:widowControl/>
        <w:spacing w:after="240"/>
        <w:ind w:left="567" w:hanging="567"/>
        <w:rPr>
          <w:vertAlign w:val="superscript"/>
        </w:rPr>
      </w:pPr>
      <w:r w:rsidRPr="007777FA">
        <w:t>–</w:t>
      </w:r>
      <w:r w:rsidRPr="007777FA">
        <w:tab/>
        <w:t>έχοντας υπόψη το ψήφισμά του της 10ης Μαρτίου 2022 σχετικά με ένα ευρωπαϊκό πλαίσιο για την παρακράτηση φόρου</w:t>
      </w:r>
      <w:r w:rsidRPr="007777FA">
        <w:rPr>
          <w:rStyle w:val="FootnoteReference"/>
        </w:rPr>
        <w:footnoteReference w:id="24"/>
      </w:r>
      <w:r w:rsidRPr="007777FA">
        <w:t>,</w:t>
      </w:r>
      <w:r w:rsidRPr="007777FA">
        <w:rPr>
          <w:vertAlign w:val="superscript"/>
        </w:rPr>
        <w:t xml:space="preserve"> </w:t>
      </w:r>
    </w:p>
    <w:p w:rsidR="00E82C4B" w:rsidRPr="007777FA" w:rsidRDefault="00E82C4B" w:rsidP="007A4719">
      <w:pPr>
        <w:pStyle w:val="NormalHanging12a"/>
        <w:widowControl/>
      </w:pPr>
      <w:r w:rsidRPr="007777FA">
        <w:t>–</w:t>
      </w:r>
      <w:r w:rsidRPr="007777FA">
        <w:tab/>
        <w:t>έχοντας υπόψη το ψήφισμά του της 4ης Οκτωβρίου 2022 σχετικά με τον αντίκτυπο των νέων τεχνολογιών στη φορολογία: κρυπτονομίσματα και blockchain</w:t>
      </w:r>
      <w:r w:rsidRPr="007777FA">
        <w:rPr>
          <w:rStyle w:val="FootnoteReference"/>
        </w:rPr>
        <w:footnoteReference w:id="25"/>
      </w:r>
      <w:r w:rsidRPr="007777FA">
        <w:t>,</w:t>
      </w:r>
    </w:p>
    <w:p w:rsidR="00E82C4B" w:rsidRPr="007777FA" w:rsidRDefault="00E82C4B" w:rsidP="007A4719">
      <w:pPr>
        <w:pStyle w:val="NormalHanging12a"/>
        <w:widowControl/>
      </w:pPr>
      <w:r w:rsidRPr="007777FA">
        <w:t>–</w:t>
      </w:r>
      <w:r w:rsidRPr="007777FA">
        <w:tab/>
        <w:t>έχοντας υπόψη το σχέδιο δράσης του Οργανισμού Οικονομικής Συνεργασίας και Ανάπτυξης (ΟΟΣΑ) της 19ης Ιουλίου 2013 για τη διάβρωση της βάσης και τη μετατόπιση των κερδών (BEPS),</w:t>
      </w:r>
    </w:p>
    <w:p w:rsidR="00E82C4B" w:rsidRPr="007777FA" w:rsidRDefault="00E82C4B" w:rsidP="007A4719">
      <w:pPr>
        <w:pStyle w:val="NormalHanging12a"/>
        <w:widowControl/>
      </w:pPr>
      <w:r w:rsidRPr="007777FA">
        <w:t>–</w:t>
      </w:r>
      <w:r w:rsidRPr="007777FA">
        <w:tab/>
        <w:t>έχοντας υπόψη τις μελέτες της Επιτροπής σχετικά με τους «δείκτες επιθετικού φορολογικού σχεδιασμού»</w:t>
      </w:r>
      <w:r w:rsidRPr="007777FA">
        <w:rPr>
          <w:rStyle w:val="FootnoteReference"/>
        </w:rPr>
        <w:footnoteReference w:id="26"/>
      </w:r>
      <w:r w:rsidRPr="007777FA">
        <w:t>,</w:t>
      </w:r>
      <w:r w:rsidRPr="007777FA">
        <w:rPr>
          <w:vertAlign w:val="superscript"/>
        </w:rPr>
        <w:t xml:space="preserve"> </w:t>
      </w:r>
      <w:r w:rsidRPr="007777FA">
        <w:t xml:space="preserve"> </w:t>
      </w:r>
    </w:p>
    <w:p w:rsidR="00E82C4B" w:rsidRPr="007777FA" w:rsidRDefault="00E82C4B" w:rsidP="007A4719">
      <w:pPr>
        <w:pStyle w:val="NormalHanging12a"/>
        <w:widowControl/>
      </w:pPr>
      <w:r w:rsidRPr="007777FA">
        <w:t>–</w:t>
      </w:r>
      <w:r w:rsidRPr="007777FA">
        <w:tab/>
        <w:t>έχοντας υπόψη τις τελικές εκθέσεις των ΟΟΣΑ/G20 για την BEPS του Οκτωβρίου 2015,</w:t>
      </w:r>
    </w:p>
    <w:p w:rsidR="00E82C4B" w:rsidRPr="007777FA" w:rsidRDefault="00E82C4B" w:rsidP="007A4719">
      <w:pPr>
        <w:pStyle w:val="NormalHanging12a"/>
        <w:widowControl/>
      </w:pPr>
      <w:r w:rsidRPr="007777FA">
        <w:t>–</w:t>
      </w:r>
      <w:r w:rsidRPr="007777FA">
        <w:tab/>
        <w:t>έχοντας υπόψη τη δήλωση του πλαισίου χωρίς αποκλεισμούς των ΟΟΣΑ/G20 για την BEPS, της 8ης Οκτωβρίου 2021, με τίτλο «Λύση δύο πυλώνων για την αντιμετώπιση των φορολογικών προκλήσεων που προκύπτουν από την ψηφιοποίηση της οικονομίας», την οποία προσυπέγραψαν και με την οποία συμφώνησαν 138 από τα 141 μέλη στις 16</w:t>
      </w:r>
      <w:r w:rsidR="004A477A" w:rsidRPr="007777FA">
        <w:t> </w:t>
      </w:r>
      <w:r w:rsidRPr="007777FA">
        <w:t>Δεκεμβρίου 2022,</w:t>
      </w:r>
    </w:p>
    <w:p w:rsidR="00E82C4B" w:rsidRPr="007777FA" w:rsidRDefault="00E82C4B" w:rsidP="007A4719">
      <w:pPr>
        <w:pStyle w:val="NormalHanging12a"/>
        <w:widowControl/>
      </w:pPr>
      <w:r w:rsidRPr="007777FA">
        <w:t>–</w:t>
      </w:r>
      <w:r w:rsidRPr="007777FA">
        <w:tab/>
        <w:t>έχοντας υπόψη τις εκθέσεις σχετικά με τα σχέδια του πρώτου και του δεύτερου πυλώνα που εγκρίθηκαν από το πλαίσιο χωρίς αποκλεισμούς των ΟΟΣΑ/G20 στις 14</w:t>
      </w:r>
      <w:r w:rsidR="004A477A" w:rsidRPr="007777FA">
        <w:t> </w:t>
      </w:r>
      <w:r w:rsidRPr="007777FA">
        <w:t>Οκτωβρίου 2020, καθώς και τα αποτελέσματα της οικονομικής ανάλυσης και της εκτίμησης επιπτώσεων του ΟΟΣΑ, της 12ης Οκτωβρίου 2020, με τίτλο «Tax Challenges Aseing from Digitalisation – Economic Impact Assessment» (Φορολογικές προκλήσεις που προκύπτουν από την ψηφιοποίηση – Εκτίμηση οικονομικών επιπτώσεων),</w:t>
      </w:r>
    </w:p>
    <w:p w:rsidR="00E82C4B" w:rsidRPr="007777FA" w:rsidRDefault="00E82C4B" w:rsidP="007A4719">
      <w:pPr>
        <w:pStyle w:val="NormalHanging12a"/>
        <w:widowControl/>
      </w:pPr>
      <w:r w:rsidRPr="007777FA">
        <w:t>–</w:t>
      </w:r>
      <w:r w:rsidRPr="007777FA">
        <w:tab/>
        <w:t>έχοντας υπόψη τους πρότυπους κανόνες του δεύτερου πυλώνα του πλαισίου χωρίς αποκλεισμούς των ΟΟΣΑ/G20 για την BEPS, της 20ής Δεκεμβρίου 2021, για την εγχώρια εφαρμογή παγκόσμιου ελάχιστου φόρου 15 %,</w:t>
      </w:r>
    </w:p>
    <w:p w:rsidR="00993B91" w:rsidRDefault="00E82C4B" w:rsidP="007A4719">
      <w:pPr>
        <w:pStyle w:val="NormalHanging12a"/>
        <w:widowControl/>
      </w:pPr>
      <w:r w:rsidRPr="007777FA">
        <w:t>–</w:t>
      </w:r>
      <w:r w:rsidRPr="007777FA">
        <w:tab/>
        <w:t>έχοντας υπόψη τη δήλωση του πλαισίου χωρίς αποκλεισμούς των ΟΟΣΑ/G20 για τη διάβρωση της φορολογικής βάσης και τη μετατόπιση των κερδών (BEPS) με τίτλο «Λύση δύο πυλώνων για την αντιμετώπιση των φορολογικών προκλήσεων που προκύπτουν από την ψηφιοποίηση της οικονομίας», την οποία προσυπέγραψαν και με την οποία συμφώνησαν 137 από τα 141 μέλη στις 4 Νοεμβρίου 2021,</w:t>
      </w:r>
    </w:p>
    <w:p w:rsidR="00E82C4B" w:rsidRPr="007777FA" w:rsidRDefault="00993B91" w:rsidP="007A4719">
      <w:pPr>
        <w:pStyle w:val="NormalHanging12a"/>
        <w:widowControl/>
      </w:pPr>
      <w:r w:rsidRPr="007777FA">
        <w:t>–</w:t>
      </w:r>
      <w:r w:rsidRPr="007777FA">
        <w:tab/>
      </w:r>
      <w:r w:rsidR="00E82C4B" w:rsidRPr="007777FA">
        <w:t>έχοντας υπόψη τ</w:t>
      </w:r>
      <w:r>
        <w:t>ην πρόταση της Επιτροπής, της 19</w:t>
      </w:r>
      <w:r w:rsidR="00E82C4B" w:rsidRPr="007777FA">
        <w:t>ης Ιουνίου 2023, για οδηγία του Συμβουλίου σχετικά με την ταχύτερη και ασφαλέστερη ελάφρυνση για τους φόρους που παρακρατήθηκαν καθ’ υπέρβαση των οφειλόμενων (COM(2023)0324),</w:t>
      </w:r>
    </w:p>
    <w:p w:rsidR="00E82C4B" w:rsidRPr="007777FA" w:rsidRDefault="00E82C4B" w:rsidP="007A4719">
      <w:pPr>
        <w:pStyle w:val="NormalHanging12a"/>
        <w:widowControl/>
      </w:pPr>
      <w:r w:rsidRPr="007777FA">
        <w:t>–</w:t>
      </w:r>
      <w:r w:rsidRPr="007777FA">
        <w:tab/>
        <w:t>έχοντας υπόψη τις διατάξεις 117-169 του δημόσιου δικαίου των Ηνωμένων Πολιτειών της 16ης Αυγούστου 2022, γνωστές ως νόμος για τη μείωση του πληθωρισμού,</w:t>
      </w:r>
    </w:p>
    <w:p w:rsidR="00E82C4B" w:rsidRPr="007777FA" w:rsidRDefault="00E82C4B" w:rsidP="007A4719">
      <w:pPr>
        <w:pStyle w:val="NormalHanging12a"/>
        <w:widowControl/>
      </w:pPr>
      <w:r w:rsidRPr="007777FA">
        <w:t>–</w:t>
      </w:r>
      <w:r w:rsidRPr="007777FA">
        <w:tab/>
        <w:t>έχοντας υπόψη το άρθρο 54 του Κανονισμού του,</w:t>
      </w:r>
    </w:p>
    <w:p w:rsidR="00E82C4B" w:rsidRPr="007777FA" w:rsidRDefault="00E82C4B" w:rsidP="007A4719">
      <w:pPr>
        <w:pStyle w:val="NormalHanging12a"/>
        <w:widowControl/>
      </w:pPr>
      <w:r w:rsidRPr="007777FA">
        <w:t>–</w:t>
      </w:r>
      <w:r w:rsidRPr="007777FA">
        <w:tab/>
        <w:t>έχοντας υπόψη την επιστολή της Επιτροπής Προϋπολογισμών,</w:t>
      </w:r>
    </w:p>
    <w:p w:rsidR="00E82C4B" w:rsidRPr="007777FA" w:rsidRDefault="00E82C4B" w:rsidP="007A4719">
      <w:pPr>
        <w:pStyle w:val="NormalHanging12a"/>
        <w:widowControl/>
      </w:pPr>
      <w:r w:rsidRPr="007777FA">
        <w:t>–</w:t>
      </w:r>
      <w:r w:rsidRPr="007777FA">
        <w:tab/>
        <w:t>έχοντας υπόψη την έκθεση της Επιτροπής Οικονομικής και Νομισματικής Πολιτικής (A9-0359/2023),</w:t>
      </w:r>
    </w:p>
    <w:p w:rsidR="00E82C4B" w:rsidRPr="007777FA" w:rsidRDefault="00E82C4B" w:rsidP="007A4719">
      <w:pPr>
        <w:pStyle w:val="NormalHanging12a"/>
        <w:widowControl/>
      </w:pPr>
      <w:r w:rsidRPr="007777FA">
        <w:t>Α.</w:t>
      </w:r>
      <w:r w:rsidRPr="007777FA">
        <w:tab/>
        <w:t>λαμβάνοντας υπόψη ότι τα κράτη μέλη είναι ελεύθερα να αποφασίζουν για την οικονομική τους πολιτική και ιδίως τη φορολογική τους πολιτική, όπως κατοχυρώνεται από τις Συνθήκες της ΕΕ, ιδίως τον κανόνα της ομοφωνίας που προβλέπεται σε αυτές· λαμβάνοντας υπόψη ότι η εύρυθμη λειτουργία του φορολογικού συστήματος είναι προς το συμφέρον των κρατών μελών ώστε να διασφαλίζεται η ορθή είσπραξη των φόρων· λαμβάνοντας υπόψη ότι, παρόλο που η φορολογική πολιτική παραμένει σε μεγάλο βαθμό αρμοδιότητα των κρατών μελών, η ενιαία αγορά απαιτεί συντονισμό και συνεργασία μεταξύ των κρατών μελών και σε επίπεδο ΕΕ κατά τον καθορισμό της φορολογικής πολιτικής προκειμένου να προωθηθεί η ολοκλήρωση της ενιαίας αγοράς και να αποφευχθούν τόσο οι οικονομικές στρεβλώσεις όσο και ο επιζήμιος φορολογικός ανταγωνισμός·</w:t>
      </w:r>
    </w:p>
    <w:p w:rsidR="00E82C4B" w:rsidRPr="007777FA" w:rsidRDefault="00E82C4B" w:rsidP="007A4719">
      <w:pPr>
        <w:pStyle w:val="NormalHanging12a"/>
        <w:widowControl/>
      </w:pPr>
      <w:r w:rsidRPr="007777FA">
        <w:t>Β.</w:t>
      </w:r>
      <w:r w:rsidRPr="007777FA">
        <w:tab/>
        <w:t xml:space="preserve">λαμβάνοντας υπόψη ότι η φορολογική πολιτική αποτελεί εθνική αρμοδιότητα σύμφωνα με τις συνθήκες και ότι η φορολογική κυριαρχία συνιστά θεμελιώδη αρχή της έννομης τάξης της ΕΕ· λαμβάνοντας υπόψη ότι η ομοφωνία, όπως προβλέπεται στις Συνθήκες, πρέπει να αντισταθμίζεται από πολύ υψηλό επίπεδο ευθύνης εκ μέρους των κρατών μελών και πρέπει να συνάδει με την αρχή της καλόπιστης συνεργασίας που βασίζεται στο άρθρο 4 παράγραφος 3 </w:t>
      </w:r>
      <w:r w:rsidR="00BD6DDC" w:rsidRPr="007777FA">
        <w:t>της Συνθήκης για την Ευρωπαϊκή Ένωση</w:t>
      </w:r>
      <w:r w:rsidRPr="007777FA">
        <w:t>· λαμβάνοντας υπόψη ότι αυτό το πλαίσιο πρωτογενούς δικαίου επιτρέπει υψηλού επιπέδου νομοθετικό συντονισμό και διοικητική συνεργασία μεταξύ των κρατών μελών της ΕΕ· λαμβάνοντας υπόψη ότι αυτός ο συντονισμός και αυτή η συνεργασία απαιτούνται για τη διατήρηση της ακεραιότητας της ενιαίας αγοράς και του έντιμου, θεμιτού και διαφανούς φορολογικού ανταγωνισμού·</w:t>
      </w:r>
    </w:p>
    <w:p w:rsidR="00E82C4B" w:rsidRPr="007777FA" w:rsidRDefault="00E82C4B" w:rsidP="007A4719">
      <w:pPr>
        <w:pStyle w:val="NormalHanging12a"/>
        <w:widowControl/>
      </w:pPr>
      <w:r w:rsidRPr="007777FA">
        <w:t>Γ.</w:t>
      </w:r>
      <w:r w:rsidRPr="007777FA">
        <w:tab/>
        <w:t>λαμβάνοντας υπόψη ότι η έννοια ενός δίκαιου και αποδοτικού συστήματος φορολόγησης δεν συνεπάγεται κατ’ ανάγκη υψηλότερο συνολικό επίπεδο φορολογίας·</w:t>
      </w:r>
    </w:p>
    <w:p w:rsidR="00E82C4B" w:rsidRPr="007777FA" w:rsidRDefault="00E82C4B" w:rsidP="007A4719">
      <w:pPr>
        <w:pStyle w:val="NormalHanging12a"/>
        <w:widowControl/>
      </w:pPr>
      <w:r w:rsidRPr="007777FA">
        <w:t>Δ.</w:t>
      </w:r>
      <w:r w:rsidRPr="007777FA">
        <w:tab/>
        <w:t>λαμβάνοντας υπόψη ότι οι Ευρωπαίοι πολίτες δυσκολεύονται να καλύψουν τις βασικές τους ανάγκες και ότι, εκτός από τα νοικοκυριά χαμηλού εισοδήματος, η μεσαία τάξη πλήττεται όλο και περισσότερο και ορισμένες εταιρείες αντιμετωπίζουν διάφορες προκλήσεις· λαμβάνοντας υπόψη ότι άλλες εταιρείες, ιδίως στον τομέα της ενέργειας, έχουν αποκομίσει απροσδόκητα κέρδη·</w:t>
      </w:r>
    </w:p>
    <w:p w:rsidR="00E82C4B" w:rsidRPr="007777FA" w:rsidRDefault="00E82C4B" w:rsidP="007A4719">
      <w:pPr>
        <w:pStyle w:val="NormalHanging12a"/>
        <w:widowControl/>
      </w:pPr>
      <w:r w:rsidRPr="007777FA">
        <w:t>Ε.</w:t>
      </w:r>
      <w:r w:rsidRPr="007777FA">
        <w:tab/>
        <w:t>λαμβάνοντας υπόψη ότι, στις 4 Νοεμβρίου 2021, 137 από τα 141 μέλη του πλαισίου χωρίς αποκλεισμούς των ΟΟΣΑ/G20 για την BEPS, συμπεριλαμβανομένων όλων των κρατών μελών της ΕΕ, συμφώνησαν επί της μεταρρύθμισης του διεθνούς φορολογικού συστήματος μέσω μιας λύσης δύο πυλώνων για την αντιμετώπιση των προκλήσεων που προκύπτουν από την ψηφιοποίηση της οικονομίας, μεταξύ άλλων με την επιβολή πολυμερώς συμφωνηθέντων περιορισμών στη μετατόπιση των κερδών·</w:t>
      </w:r>
    </w:p>
    <w:p w:rsidR="00E82C4B" w:rsidRPr="007777FA" w:rsidRDefault="00E82C4B" w:rsidP="007A4719">
      <w:pPr>
        <w:pStyle w:val="NormalHanging12a"/>
        <w:widowControl/>
      </w:pPr>
      <w:r w:rsidRPr="007777FA">
        <w:t>ΣΤ.</w:t>
      </w:r>
      <w:r w:rsidRPr="007777FA">
        <w:tab/>
        <w:t xml:space="preserve">λαμβάνοντας υπόψη ότι, επί του παρόντος, οι ΜΜΕ αντιπροσωπεύουν σχεδόν το σύνολο των επιχειρήσεων του μη χρηματοπιστωτικού επιχειρηματικού τομέα της Ευρωπαϊκής Ένωσης (ΕΕ των 27+1) (99,8 %), τα δύο τρίτα της συνολικής απασχόλησης στην ΕΕ των 28 (66,6 %) και σχεδόν τα τρία πέμπτα (56,8 %) της προστιθέμενης αξίας που παράγεται από τον μη χρηματοπιστωτικό επιχειρηματικό τομέα σύμφωνα με την έκθεση της Επιτροπής σχετικά με το «Κόστος φορολογικής συμμόρφωσης για τις ΜΜΕ: Επικαιροποίηση και συμπλήρωμα του Ιανουαρίου </w:t>
      </w:r>
      <w:r w:rsidR="004A477A" w:rsidRPr="007777FA">
        <w:t xml:space="preserve">του </w:t>
      </w:r>
      <w:r w:rsidRPr="007777FA">
        <w:t>2022»·</w:t>
      </w:r>
    </w:p>
    <w:p w:rsidR="00E82C4B" w:rsidRPr="007777FA" w:rsidRDefault="00E82C4B" w:rsidP="007A4719">
      <w:pPr>
        <w:pStyle w:val="NormalHanging12a"/>
        <w:widowControl/>
      </w:pPr>
      <w:r w:rsidRPr="007777FA">
        <w:t>Ζ.</w:t>
      </w:r>
      <w:r w:rsidRPr="007777FA">
        <w:tab/>
        <w:t>λαμβάνοντας υπόψη ότι με το σχέδιο δράσης BEPS επιτεύχθηκε συναίνεση εντός του πλαισίου χωρίς αποκλεισμούς των ΟΟΣΑ/G20 για την BEPS, στο οποίο συμμετείχαν περισσότερες από 139 χώρες και δικαιοδοτικά όργανα σε πολλά ζητήματα σχετικά με την καταπολέμηση της φοροαποφυγής και του επιθετικού φορολογικού σχεδιασμού·</w:t>
      </w:r>
    </w:p>
    <w:p w:rsidR="00E82C4B" w:rsidRPr="007777FA" w:rsidRDefault="00E82C4B" w:rsidP="007A4719">
      <w:pPr>
        <w:pStyle w:val="NormalHanging12a"/>
        <w:widowControl/>
      </w:pPr>
      <w:r w:rsidRPr="007777FA">
        <w:t>Η.</w:t>
      </w:r>
      <w:r w:rsidRPr="007777FA">
        <w:tab/>
        <w:t>λαμβάνοντας υπόψη ότι ο επιθετικός φορολογικός σχεδιασμός μπορεί να έχει αντίκτυπο στην τήρηση των κανόνων φορολογικής συμμόρφωσης από τους φορολογούμενους, καθώς και στην ανταγωνιστικότητα των εταιρειών και στη σταθερότητα των φορολογικών εσόδων· λαμβάνοντας υπόψη ότι ο επιθετικός φορολογικός σχεδιασμός και ο επιζήμιος φορολογικός ανταγωνισμός ενδέχεται να έχουν αρνητικό αντίκτυπο στη λειτουργία της ενιαίας αγοράς·</w:t>
      </w:r>
    </w:p>
    <w:p w:rsidR="00E82C4B" w:rsidRPr="007777FA" w:rsidRDefault="00E82C4B" w:rsidP="007A4719">
      <w:pPr>
        <w:pStyle w:val="NormalHanging12a"/>
        <w:widowControl/>
      </w:pPr>
      <w:r w:rsidRPr="007777FA">
        <w:t>Θ.</w:t>
      </w:r>
      <w:r w:rsidRPr="007777FA">
        <w:tab/>
        <w:t>λαμβάνοντας υπόψη ότι η ΕΕ έδωσε το παράδειγμα με τη μεταφορά διεθνών συμφωνιών σε οδηγίες που βελτιώνουν τον συντονισμό και τον αγώνα της ΕΕ κατά της φορολογικής απάτης, της φοροαποφυγής και του επιθετικού φορολογικού σχεδιασμού· λαμβάνοντας υπόψη ότι τα κράτη μέλη διαφοροποιήθηκαν σε κάποιο βαθμό όσον αφορά την εφαρμογή του σχεδίου δράσης του ΟΟΣΑ για την BEPS·</w:t>
      </w:r>
    </w:p>
    <w:p w:rsidR="00E82C4B" w:rsidRPr="007777FA" w:rsidRDefault="00E82C4B" w:rsidP="007A4719">
      <w:pPr>
        <w:pStyle w:val="NormalHanging12a"/>
        <w:widowControl/>
      </w:pPr>
      <w:r w:rsidRPr="007777FA">
        <w:t>Ι.</w:t>
      </w:r>
      <w:r w:rsidRPr="007777FA">
        <w:tab/>
        <w:t>λαμβάνοντας υπόψη ότι η Ομάδα «Κώδικας δεοντολογίας» για τη φορολογία των επιχειρήσεων συνέχισε το έργο της με στόχο τον εντοπισμό και τον περιορισμό των επιζήμιων φορολογικά μέτρα των κρατών μελών· λαμβάνοντας υπόψη ότι οι υπουργοί Οικονομικών συμφώνησαν στις 8 Νοεμβρίου 2022 να ενισχύσουν τον κώδικα δεοντολογίας· λαμβάνοντας υπόψη ότι ορισμένες εταιρείες φαίνεται να προσαρμόζονται στους νέους φορολογικούς κανόνες και ενδέχεται να εφαρμόζουν μηχανισμούς επιθετικού φορολογικού σχεδιασμού· λαμβάνοντας υπόψη ότι η τελική δέσμη μέτρων BEPS όσον αφορά τη μεταρρύθμιση του διεθνούς φορολογικού συστήματος για την αντιμετώπιση της φοροαποφυγής εγκρίθηκε από τις συμμετέχουσες χώρες των ΟΟΣΑ/G20 το 2015·</w:t>
      </w:r>
    </w:p>
    <w:p w:rsidR="00E82C4B" w:rsidRPr="007777FA" w:rsidRDefault="00E82C4B" w:rsidP="007A4719">
      <w:pPr>
        <w:pStyle w:val="NormalHanging12a"/>
        <w:widowControl/>
      </w:pPr>
      <w:r w:rsidRPr="007777FA">
        <w:t>ΙΑ.</w:t>
      </w:r>
      <w:r w:rsidRPr="007777FA">
        <w:tab/>
        <w:t>λαμβάνοντας υπόψη ότι ο μέσος ονομαστικός συντελεστής φορολογίας εισοδήματος εταιρειών στις χώρες της ΕΕ μεταβλήθηκε από το 35 % το 1995 στο 21,2 % το 2023·</w:t>
      </w:r>
    </w:p>
    <w:p w:rsidR="00E82C4B" w:rsidRPr="007777FA" w:rsidRDefault="00E82C4B" w:rsidP="007A4719">
      <w:pPr>
        <w:pStyle w:val="NormalHanging12a"/>
        <w:widowControl/>
      </w:pPr>
      <w:r w:rsidRPr="007777FA">
        <w:t>ΙΒ.</w:t>
      </w:r>
      <w:r w:rsidRPr="007777FA">
        <w:tab/>
        <w:t>λαμβάνοντας υπόψη ότι, τον Ιούνιο του 2023, 143 δικαιοδοσίες, συμπεριλαμβανομένων όλων των κρατών μελών της ΕΕ, είχαν συμφωνήσει επί της μεταρρύθμισης του διεθνούς φορολογικού συστήματος μέσω μιας λύσης δύο πυλώνων·</w:t>
      </w:r>
    </w:p>
    <w:p w:rsidR="00E82C4B" w:rsidRPr="007777FA" w:rsidRDefault="00E82C4B" w:rsidP="007A4719">
      <w:pPr>
        <w:pStyle w:val="NormalHanging12a"/>
        <w:widowControl/>
      </w:pPr>
      <w:r w:rsidRPr="007777FA">
        <w:t>ΙΓ.</w:t>
      </w:r>
      <w:r w:rsidRPr="007777FA">
        <w:tab/>
        <w:t>λαμβάνοντας υπόψη ότι η νομικά δεσμευτική διοργανική συμφωνία της 16ης</w:t>
      </w:r>
      <w:r w:rsidR="004A477A" w:rsidRPr="007777FA">
        <w:t> </w:t>
      </w:r>
      <w:r w:rsidRPr="007777FA">
        <w:t>Δεκεμβρίου 2020 προβλέπει την εφαρμογή ενός χάρτη πορείας για νέους πόρους· λαμβάνοντας υπόψη ότι οι νέοι ίδιοι πόροι που πρότεινε η Επιτροπή τον Δεκέμβριο του 2021 προορίζονται να καλύψουν μέρος της αποπληρωμής του Next Generation EU· λαμβάνοντας υπόψη ότι, τον Ιούνιο του 2023, η Επιτροπή πρότεινε έναν ίδιο πόρο που θα συνδέεται με τον εταιρικό τομέα·</w:t>
      </w:r>
    </w:p>
    <w:p w:rsidR="00E82C4B" w:rsidRPr="007777FA" w:rsidRDefault="00E82C4B" w:rsidP="007A4719">
      <w:pPr>
        <w:pStyle w:val="NormalHanging12a"/>
        <w:widowControl/>
      </w:pPr>
      <w:r w:rsidRPr="007777FA">
        <w:t>ΙΔ.</w:t>
      </w:r>
      <w:r w:rsidRPr="007777FA">
        <w:tab/>
        <w:t>λαμβάνοντας υπόψη ότι ο κατακερματισμός, η πολυπλοκότητα και η ανεπαρκής ψηφιοποίηση της φορολογικής πολιτικής συμβάλλουν στη δημιουργία διαφόρων εμποδίων για τις εταιρείες, συμπεριλαμβανομένων των εργαζομένων στις ΜΜΕ, των αυτοαπασχολούμενων και των πολιτών στην ενιαία αγορά, όπως η ανασφάλεια δικαίου, η γραφειοκρατία, ο κίνδυνος διπλής φορολόγησης και οι δυσκολίες στην αίτηση επιστροφής φόρου· λαμβάνοντας υπόψη ότι τα εν λόγω εμπόδια αποθαρρύνουν τη διασυνοριακή οικονομική δραστηριότητα στην ενιαία αγορά· λαμβάνοντας υπόψη ότι η υπέρβαση αυτών των εμποδίων απαιτεί πολυμερή συνεργασία μεταξύ των κρατών μελών και την επείγουσα εφαρμογή ψηφιακών λύσεων από τα κράτη μέλη οι οποίες απλοποιούν και μειώνουν το κόστος φορολογικής συμμόρφωσης για τις επιχειρήσεις· λαμβάνοντας υπόψη ότι ο κατακερματισμός των πολιτικών δημιουργεί επίσης κινδύνους για τις φορολογικές αρχές, όπως η διπλή μη φορολόγηση και οι δυνατότητες επιλογής ευνοϊκότερου φορολογικού καθεστώτος (φορολογικός σχεδιασμός)· λαμβάνοντας υπόψη ότι ορισμένα κράτη μέλη έχουν αναπτύξει συστήματα που θα επέφεραν χαμηλότερη φορολόγηση από τον εθνικό ονομαστικό συντελεστή και ενδέχεται να θέσουν τις ΜΜΕ σε μειονεκτική θέση έναντι του ανταγωνισμού·</w:t>
      </w:r>
    </w:p>
    <w:p w:rsidR="00E82C4B" w:rsidRPr="007777FA" w:rsidRDefault="00E82C4B" w:rsidP="007A4719">
      <w:pPr>
        <w:pStyle w:val="NormalHanging12a"/>
        <w:widowControl/>
      </w:pPr>
      <w:r w:rsidRPr="007777FA">
        <w:t>ΙΕ.</w:t>
      </w:r>
      <w:r w:rsidRPr="007777FA">
        <w:tab/>
        <w:t>λαμβάνοντας υπόψη ότι τα κράτη μέλη εξακολουθούν να χάνουν φορολογικά έσοδα λόγω επιζήμιων φορολογικών πρακτικών και ότι, σύμφωνα με εκτιμήσεις, τα διαφυγόντα έσοδα εξαιτίας επιζήμιων φορολογικών πρακτικών κυμαίνονται από 36-37 δισεκατομμύρια EUR έως 160-190 δισεκατομμύρια EUR ετησίως· λαμβάνοντας υπόψη ότι ο κατακερματισμός των πολιτικών θα μπορούσε να αυξήσει το κόστος επιβολής για τις φορολογικές αρχές·</w:t>
      </w:r>
    </w:p>
    <w:p w:rsidR="00E82C4B" w:rsidRPr="007777FA" w:rsidRDefault="00E82C4B" w:rsidP="007A4719">
      <w:pPr>
        <w:pStyle w:val="NormalHanging12a"/>
        <w:widowControl/>
      </w:pPr>
      <w:r w:rsidRPr="007777FA">
        <w:t>ΙΣΤ.</w:t>
      </w:r>
      <w:r w:rsidRPr="007777FA">
        <w:tab/>
        <w:t>λαμβάνοντας υπόψη ότι η συνεισφορά αλληλεγγύης εφαρμόζεται στα απροσδόκητα κέρδη ορισμένων εταιρειών του ενεργειακού τομέα·</w:t>
      </w:r>
    </w:p>
    <w:p w:rsidR="00E82C4B" w:rsidRPr="007777FA" w:rsidRDefault="00E82C4B" w:rsidP="007A4719">
      <w:pPr>
        <w:pStyle w:val="NormalHanging12a"/>
        <w:widowControl/>
      </w:pPr>
      <w:r w:rsidRPr="007777FA">
        <w:t>ΙΖ.</w:t>
      </w:r>
      <w:r w:rsidRPr="007777FA">
        <w:tab/>
        <w:t>λαμβάνοντας υπόψη ότι, στο πλαίσιο της κοινωνικής οικονομίας της αγοράς της ΕΕ, τα κατάλληλα επίπεδα φορολογίας καθώς και οι απλοί και σαφείς φορολογικοί νόμοι δεν θα πρέπει να στρεβλώνουν τη διαδικασία λήψης αποφάσεων των οικονομικών φορέων· λαμβάνοντας υπόψη ότι οι υγιείς φορολογικές πολιτικές θα πρέπει να στηρίζουν τη δημιουργία θέσεων εργασίας και την οικονομική ανάπτυξη και να βελτιώνουν την ανταγωνιστικότητα της ΕΕ και των κρατών μελών της·</w:t>
      </w:r>
    </w:p>
    <w:p w:rsidR="00E82C4B" w:rsidRPr="007777FA" w:rsidRDefault="00E82C4B" w:rsidP="007A4719">
      <w:pPr>
        <w:pStyle w:val="NormalHanging12a"/>
        <w:widowControl/>
      </w:pPr>
      <w:r w:rsidRPr="007777FA">
        <w:t>ΙΗ.</w:t>
      </w:r>
      <w:r w:rsidRPr="007777FA">
        <w:tab/>
        <w:t>λαμβάνοντας υπόψη ότι αυτός ο κατακερματισμός των φορολογικών πολιτικών πρέπει να μετριαστεί με ενίσχυση του συντονισμού και της συνεργασίας και με σαφή δέσμευση των κρατών μελών για την άμεση και επαρκή μεταφορά σε εθνικό επίπεδο των οδηγιών που αφορούν τον τομέα της φορολογίας·</w:t>
      </w:r>
    </w:p>
    <w:p w:rsidR="00E82C4B" w:rsidRPr="007777FA" w:rsidRDefault="00E82C4B" w:rsidP="007A4719">
      <w:pPr>
        <w:widowControl/>
        <w:spacing w:after="240"/>
        <w:ind w:left="567" w:hanging="567"/>
      </w:pPr>
      <w:r w:rsidRPr="007777FA">
        <w:t>ΙΘ.</w:t>
      </w:r>
      <w:r w:rsidRPr="007777FA">
        <w:tab/>
        <w:t>λαμβάνοντας υπόψη ότι τα περισσότερα συστήματα φορολογίας των εταιρειών στην ΕΕ επιτρέπουν γενναιόδωρες φορολογικές εκπτώσεις επί των πληρωμών τόκων</w:t>
      </w:r>
      <w:r w:rsidRPr="007777FA">
        <w:rPr>
          <w:rStyle w:val="FootnoteReference"/>
        </w:rPr>
        <w:footnoteReference w:id="27"/>
      </w:r>
      <w:r w:rsidRPr="007777FA">
        <w:t>· λαμβάνοντας υπόψη ότι το κόστος της χρηματοδότησης μετοχικού κεφαλαίου, το οποίο περιλαμβάνει πληρωμές μερισμάτων, δεν μπορεί να αποτελέσει αντικείμενο παρόμοιων εκπτώσεων· λαμβάνοντας υπόψη ότι υπάρχει διαρθρωτικό μειονέκτημα, το οποίο αντιμετωπίζουν οι εταιρείες που βασίζονται σε χρηματοδότηση μέσω μετοχικού κεφαλαίου, ιδίως εάν πρόκειται για νέες και μικρές εταιρείες με περιορισμένη πρόσβαση σε πιστώσεις· λαμβάνοντας υπόψη ότι αυτή η ευνοϊκή μεταχείριση δημιουργεί προβληματικά κίνητρα που οδηγούν σε υπερχρέωση· λαμβάνοντας υπόψη ότι οι εκπτώσεις επί του μετοχικού κεφαλαίου των εταιρειών μπορούν να έχουν αντίκτυπο στα φορολογικά έσοδα των κρατών μελών και πρέπει να σχεδιάζονται προσεκτικά·</w:t>
      </w:r>
    </w:p>
    <w:p w:rsidR="00E82C4B" w:rsidRPr="007777FA" w:rsidRDefault="00E82C4B" w:rsidP="007A4719">
      <w:pPr>
        <w:widowControl/>
        <w:spacing w:after="240"/>
        <w:ind w:left="567" w:hanging="567"/>
      </w:pPr>
      <w:r w:rsidRPr="007777FA">
        <w:t>Κ.</w:t>
      </w:r>
      <w:r w:rsidRPr="007777FA">
        <w:tab/>
        <w:t>λαμβάνοντας υπόψη ότι οι ιδιωτικές εταιρείες, συμπεριλαμβανομένων των ΜΜΕ, διαδραματίζουν θεμελιώδη ρόλο στην κοινωνία, καθώς αποτελούν τους βασικούς παράγοντες δημιουργίας θέσεων εργασίας· λαμβάνοντας υπόψη ότι μέσω της επιχειρηματικής τους δραστηριότητας, οι οργανισμοί αυτοί δημιουργούν ευκαιρίες απασχόλησης για εκατομμύρια ανθρώπους, γεγονός που με τη σειρά του αποτελεί κινητήρια δύναμη για την οικονομική και κοινωνική ανάπτυξη των κοινοτήτων στις οποίες δραστηριοποιούνται· λαμβάνοντας υπόψη ότι μέσω της ενίσχυσης του ανταγωνισμού και της καινοτομίας, οι ιδιωτικές επιχειρήσεις προωθούν την αποτελεσματικότητα στην κατανομή των πόρων, με αποτέλεσμα την αύξηση της παραγωγικότητας και την οικονομική ανάπτυξη· λαμβάνοντας υπόψη ότι η δραστηριότητα των ιδιωτικών επιχειρήσεων αποφέρει επίσης φορολογικά έσοδα για το κράτος, τα οποία μπορούν να χρησιμοποιούνται για τη χρηματοδότηση βασικών δημόσιων υπηρεσιών· λαμβάνοντας υπόψη ότι οι ιδιωτικές επιχειρήσεις, ως οι βασικοί παράγοντες δημιουργίας θέσεων εργασίας, διαδραματίζουν ουσιαστικό ρόλο στην οικονομική και κοινωνική ανάπτυξη των κοινωνιών, ευνοώντας την πρόοδο και βελτιώνοντας την ποιότητα ζωής των ανθρώπων·</w:t>
      </w:r>
    </w:p>
    <w:p w:rsidR="00E82C4B" w:rsidRPr="007777FA" w:rsidRDefault="00E82C4B" w:rsidP="007A4719">
      <w:pPr>
        <w:pStyle w:val="NormalHanging12a"/>
        <w:widowControl/>
      </w:pPr>
      <w:r w:rsidRPr="007777FA">
        <w:t>ΚΑ.</w:t>
      </w:r>
      <w:r w:rsidRPr="007777FA">
        <w:tab/>
        <w:t>λαμβάνοντας υπόψη ότι η Επιτροπή εξέδωσε πρόταση για ενιαία δέσμη φορολογικών κανόνων όσον αφορά την άσκηση επιχειρηματικής δραστηριότητας στην Ευρώπη με τίτλο «Επιχειρήσεις στην Ευρώπη: πλαίσιο για τη φορολογία εισοδήματος (BEFIT)»·</w:t>
      </w:r>
    </w:p>
    <w:p w:rsidR="00E82C4B" w:rsidRPr="007777FA" w:rsidRDefault="00E82C4B" w:rsidP="007A4719">
      <w:pPr>
        <w:pStyle w:val="NormalHanging12a"/>
        <w:widowControl/>
      </w:pPr>
      <w:r w:rsidRPr="007777FA">
        <w:t>ΚΒ.</w:t>
      </w:r>
      <w:r w:rsidRPr="007777FA">
        <w:tab/>
        <w:t>λαμβάνοντας υπόψη ότι η νομοθετική ώθηση της Επιτροπής στον τομέα της φορολογίας θα πρέπει να επιδιώκει σαφείς προτεραιότητες που θα συνδέονται με την καταπολέμηση της φορολογικής απάτης και της φοροαποφυγής, την προώθηση της απλούστευσης των διοικητικών διαδικασιών, τη μείωση της γραφειοκρατίας και τον μετριασμό του κόστους συμμόρφωσης, ιδίως όσον αφορά τις ΜΜΕ·</w:t>
      </w:r>
    </w:p>
    <w:p w:rsidR="00E82C4B" w:rsidRPr="007777FA" w:rsidRDefault="007777FA" w:rsidP="007777FA">
      <w:pPr>
        <w:pStyle w:val="NormalHanging12a"/>
        <w:widowControl/>
        <w:ind w:left="570" w:hanging="570"/>
        <w:rPr>
          <w:b/>
          <w:i/>
        </w:rPr>
      </w:pPr>
      <w:r w:rsidRPr="007777FA">
        <w:t>1.</w:t>
      </w:r>
      <w:r w:rsidRPr="007777FA">
        <w:tab/>
      </w:r>
      <w:r w:rsidR="00E82C4B" w:rsidRPr="007777FA">
        <w:t>υπενθυμίζει ότι, μολονότι η φορολογική πολιτική παραμένει αρμοδιότητα των κρατών μελών, η ενιαία αγορά απαιτεί ένα ορισμένο επίπεδο φορολογικής συνεργασίας και εναρμόνισης προκειμένου να συμπληρωθεί, να βελτιωθεί και να αναπτυχθεί περαιτέρω· σημειώνει, επιπλέον, ότι μια κοινή προσέγγιση όσον αφορά τις φορολογικές πολιτικές είναι ζωτικής σημασίας για την αντιμετώπιση του επιζήμιου φορολογικού ανταγωνισμού και της μετατόπισης των κερδών, καθώς και για την καταπολέμηση της φοροαποφυγής και της φοροδιαφυγής· επισημαίνει ότι η εν λόγω συνεργασία απαιτεί αμοιβαία εμπιστοσύνη και καλή πίστη εκ μέρους όλων των κρατών μελών·</w:t>
      </w:r>
    </w:p>
    <w:p w:rsidR="00E82C4B" w:rsidRPr="007777FA" w:rsidRDefault="007777FA" w:rsidP="007777FA">
      <w:pPr>
        <w:pStyle w:val="NormalHanging12a"/>
        <w:widowControl/>
        <w:ind w:left="570" w:hanging="570"/>
      </w:pPr>
      <w:r w:rsidRPr="007777FA">
        <w:t>2.</w:t>
      </w:r>
      <w:r w:rsidRPr="007777FA">
        <w:tab/>
      </w:r>
      <w:r w:rsidR="00E82C4B" w:rsidRPr="007777FA">
        <w:t>καλεί την Επιτροπή και το Συμβούλιο να βοηθήσουν τις εταιρείες να βελτιώσουν το επενδυτικό κλίμα και να καταστήσουν την τήρηση των κανόνων φορολογίας των εταιρειών απλούστερη, περισσότερο βιώσιμη και προσανατολισμένη στη βελτίωση της ανταγωνιστικότητας της Ευρώπης·</w:t>
      </w:r>
    </w:p>
    <w:p w:rsidR="00E82C4B" w:rsidRPr="007777FA" w:rsidRDefault="007777FA" w:rsidP="007777FA">
      <w:pPr>
        <w:pStyle w:val="NormalHanging12a"/>
        <w:widowControl/>
        <w:ind w:left="570" w:hanging="570"/>
      </w:pPr>
      <w:r w:rsidRPr="007777FA">
        <w:t>3.</w:t>
      </w:r>
      <w:r w:rsidRPr="007777FA">
        <w:tab/>
      </w:r>
      <w:r w:rsidR="00E82C4B" w:rsidRPr="007777FA">
        <w:t>υπογραμμίζει ότι τα κράτη μέλη της ΕΕ φέρουν εξ ολοκλήρου την ευθύνη για την ορθή είσπραξη των φόρων και έχουν δικαίωμα να αποφασίζουν σχετικά με τα φορολογικά τους συστήματα, με παράλληλο σεβασμό της ενιαίας αγοράς και των φορολογικών δικαιωμάτων των άλλων κρατών μελών· επισημαίνει ότι η εύρυθμη λειτουργία των φορολογικών συστημάτων και των εθνικών φορολογικών διοικήσεων διαδραματίζουν κομβικό ρόλο στην είσπραξη των φόρων και ότι τα βιώσιμα φορολογικά έσοδα στους δημόσιους προϋπολογισμούς των κρατών μελών είναι σημαντικά·</w:t>
      </w:r>
    </w:p>
    <w:p w:rsidR="00E82C4B" w:rsidRPr="007777FA" w:rsidRDefault="007777FA" w:rsidP="007777FA">
      <w:pPr>
        <w:pStyle w:val="NormalHanging12a"/>
        <w:widowControl/>
        <w:ind w:left="570" w:hanging="570"/>
      </w:pPr>
      <w:r w:rsidRPr="007777FA">
        <w:t>4.</w:t>
      </w:r>
      <w:r w:rsidRPr="007777FA">
        <w:tab/>
      </w:r>
      <w:r w:rsidR="00E82C4B" w:rsidRPr="007777FA">
        <w:t>σημειώνει τη δέσμη μέτρων που υπέβαλε η Επιτροπή σχετικά με τη φορολογική απλούστευση για τις ΜΜΕ και το BEFIT· σημειώνει τα συμπεράσματα του Ευρωπαϊκού Συμβουλίου, της 23ης Μαρτίου 2023, στα οποία ζητείται η απλούστευση του γενικού ρυθμιστικού περιβάλλοντος και η μείωση του διοικητικού φόρτου, και την ανακοίνωση της Επιτροπής, της 16ης Μαρτίου 2023, στην οποία υπογραμμίζεται ότι το φορολογικό πλαίσιο της ΕΕ συμβάλλει καθοριστικά στη στήριξη της ανάπτυξης και των ιδιωτικών επενδύσεων, ιδίως με την άρση των φορολογικών φραγμών στις διασυνοριακές επενδύσεις, καθώς και ότι ο ρόλος της ΕΕ στις φορολογικές πολιτικές επιδιώκει την αντιμετώπιση των στρεβλώσεων, τη διασφάλιση της εύρυθμης λειτουργίας της ενιαίας αγοράς και την παρεμπόδιση του κατακερματισμού της· τονίζει την ανάγκη να υιοθετηθούν λύσεις σε επίπεδο ΕΕ οι οποίες θα είναι καλά σχεδιασμένες, θα λαμβάνουν υπόψη τα υφιστάμενα συστήματα στα κράτη μέλη και δεν θα επιβάλλουν πρόσθετες, δυσανάλογες και περιττές επιβαρύνσεις στις επιχειρήσεις, ιδίως στις ΜΜΕ·</w:t>
      </w:r>
    </w:p>
    <w:p w:rsidR="00E82C4B" w:rsidRPr="007777FA" w:rsidRDefault="007777FA" w:rsidP="007777FA">
      <w:pPr>
        <w:widowControl/>
        <w:spacing w:after="240"/>
        <w:ind w:left="570" w:hanging="570"/>
        <w:rPr>
          <w:b/>
          <w:i/>
        </w:rPr>
      </w:pPr>
      <w:r w:rsidRPr="007777FA">
        <w:t>5.</w:t>
      </w:r>
      <w:r w:rsidRPr="007777FA">
        <w:tab/>
      </w:r>
      <w:r w:rsidR="00E82C4B" w:rsidRPr="007777FA">
        <w:t>υπογραμμίζει ότι είναι εξαιρετικά σημαντικό να καταπολεμηθεί ο επιθετικός φορολογικός σχεδιασμός</w:t>
      </w:r>
      <w:r w:rsidR="00E82C4B" w:rsidRPr="007777FA">
        <w:rPr>
          <w:rStyle w:val="FootnoteReference"/>
        </w:rPr>
        <w:footnoteReference w:id="28"/>
      </w:r>
      <w:r w:rsidR="00E82C4B" w:rsidRPr="007777FA">
        <w:t xml:space="preserve"> και η φοροδιαφυγή, με παράλληλη προώθηση της φορολογικής δικαιοσύνης, της διαφάνειας και της βεβαιότητας· επισημαίνει ότι η αντιμετώπιση της φοροδιαφυγής, της φοροαποφυγής και του επιθετικού φορολογικού σχεδιασμού θα παράσχει επιπλέον φορολογικά έσοδα που θα βοηθήσουν τις εθνικές κυβερνήσεις στη διατήρηση των φόρων σε επίπεδα, τα οποία θα στηρίζουν τη βιώσιμη οικονομική ανάπτυξη και τη δημοσιονομική ελκυστικότητα και ανταγωνιστικότητα της ΕΕ·</w:t>
      </w:r>
      <w:r w:rsidR="00E82C4B" w:rsidRPr="007777FA">
        <w:rPr>
          <w:b/>
          <w:i/>
        </w:rPr>
        <w:t xml:space="preserve"> </w:t>
      </w:r>
    </w:p>
    <w:p w:rsidR="00E82C4B" w:rsidRPr="007777FA" w:rsidRDefault="007777FA" w:rsidP="007777FA">
      <w:pPr>
        <w:pStyle w:val="NormalHanging12a"/>
        <w:widowControl/>
        <w:ind w:left="570" w:hanging="570"/>
      </w:pPr>
      <w:r w:rsidRPr="007777FA">
        <w:t>6.</w:t>
      </w:r>
      <w:r w:rsidRPr="007777FA">
        <w:tab/>
      </w:r>
      <w:r w:rsidR="00E82C4B" w:rsidRPr="007777FA">
        <w:t>καλεί την Επιτροπή να υπενθυμίζει στα κράτη μέλη να εφαρμόζουν τις συστάσεις στο πλαίσιο του Ευρωπαϊκού Εξαμήνου και να αξιολογούν τα εθνικά σχέδια ανάκαμψης και ανθεκτικότητας όσον αφορά τον επιθετικό φορολογικό σχεδιασμό·</w:t>
      </w:r>
    </w:p>
    <w:p w:rsidR="00E82C4B" w:rsidRPr="007777FA" w:rsidRDefault="007777FA" w:rsidP="007777FA">
      <w:pPr>
        <w:pStyle w:val="NormalHanging12a"/>
        <w:widowControl/>
        <w:ind w:left="570" w:hanging="570"/>
      </w:pPr>
      <w:r w:rsidRPr="007777FA">
        <w:t>7.</w:t>
      </w:r>
      <w:r w:rsidRPr="007777FA">
        <w:tab/>
      </w:r>
      <w:r w:rsidR="00E82C4B" w:rsidRPr="007777FA">
        <w:t>αναγνωρίζει τις προηγούμενες δράσεις της ΕΕ κατά της φοροδιαφυγής και του επιθετικού φορολογικού σχεδιασμού σύμφωνα με τις διεθνείς εξελίξεις στο επίπεδο των ΟΟΣΑ/G20· σημειώνει τις πολυάριθμες φορολογικές οδηγίες από το 2011 που έχουν οδηγήσει σε δικαιότερη, απλούστερη και αποτελεσματικότερη φορολόγηση των εταιρειών στην ΕΕ, καθώς και σε μεγαλύτερο αριθμό υποχρεώσεων φορολογικής συμμόρφωσης για τις εταιρείες εντός της ΕΕ</w:t>
      </w:r>
      <w:r w:rsidR="00E82C4B" w:rsidRPr="007777FA">
        <w:rPr>
          <w:rStyle w:val="FootnoteReference"/>
        </w:rPr>
        <w:footnoteReference w:id="29"/>
      </w:r>
      <w:r w:rsidR="00E82C4B" w:rsidRPr="007777FA">
        <w:t>· σημειώνει ότι τα οφέλη των εν λόγω οδηγιών θα πρέπει να υπερβαίνουν το κόστος τους, και ότι οι υποχρεώσεις φορολογικής συμμόρφωσης για τις εταιρείες εντός της ΕΕ, ιδίως τις ΜΜΕ, και οι σχετικές δαπάνες δεν θα πρέπει να είναι δυσανάλογες· ωστόσο, σημειώνει επίσης ότι δεν προχώρησαν οδηγίες στο Συμβούλιο, όπως ο φόρος επί των χρηματοπιστωτικών συναλλαγών, ή οι προτάσεις για την ΚΒΦΕ και την ΚΕΒΦΕ· επισημαίνει, στο πλαίσιο αυτό, ότι το Κοινοβούλιο ενέκρινε κοινή θέση σχετικά με την οδηγία για κοινή ενοποιημένη βάση φορολογίας εταιρειών το 2018</w:t>
      </w:r>
      <w:r w:rsidR="00E82C4B" w:rsidRPr="007777FA">
        <w:rPr>
          <w:rStyle w:val="FootnoteReference"/>
        </w:rPr>
        <w:footnoteReference w:id="30"/>
      </w:r>
      <w:r w:rsidR="00E82C4B" w:rsidRPr="007777FA">
        <w:t>·</w:t>
      </w:r>
    </w:p>
    <w:p w:rsidR="00E82C4B" w:rsidRPr="007777FA" w:rsidRDefault="007777FA" w:rsidP="007777FA">
      <w:pPr>
        <w:pStyle w:val="NormalHanging12a"/>
        <w:widowControl/>
        <w:ind w:left="570" w:hanging="570"/>
      </w:pPr>
      <w:r w:rsidRPr="007777FA">
        <w:t>8.</w:t>
      </w:r>
      <w:r w:rsidRPr="007777FA">
        <w:tab/>
      </w:r>
      <w:r w:rsidR="00E82C4B" w:rsidRPr="007777FA">
        <w:t>εκφράζει τη λύπη του για το γεγονός ότι, σε ορισμένες περιπτώσεις, τα κράτη μέλη έχουν μεταφέρει και έχουν εφαρμόσει τις φορολογικές οδηγίες με αποκλίνοντα τρόπο, κάτι που ενδέχεται να υπονομεύσει την εύρυθμη λειτουργία της ενιαίας αγοράς και να οδηγήσει σε αναντιστοιχία των φορολογικών βάσεων, σε μεγαλύτερη γραφειοκρατία και υψηλότερο κόστος συμμόρφωσης· καλεί τα κράτη μέλη να διασφαλίσουν την πλήρη μεταφορά των φορολογικών οδηγιών στο εθνικό δίκαιο και να εκπληρώσουν τους στόχους που θέτει η οδηγία· εκφράζει, στο πλαίσιο αυτό, τη λύπη του για το γεγονός ότι τα εθνικά φορολογικά συστήματα, οι φορολογικές διοικήσεις και, γενικά, οι διαφορές στην ευρύτερη δημόσια διοίκηση των χωρών έχουν αντίκτυπο στον φόρτο συμμόρφωσης, ιδίως για τις ΜΜΕ, καθώς πρέπει να αντιμετωπίσουν έως και 27 διαφορετικά συστήματα φορολογίας, όπως παρατήρησε η Επιτροπή τον Ιανουάριο του 2022· καλεί την Επιτροπή να διατυπώσει συνεκτικές, δίκαιες και σαφείς συστάσεις σχετικά με την μεταφορά των οδηγιών στο δίκαιο του εκάστοτε κράτους μέλους, καθώς και σχετικά με την αποτελεσματική επιβολή τους· καλεί τα κράτη μέλη και την Ευρωπαϊκή Επιτροπή να αξιοποιήσουν πλήρως τα υπάρχοντα φόρουμ της ΕΕ προκειμένου να διασφαλίσουν τη συνεκτική εφαρμογή της φορολογικής νομοθεσίας της ΕΕ στα κράτη μέλη·</w:t>
      </w:r>
    </w:p>
    <w:p w:rsidR="00E82C4B" w:rsidRPr="007777FA" w:rsidRDefault="007777FA" w:rsidP="007777FA">
      <w:pPr>
        <w:pStyle w:val="NormalHanging12a"/>
        <w:widowControl/>
        <w:ind w:left="570" w:hanging="570"/>
      </w:pPr>
      <w:r w:rsidRPr="007777FA">
        <w:t>9.</w:t>
      </w:r>
      <w:r w:rsidRPr="007777FA">
        <w:tab/>
      </w:r>
      <w:r w:rsidR="00E82C4B" w:rsidRPr="007777FA">
        <w:t>επισημαίνει ότι το φορολογικό περιβάλλον, ιδίως όσον αφορά τη φορολογία των εταιρειών, επηρεάζει τις επενδυτικές αποφάσεις και, ως εκ τούτου, αποτελεί έναν από τους παράγοντες που επηρεάζουν τη δημιουργία θέσεων εργασίας, τη βιώσιμη οικονομική ανάπτυξη και την ανταγωνιστικότητα·</w:t>
      </w:r>
    </w:p>
    <w:p w:rsidR="00E82C4B" w:rsidRPr="007777FA" w:rsidRDefault="00E82C4B" w:rsidP="007A4719">
      <w:pPr>
        <w:pStyle w:val="NormalHanging12a"/>
        <w:widowControl/>
        <w:ind w:left="0" w:firstLine="0"/>
        <w:rPr>
          <w:b/>
          <w:i/>
        </w:rPr>
      </w:pPr>
      <w:r w:rsidRPr="007777FA">
        <w:rPr>
          <w:b/>
          <w:i/>
        </w:rPr>
        <w:t>Μείωση της επιβάρυνσης που συνεπάγεται η συμμόρφωση για τις εταιρείες της ΕΕ, ιδίως τις ΜΜΕ</w:t>
      </w:r>
    </w:p>
    <w:p w:rsidR="00E82C4B" w:rsidRPr="007777FA" w:rsidRDefault="007777FA" w:rsidP="007777FA">
      <w:pPr>
        <w:pStyle w:val="NormalHanging12a"/>
        <w:widowControl/>
        <w:ind w:left="570" w:hanging="570"/>
      </w:pPr>
      <w:r w:rsidRPr="007777FA">
        <w:t>10.</w:t>
      </w:r>
      <w:r w:rsidRPr="007777FA">
        <w:tab/>
      </w:r>
      <w:r w:rsidR="00E82C4B" w:rsidRPr="007777FA">
        <w:t>σημειώνει ότι, σύμφωνα με την Επιτροπή, το εκτιμώμενο κόστος της φορολογικής συμμόρφωσης για τις μεγάλες πολυεθνικές επιχειρήσεις ανέρχεται περίπου στο 2 % των καταβληθέντων φόρων, ενώ για τις ΜΜΕ ανέρχεται κατ' εκτίμηση στο 30% περίπου των καταβληθέντων φόρων· εκφράζει τη λύπη του για το γεγονός ότι ορισμένα κράτη μέλη έχουν αναπτύξει φορολογικά συστήματα που επιτρέπουν τις ανισότητες μεταξύ των πολυεθνικών επιχειρήσεων και των ΜΜΕ, γεγονός συνιστά ανταγωνιστικό μειονέκτημα για τις ΜΜΕ· υπενθυμίζει ότι οι ΜΜΕ είναι οι κύριοι παράγοντες ενίσχυσης της οικονομικής ανάπτυξης και της δημιουργίας θέσεων εργασίας· καλεί την Ευρωπαϊκή Επιτροπή να σχεδιάσει τις φορολογικές πολιτικές κατά τρόπο που να διευκολύνει την εφαρμογή τους για τις μικρότερες εταιρείες, μειώνοντας το κόστος που επωμίζονται και περιορίζοντας τις διοικητικές υποχρεώσεις τους βάσει της φορολογικής νομοθεσίας·</w:t>
      </w:r>
    </w:p>
    <w:p w:rsidR="00E82C4B" w:rsidRPr="007777FA" w:rsidRDefault="007777FA" w:rsidP="007777FA">
      <w:pPr>
        <w:pStyle w:val="NormalHanging12a"/>
        <w:widowControl/>
        <w:ind w:left="570" w:hanging="570"/>
      </w:pPr>
      <w:r w:rsidRPr="007777FA">
        <w:t>11.</w:t>
      </w:r>
      <w:r w:rsidRPr="007777FA">
        <w:tab/>
      </w:r>
      <w:r w:rsidR="00E82C4B" w:rsidRPr="007777FA">
        <w:t xml:space="preserve">καλεί την Επιτροπή να διεξαγάγει πανευρωπαϊκή μελέτη σχετικά με τα επίπεδα του κόστους φορολογικής συμμόρφωσης ανά χώρα, καθώς και συνολική αξιολόγηση του σεναρίου που έχει προσδιοριστεί· επιπλέον, καλεί την Επιτροπή να δώσει συνέχεια σε αυτήν την αξιολόγηση μέσω μιας πρωτοβουλίας για την αντιμετώπιση του υψηλού κόστους συμμόρφωσης και για την ενίσχυση της συνεργασίας με στόχο τη μείωση της διοικητικής επιβάρυνσης· </w:t>
      </w:r>
    </w:p>
    <w:p w:rsidR="00E82C4B" w:rsidRPr="007777FA" w:rsidRDefault="007777FA" w:rsidP="007777FA">
      <w:pPr>
        <w:pStyle w:val="NormalHanging12a"/>
        <w:widowControl/>
        <w:ind w:left="570" w:hanging="570"/>
      </w:pPr>
      <w:r w:rsidRPr="007777FA">
        <w:t>12.</w:t>
      </w:r>
      <w:r w:rsidRPr="007777FA">
        <w:tab/>
      </w:r>
      <w:r w:rsidR="00E82C4B" w:rsidRPr="007777FA">
        <w:t>παρατηρεί ότι, στην ενιαία αγορά, οι διασυνοριακές δραστηριότητες για τους εργαζομένους και τους αυτοαπασχολούμενους παραμένουν διοικητικά πολύπλοκες από φορολογική άποψη και από άποψη κοινωνικής ασφάλισης· παρατηρεί ακόμη ότι η αυξημένη διάδοση της τηλεργασίας έχει επιδεινώσει το ζήτημα αυτό·</w:t>
      </w:r>
    </w:p>
    <w:p w:rsidR="00E82C4B" w:rsidRPr="007777FA" w:rsidRDefault="007777FA" w:rsidP="007777FA">
      <w:pPr>
        <w:pStyle w:val="NormalHanging12a"/>
        <w:widowControl/>
        <w:ind w:left="570" w:hanging="570"/>
      </w:pPr>
      <w:r w:rsidRPr="007777FA">
        <w:t>13.</w:t>
      </w:r>
      <w:r w:rsidRPr="007777FA">
        <w:tab/>
      </w:r>
      <w:r w:rsidR="00E82C4B" w:rsidRPr="007777FA">
        <w:t>καλεί την Επιτροπή να παρουσιάσει μια συνολική αξιολόγηση των προηγούμενων δράσεων που έχουν αναληφθεί από το 2011 σχετικά με τη φορολογία των εταιρειών και να δημοσιεύσει ενδελεχή εκτίμηση επιπτώσεων σχετικά με τις βέλτιστες επιλογές, αποσκοπώντας στη μείωση της διοικητικής επιβάρυνσης για τις επιχειρήσεις, ιδίως τις ΜΜΕ, να χαρτογραφήσει όλες τις διαφορές όσον αφορά τη μεταφορά στο εθνικό δίκαιο της ΕΕ, να εντοπίσει τομείς που χρήζουν απλούστευσης και να διασφαλίσει ότι οι επιχειρήσεις που βρίσκονται ήδη υπό πίεση θα διαθέτουν εύλογο χρονικό διάστημα για την εφαρμογή των πολιτικών· επισημαίνει το αίτημα του Ευρωπαϊκού Συμβουλίου της 22ας Μαρτίου 2023 προς την Επιτροπή για διενέργεια ελέγχων ανταγωνιστικότητας σχετικά με τις νέες νομοθετικές προτάσεις, συμπεριλαμβανομένης της φορολογίας, και τονίζει ότι η υποβολή οποιασδήποτε νέας πρότασης, εάν χρειαστεί, θα πρέπει να συμβάλλει στην ομαλή λειτουργία, την ακεραιότητα και τους ίσους όρους ανταγωνισμού στην ενιαία αγορά και δεν θα επιφέρει δυσανάλογη επιβάρυνση για τις εταιρείες· καλεί την Επιτροπή να λάβει επίσης υπόψη, στις νέες νομοθετικές προτάσεις για τη φορολογία, τη συμβατότητα με τις λύσεις (συμπεριλαμβανομένων των ψηφιακών λύσεων) που έχουν ήδη θεσπιστεί σε επιμέρους κράτη μέλη ώστε να συμβάλλει στη μείωση της επιβάρυνσης των επιχειρήσεων·</w:t>
      </w:r>
    </w:p>
    <w:p w:rsidR="00E82C4B" w:rsidRPr="007777FA" w:rsidRDefault="007777FA" w:rsidP="007777FA">
      <w:pPr>
        <w:pStyle w:val="NormalHanging12a"/>
        <w:widowControl/>
        <w:ind w:left="570" w:hanging="570"/>
      </w:pPr>
      <w:r w:rsidRPr="007777FA">
        <w:t>14.</w:t>
      </w:r>
      <w:r w:rsidRPr="007777FA">
        <w:tab/>
      </w:r>
      <w:r w:rsidR="00E82C4B" w:rsidRPr="007777FA">
        <w:t>σημειώνει το αποτέλεσμα της Διάσκεψης για το μέλλον της Ευρώπης, της 9ης Μαΐου 2022, και τις προτάσεις για την ενίσχυση της ανταγωνιστικότητας της ΕΕ και την περαιτέρω εμβάθυνση της ενιαίας αγοράς, με στόχο την επίτευξη ορισμένου επιπέδου εναρμόνισης και συντονισμού των φορολογικών πολιτικών εντός των κρατών μελών, προκειμένου να αποτραπεί η φοροδιαφυγή και η φοροαποφυγή, στηρίζοντας παράλληλα την οικονομική επιτυχία των εταιρειών· αναμένει την πρόταση που ανακοίνωσε η Πρόεδρος της Επιτροπής Ursula von der Leyen, στις 19 Οκτωβρίου 2022, για τη θέσπιση τυποποιημένου ελέγχου της ανταγωνιστικότητας στους κανονισμούς της ΕΕ· επισημαίνει ότι η διατήρηση της ανταγωνιστικότητας της οικονομίας της ΕΕ θα πρέπει να λαμβάνεται υπόψη κατά την εκπόνηση νέας φορολογικής νομοθεσίας· αναμένει ότι η ανταγωνιστικότητα θα πρέπει να σέβεται πλήρως τα υφιστάμενα εργασιακά και κοινωνικά πρότυπα της ΕΕ·</w:t>
      </w:r>
    </w:p>
    <w:p w:rsidR="007A4719" w:rsidRPr="007777FA" w:rsidRDefault="007777FA" w:rsidP="007777FA">
      <w:pPr>
        <w:pStyle w:val="NormalHanging12a"/>
        <w:widowControl/>
        <w:ind w:left="570" w:hanging="570"/>
      </w:pPr>
      <w:r w:rsidRPr="007777FA">
        <w:t>15.</w:t>
      </w:r>
      <w:r w:rsidRPr="007777FA">
        <w:tab/>
      </w:r>
      <w:r w:rsidR="00E82C4B" w:rsidRPr="007777FA">
        <w:t>εκφράζει την ικανοποίησή του για το σχέδιο REPowerEU και τις προτεραιότητές του και καλεί τα κράτη μέλη να εξετάσουν την ενσωμάτωση των φορολογικών μέτρων ώστε να επιταχύνουν την εκτέλεση των κονδυλίων, να επιτύχουν μεγαλύτερη ανταγωνιστικότητα και να βοηθήσουν τις ΜΜΕ, τις εταιρείες και τον βιομηχανικό κλάδο στην επίτευξη των στόχων του παρόντος προγράμματος στο πλαίσιο των δικών τους τροποποιημένων εθνικών σχεδίων ανάκαμψης και ανθεκτικότητας, όπως πρότεινε η Επιτροπή·</w:t>
      </w:r>
    </w:p>
    <w:p w:rsidR="00E82C4B" w:rsidRPr="007777FA" w:rsidRDefault="007777FA" w:rsidP="007777FA">
      <w:pPr>
        <w:pStyle w:val="NormalHanging12a"/>
        <w:widowControl/>
        <w:ind w:left="570" w:hanging="570"/>
      </w:pPr>
      <w:r w:rsidRPr="007777FA">
        <w:t>16.</w:t>
      </w:r>
      <w:r w:rsidRPr="007777FA">
        <w:tab/>
      </w:r>
      <w:r w:rsidR="00E82C4B" w:rsidRPr="007777FA">
        <w:t>σημειώνει την αναζωπύρωση της συζήτησης περί φορολογικών κινήτρων μετά την έγκριση των πρότυπων κανόνων του δεύτερου πυλώνα για τη διασφάλιση ενός ελάχιστου επιπέδου φορολογίας πραγματικού εταιρικού εισοδήματος της τάξης του 15 % και ως αντίδραση στον νόμο των ΗΠΑ για τη μείωση του πληθωρισμού· καλεί την Επιτροπή να αναλύσει τον πειραματισμό με τις πιστώσεις φόρου, ιδίως στο πλαίσιο του αναθεωρημένου πλαισίου της ΕΕ για τις κρατικές ενισχύσεις· σημειώνει, ωστόσο, ότι όλες οι αποφάσεις πρέπει να λαμβάνονται με συντονισμένο τρόπο, σύμφωνα με τη νομοθεσία περί ανταγωνισμού, για να διαφυλάσσεται η λειτουργία της ενιαίας αγοράς και να αποφεύγεται ο διεθνής ανταγωνισμός για επιδοτήσεις· τονίζει ότι τα φορολογικά κίνητρα θα πρέπει να αποσκοπούν στην προσέλκυση πραγματικών επενδύσεων, λαμβάνοντας υπόψη τις ανησυχίες σχετικά με τη γήρανση της κοινωνίας, τα αξιοπρεπή εργασιακά και κοινωνικά πρότυπα, καθώς και την πράσινη και την ψηφιακή μετάβαση·</w:t>
      </w:r>
    </w:p>
    <w:p w:rsidR="00E82C4B" w:rsidRPr="007777FA" w:rsidRDefault="007777FA" w:rsidP="007777FA">
      <w:pPr>
        <w:pStyle w:val="NormalHanging12a"/>
        <w:widowControl/>
        <w:ind w:left="570" w:hanging="570"/>
      </w:pPr>
      <w:r w:rsidRPr="007777FA">
        <w:t>17.</w:t>
      </w:r>
      <w:r w:rsidRPr="007777FA">
        <w:tab/>
      </w:r>
      <w:r w:rsidR="00E82C4B" w:rsidRPr="007777FA">
        <w:t>σημειώνει ότι τα κράτη μέλη μπορεί να εξετάσουν το ενδεχόμενο να εφαρμόσουν πολιτικές πλήρους κάλυψης των δαπανών για επενδύσεις κεφαλαίου και να προσδώσουν μόνιμο χαρακτήρα στις διατάξεις περί εκπτώσεων για αποσβέσεις, ώστε να βελτιωθούν οι πραγματικές επενδύσεις, ιδίως σε έρευνα και ανάπτυξη, και να επιτευχθούν οι κλιματικοί στόχοι, καθώς και να ενισχυθεί η ανταγωνιστικότητα της Ευρώπης· θεωρεί ότι η πλήρης κάλυψη των δαπανών για επενδύσεις κεφαλαίου απαιτεί συντονισμένη εφαρμογή, προσεκτικό σχεδιασμό και σημαντική διοικητική επιμέλεια για να προληφθεί η δημιουργία ενός μέσου αδικαιολόγητων φορολογικών επιδοτήσεων ή φορολογικών καταχρήσεων· θεωρεί, ως εκ τούτου, ότι αυτές οι πολιτικές θα πρέπει να συνδυάζονται με τακτική παρακολούθηση και αναλύσεις δευτερογενών επιπτώσεων·</w:t>
      </w:r>
    </w:p>
    <w:p w:rsidR="00E82C4B" w:rsidRPr="007777FA" w:rsidRDefault="007777FA" w:rsidP="007777FA">
      <w:pPr>
        <w:pStyle w:val="NormalHanging12a"/>
        <w:widowControl/>
        <w:ind w:left="570" w:hanging="570"/>
      </w:pPr>
      <w:r w:rsidRPr="007777FA">
        <w:t>18.</w:t>
      </w:r>
      <w:r w:rsidRPr="007777FA">
        <w:tab/>
      </w:r>
      <w:r w:rsidR="00E82C4B" w:rsidRPr="007777FA">
        <w:t>καλεί τα κράτη μέλη, υπό το πρίσμα των υψηλών ποσοστών πληθωρισμού, να ελαφρύνουν την επιβάρυνση των εταιρειών, ιδίως των ΜΜΕ, για παράδειγμα μέσω προσωρινών φορολογικών μέτρων για τον μετριασμό της αύξησης του ενεργειακού κόστους, και να χρησιμοποιήσουν τα πρόσθετα έσοδα, τα οποία βασίζονται στις υψηλότερες τιμές ενέργειας, για την παροχή άμεσης και στοχευμένης ελάφρυνσης προκειμένου να βοηθήσουν τους πλέον ευάλωτους πολίτες και τη μεσαία τάξη και να ελαφρύνουν την επιβάρυνση των πολιτών και των επιχειρήσεων, ιδίως των ΜΜΕ που έχουν πληγεί σοβαρά από την κρίση·</w:t>
      </w:r>
    </w:p>
    <w:p w:rsidR="00E82C4B" w:rsidRPr="007777FA" w:rsidRDefault="00E82C4B" w:rsidP="007A4719">
      <w:pPr>
        <w:pStyle w:val="NormalHanging12a"/>
        <w:widowControl/>
        <w:ind w:left="0" w:firstLine="0"/>
        <w:rPr>
          <w:b/>
          <w:i/>
        </w:rPr>
      </w:pPr>
      <w:r w:rsidRPr="007777FA">
        <w:rPr>
          <w:b/>
          <w:i/>
        </w:rPr>
        <w:t>Η συμφωνία για τον δεύτερο πυλώνα</w:t>
      </w:r>
    </w:p>
    <w:p w:rsidR="00E82C4B" w:rsidRPr="007777FA" w:rsidRDefault="007777FA" w:rsidP="007777FA">
      <w:pPr>
        <w:pStyle w:val="NormalHanging12a"/>
        <w:widowControl/>
        <w:ind w:left="570" w:hanging="570"/>
      </w:pPr>
      <w:r w:rsidRPr="007777FA">
        <w:t>19.</w:t>
      </w:r>
      <w:r w:rsidRPr="007777FA">
        <w:tab/>
      </w:r>
      <w:r w:rsidR="00E82C4B" w:rsidRPr="007777FA">
        <w:t>εκφράζει την ικανοποίησή του για το γεγονός ότι η λύση δύο πυλώνων συμφωνήθηκε στο πλαίσιο χωρίς αποκλεισμούς των ΟΟΣΑ/G20 σχετικά με την κατανομή των δικαιωμάτων φορολόγησης και την εφαρμογή ελάχιστου πραγματικού φορολογικού συντελεστή ύψους 15 % επί των παγκόσμιων κερδών των πολυεθνικών επιχειρήσεων και την έκδοση της οδηγίας για τον δεύτερο πυλώνα, η οποία μεταφέρει τη διεθνή συμφωνία στο ενωσιακό δίκαιο· καλεί την Επιτροπή να υποβάλει με τη σειρά της έκθεση στο Κοινοβούλιο για την επιτυχία της διαδικασίας επικύρωσης της συμφωνίας του δεύτερου πυλώνα στις χώρες εκτός ΕΕ·</w:t>
      </w:r>
    </w:p>
    <w:p w:rsidR="00E82C4B" w:rsidRPr="007777FA" w:rsidRDefault="007777FA" w:rsidP="007777FA">
      <w:pPr>
        <w:pStyle w:val="NormalHanging12a"/>
        <w:widowControl/>
        <w:ind w:left="570" w:hanging="570"/>
      </w:pPr>
      <w:r w:rsidRPr="007777FA">
        <w:t>20.</w:t>
      </w:r>
      <w:r w:rsidRPr="007777FA">
        <w:tab/>
      </w:r>
      <w:r w:rsidR="00E82C4B" w:rsidRPr="007777FA">
        <w:t>παρατηρεί ότι οι εταιρείες, εκτός από την αντιμετώπιση ενός ασταθούς επιχειρηματικού περιβάλλοντος και ενός αυξανόμενου αριθμού φορολογικών οδηγιών της ΕΕ, επικεντρώνουν τους οικονομικούς και ανθρώπινους πόρους τους στην εφαρμογή των κανόνων του δεύτερου πυλώνα και στην τήρηση των πρόσθετων κατευθυντήριων γραμμών του ΟΟΣΑ και των συμπληρωματικών ερμηνειών από μεμονωμένα κράτη μέλη· σημειώνει τη δέσμη μέτρων που υπέβαλε η Επιτροπή στις 12 Σεπτεμβρίου 2023 σχετικά με τη φορολογική απλούστευση για τις ΜΜΕ, το BEFIT και τη μεταβιβαστική τιμολόγηση· προσβλέπει στην έναρξη διαπραγματεύσεων σχετικά με τους διάφορους φακέλους και στην αξιολόγηση της αποτελεσματικότητας και του αντικτύπου των κανόνων του δεύτερου πυλώνα, ιδίως στο πλαίσιο των αναμενόμενων στόχων, της ανάλυσης κόστους-οφέλους, της καταπολέμησης της φοροδιαφυγής και της φοροαποφυγής, του επιζήμιου φορολογικού ανταγωνισμού και της αύξησης των φορολογικών εσόδων·</w:t>
      </w:r>
    </w:p>
    <w:p w:rsidR="00E82C4B" w:rsidRPr="007777FA" w:rsidRDefault="007777FA" w:rsidP="007777FA">
      <w:pPr>
        <w:pStyle w:val="NormalHanging12a"/>
        <w:widowControl/>
        <w:ind w:left="570" w:hanging="570"/>
      </w:pPr>
      <w:r w:rsidRPr="007777FA">
        <w:t>21.</w:t>
      </w:r>
      <w:r w:rsidRPr="007777FA">
        <w:tab/>
      </w:r>
      <w:r w:rsidR="00E82C4B" w:rsidRPr="007777FA">
        <w:t>παρατηρεί ότι οι κανόνες του πρώτου και του δεύτερου πυλώνα εφαρμόζονται μόνο για τις πολυεθνικές εταιρείες, των οποίων ο κύκλος εργασιών υπερβαίνει τα κατώτατα όρια και ανέρχεται, αντίστοιχα, στα 20 δισ. EUR</w:t>
      </w:r>
      <w:r w:rsidR="00E82C4B" w:rsidRPr="007777FA">
        <w:rPr>
          <w:b/>
        </w:rPr>
        <w:t xml:space="preserve"> </w:t>
      </w:r>
      <w:r w:rsidR="00E82C4B" w:rsidRPr="007777FA">
        <w:t>, και των οποίων η κερδοφορία είναι μεγαλύτερη από 10 % και ανέρχεται στα 750 δισ. EUR· σημειώνει ότι οι περισσότερες εταιρείες, ιδίως οι ΜΜΕ, εξαιρούνται εξ αυτού του λόγου από αυτή τη συμφωνία· σημειώνει τις προσπάθειες της Επιτροπής να οικοδομήσει το BEFIT με βάση τη διεθνή συμφωνία για τον δεύτερο πυλώνα και την οδηγία της ΕΕ για τον δεύτερο πυλώνα·</w:t>
      </w:r>
    </w:p>
    <w:p w:rsidR="00E82C4B" w:rsidRPr="007777FA" w:rsidRDefault="007777FA" w:rsidP="007777FA">
      <w:pPr>
        <w:pStyle w:val="NormalHanging12a"/>
        <w:widowControl/>
        <w:ind w:left="570" w:hanging="570"/>
      </w:pPr>
      <w:r w:rsidRPr="007777FA">
        <w:t>22.</w:t>
      </w:r>
      <w:r w:rsidRPr="007777FA">
        <w:tab/>
      </w:r>
      <w:r w:rsidR="00E82C4B" w:rsidRPr="007777FA">
        <w:t>κατανοεί ότι η συμφωνία των G20/ΟΟΣΑ για το πλαίσιο χωρίς αποκλεισμούς σχεδιάστηκε ως δέσμη μέτρων με στόχο να τεθούν σε ισχύ και οι δύο πυλώνες ταυτόχρονα· σημειώνει τη δήλωση αποτελεσμάτων, της 11ης Ιουλίου 2023, για το πλαίσιο χωρίς αποκλεισμούς των ΟΟΣΑ/G20 σχετικά με τη λύση δύο πυλώνων ώστε να αντιμετωπιστούν οι φορολογικές προκλήσεις που προκύπτουν από την ψηφιοποίηση της οικονομίας· εκφράζει τη λύπη του για τις διαφορές στα χρονοδιαγράμματα του πρώτου και του δεύτερου πυλώνα· λαμβάνει δεόντως υπόψη το διεθνές σενάριο για τη μεταφορά στο εθνικό δίκαιο των οδηγιών του πρώτου και του δεύτερου πυλώνα·</w:t>
      </w:r>
    </w:p>
    <w:p w:rsidR="00E82C4B" w:rsidRPr="007777FA" w:rsidRDefault="007777FA" w:rsidP="007777FA">
      <w:pPr>
        <w:pStyle w:val="NormalHanging12a"/>
        <w:widowControl/>
        <w:ind w:left="570" w:hanging="570"/>
      </w:pPr>
      <w:r w:rsidRPr="007777FA">
        <w:t>23.</w:t>
      </w:r>
      <w:r w:rsidRPr="007777FA">
        <w:tab/>
      </w:r>
      <w:r w:rsidR="00E82C4B" w:rsidRPr="007777FA">
        <w:t>σημειώνει την πρόσφατη μεταρρύθμιση της Ομάδας «Κώδικας δεοντολογίας» για τη διεύρυνση του πεδίου εφαρμογής της το 2022· καλεί την Επιτροπή, τα κράτη μέλη και την Ομάδα «Κώδικας δεοντολογίας» για τη φορολογία των επιχειρήσεων να υποβάλουν αξιολόγηση των προηγούμενων μεταρρυθμίσεων· υπενθυμίζει τη θέση του, της 7ης Οκτωβρίου 2021, να συμπεριληφθούν στην αξιολόγηση φορολογικά μέτρα που οδηγούν σε χαμηλά επίπεδα φορολογίας σύμφωνα με τον δεύτερο πυλώνα·</w:t>
      </w:r>
    </w:p>
    <w:p w:rsidR="00E82C4B" w:rsidRPr="007777FA" w:rsidRDefault="007777FA" w:rsidP="007777FA">
      <w:pPr>
        <w:pStyle w:val="NormalHanging12a"/>
        <w:widowControl/>
        <w:ind w:left="570" w:hanging="570"/>
      </w:pPr>
      <w:r w:rsidRPr="007777FA">
        <w:t>24.</w:t>
      </w:r>
      <w:r w:rsidRPr="007777FA">
        <w:tab/>
      </w:r>
      <w:r w:rsidR="00E82C4B" w:rsidRPr="007777FA">
        <w:t>σημειώνει το γεγονός ότι η Επιτροπή εξετάζει το ενδεχόμενο θέσπισης ενός νέου ιδίου πόρου με βάση το πλαίσιο BEFIT, όταν αυτό εγκριθεί, σύμφωνα με τη διοργανική συμφωνία της 16ης Δεκεμβρίου 2020, μεταξύ του Ευρωπαϊκού Κοινοβουλίου, του Συμβουλίου της Ευρωπαϊκής Ένωσης και της Ευρωπαϊκής Επιτροπής για τη δημοσιονομική πειθαρχία, τη συνεργασία σε δημοσιονομικά θέματα και τη χρηστή δημοσιονομική διαχείριση, καθώς και τους νέους ιδίους πόρους, συμπεριλαμβανομένου ενός οδικού χάρτη για τη θέσπιση νέων ιδίων πόρων (διοργανική συμφωνία)</w:t>
      </w:r>
      <w:r w:rsidR="00E82C4B" w:rsidRPr="007777FA">
        <w:footnoteReference w:id="31"/>
      </w:r>
      <w:r w:rsidR="00E82C4B" w:rsidRPr="007777FA">
        <w:t>· υπενθυμίζει ότι, εάν η υλοποίηση του πρώτου πυλώνα καθυστερήσει πέραν της τρέχουσας εντολής, η Επιτροπή έχει δεσμευτεί να υποβάλει πρόταση για ψηφιακή εισφορά· σημειώνει ότι η Επιτροπή επανέλαβε την αναγνώρισή της ότι το BEFIT είναι επίσης συναφές από την άποψη των ιδίων πόρων·</w:t>
      </w:r>
    </w:p>
    <w:p w:rsidR="00E82C4B" w:rsidRPr="007777FA" w:rsidRDefault="007777FA" w:rsidP="007777FA">
      <w:pPr>
        <w:pStyle w:val="NormalHanging12a"/>
        <w:widowControl/>
        <w:ind w:left="570" w:hanging="570"/>
      </w:pPr>
      <w:r w:rsidRPr="007777FA">
        <w:t>25.</w:t>
      </w:r>
      <w:r w:rsidRPr="007777FA">
        <w:tab/>
      </w:r>
      <w:r w:rsidR="00E82C4B" w:rsidRPr="007777FA">
        <w:t>υπενθυμίζει ότι το Κοινοβούλιο έχει ήδη και σε πολλές περιπτώσεις, μεταξύ άλλων στο πρόσφατα εκδοθέν ψήφισμα με τίτλο «Ίδιοι πόροι: μια καινούρια αρχή για τα οικονομικά της ΕΕ, μια καινούρια αρχή για την Ευρώπη»</w:t>
      </w:r>
      <w:r w:rsidR="00E82C4B" w:rsidRPr="007777FA">
        <w:footnoteReference w:id="32"/>
      </w:r>
      <w:r w:rsidR="00E82C4B" w:rsidRPr="007777FA">
        <w:t>, ταχθεί υπέρ των νέων ιδίων πόρων που σχετίζονται με τη φορολογία των εταιρειών, όπως η κοινή ενοποιημένη βάση φορολογίας εταιρειών (ΚΕΒΦΕ), ο φόρος ψηφιακών υπηρεσιών και, πιο πρόσφατα, ο ίδιος πόρος που βασίζεται στον «πρώτο πυλώνα» εντός του πλαισίου χωρίς αποκλεισμούς του ΟΟΣΑ για την BEPS· υπενθυμίζει, επίσης, την έκκλησή του για θέσπιση ενός φόρου επί των χρηματοπιστωτικών συναλλαγών (ΦΧΣ) σε επίπεδο ΕΕ και για αξιολόγηση, ως περαιτέρω επιλογές, ενός ειδικού φόρου κατανάλωσης για την επαναγορά μετοχών από εταιρείες, όπως προτείνεται στον νόμο των ΗΠΑ για τη μείωση του πληθωρισμού, και ενός κοινού και τυποποιημένου πλαισίου παρακράτησης φόρου στην πηγή·</w:t>
      </w:r>
    </w:p>
    <w:p w:rsidR="00E82C4B" w:rsidRPr="007777FA" w:rsidRDefault="007777FA" w:rsidP="007777FA">
      <w:pPr>
        <w:pStyle w:val="NormalHanging12a"/>
        <w:widowControl/>
        <w:ind w:left="570" w:hanging="570"/>
      </w:pPr>
      <w:r w:rsidRPr="007777FA">
        <w:t>26.</w:t>
      </w:r>
      <w:r w:rsidRPr="007777FA">
        <w:tab/>
      </w:r>
      <w:r w:rsidR="00E82C4B" w:rsidRPr="007777FA">
        <w:t>επισημαίνει ότι οι καλά σχεδιασμένοι νέοι ίδιοι πόροι που βασίζονται στη φορολογία των εταιρειών πρέπει να είναι πλήρως συμβατοί με τον στόχο ενός απλουστευμένου φορολογικού καθεστώτος και να μπορούν να προωθούν τη φορολογική δικαιοσύνη· καλεί την Επιτροπή να εντοπίσει συνέργειες μεταξύ του εκσυγχρονισμού των φορολογικών κανόνων και των δυνητικών ιδίων πόρων που βασίζονται στη φορολογία·</w:t>
      </w:r>
    </w:p>
    <w:p w:rsidR="00E82C4B" w:rsidRPr="007777FA" w:rsidRDefault="007777FA" w:rsidP="007777FA">
      <w:pPr>
        <w:pStyle w:val="NormalHanging12a"/>
        <w:widowControl/>
        <w:ind w:left="570" w:hanging="570"/>
      </w:pPr>
      <w:r w:rsidRPr="007777FA">
        <w:t>27.</w:t>
      </w:r>
      <w:r w:rsidRPr="007777FA">
        <w:tab/>
      </w:r>
      <w:r w:rsidR="00E82C4B" w:rsidRPr="007777FA">
        <w:t>σημειώνει την πρόταση της Επιτροπής για μεταβατικό ίδιο πόρο βάσει στατιστικών στοιχείων που θα συνδέεται με τον εταιρικό τομέα και θα μπορούσε να εφαρμοστεί έως την ενδεχόμενη θέσπιση ιδίου πόρου που θα συνδέεται με το BEFIT· θεωρεί ότι ένας τέτοιος ίδιος πόρος, σχεδιασμένος με συνεκτικό τρόπο, θα πρέπει να ωθήσει τα κράτη μέλη να επιταχύνουν τις διαπραγματεύσεις σχετικά με το BEFIT·</w:t>
      </w:r>
    </w:p>
    <w:p w:rsidR="00E82C4B" w:rsidRPr="007777FA" w:rsidRDefault="007777FA" w:rsidP="007777FA">
      <w:pPr>
        <w:pStyle w:val="NormalHanging12a"/>
        <w:widowControl/>
        <w:ind w:left="570" w:hanging="570"/>
      </w:pPr>
      <w:r w:rsidRPr="007777FA">
        <w:t>28.</w:t>
      </w:r>
      <w:r w:rsidRPr="007777FA">
        <w:tab/>
      </w:r>
      <w:r w:rsidR="00E82C4B" w:rsidRPr="007777FA">
        <w:t>επαναλαμβάνει την έκκλησή του προς τα κράτη μέλη να εγκρίνουν τους νέους ιδίους πόρους που προορίζονται να καλύψουν την αποπληρωμή του κόστους δανεισμού του NextGenerationEU (NGEU) και να χρηματοδοτήσουν επαρκώς τις πολιτικές και τις προτεραιότητές του το συντομότερο δυνατόν·</w:t>
      </w:r>
    </w:p>
    <w:p w:rsidR="00E82C4B" w:rsidRPr="007777FA" w:rsidRDefault="00E82C4B" w:rsidP="007A4719">
      <w:pPr>
        <w:pStyle w:val="NormalHanging12a"/>
        <w:widowControl/>
        <w:ind w:left="0" w:firstLine="0"/>
        <w:rPr>
          <w:b/>
          <w:i/>
        </w:rPr>
      </w:pPr>
      <w:r w:rsidRPr="007777FA">
        <w:rPr>
          <w:b/>
          <w:i/>
        </w:rPr>
        <w:t>Προς ένα πιο συντονισμένο και απλουστευμένο καθεστώς φορολογίας των εταιρειών (BEFIT)</w:t>
      </w:r>
    </w:p>
    <w:p w:rsidR="00E82C4B" w:rsidRPr="007777FA" w:rsidRDefault="007777FA" w:rsidP="007777FA">
      <w:pPr>
        <w:pStyle w:val="NormalHanging12a"/>
        <w:widowControl/>
        <w:ind w:left="570" w:hanging="570"/>
      </w:pPr>
      <w:r w:rsidRPr="007777FA">
        <w:t>29.</w:t>
      </w:r>
      <w:r w:rsidRPr="007777FA">
        <w:tab/>
      </w:r>
      <w:r w:rsidR="00E82C4B" w:rsidRPr="007777FA">
        <w:t xml:space="preserve">σημειώνει ότι το BEFIT και η δέσμη μέτρων αρωγής για τις ΜΜΕ όσον αφορά τη φορολογία έχουν συμπληρωματικό χαρακτήρα και αποσκοπούν αμφότερα στην ενίσχυση της απλούστευσης για τις επιχειρήσεις· καλεί την Επιτροπή να προτείνει μέτρα που θα βοηθήσουν όλα τα κράτη μέλη να υιοθετήσουν ένα πιο απλουστευμένο, αποτελεσματικό και ανταγωνιστικό φορολογικό σύστημα ώστε να μειωθεί ο διοικητικός φόρτος για τις επιχειρήσεις, ιδίως τις ΜΜΕ· αναγνωρίζει ότι η απλούστευση των διαδικασιών επιστροφής, των εκπτώσεων και των δικαστικών διαφορών αποτελούν άλλες λύσεις για τη μείωση του διοικητικού φόρτου, ιδίως για τις ΜΜΕ· σημειώνει, στο πλαίσιο αυτό, την πρόταση της Επιτροπής του Ιουνίου </w:t>
      </w:r>
      <w:r w:rsidR="004A477A" w:rsidRPr="007777FA">
        <w:t xml:space="preserve">του </w:t>
      </w:r>
      <w:r w:rsidR="00E82C4B" w:rsidRPr="007777FA">
        <w:t>2023 σχετικά με την ταχύτερη και ασφαλέστερη ελάφρυνση για τους φόρους που παρακρατήθηκαν καθ’ υπέρβαση των οφειλόμενων (FASTER), με στόχο την τόνωση των διασυνοριακών επενδύσεων και την πρόληψη της κατάχρησης της φορολογίας μέσω της μεταρρύθμισης των διαδικασιών παρακράτησης φόρου στην πηγή, και ζητεί την ταχεία έγκριση και εφαρμογή της·</w:t>
      </w:r>
    </w:p>
    <w:p w:rsidR="00E82C4B" w:rsidRPr="007777FA" w:rsidRDefault="007777FA" w:rsidP="007777FA">
      <w:pPr>
        <w:pStyle w:val="NormalHanging12a"/>
        <w:widowControl/>
        <w:ind w:left="570" w:hanging="570"/>
      </w:pPr>
      <w:r w:rsidRPr="007777FA">
        <w:t>30.</w:t>
      </w:r>
      <w:r w:rsidRPr="007777FA">
        <w:tab/>
      </w:r>
      <w:r w:rsidR="00E82C4B" w:rsidRPr="007777FA">
        <w:t>σημειώνει ότι από το 1997 ο κώδικας δεοντολογίας για τη φορολογία των επιχειρήσεων αποτελεί το βασικό μέσο της ΕΕ για την πρόληψη του επιζήμιου φορολογικού ανταγωνισμού μεταξύ των εταιρειών· υπογραμμίζει ότι στο πλαίσιο αυτό τα κράτη μέλη θα πρέπει να επανεξετάσουν, να τροποποιήσουν ή να καταργήσουν τα υφιστάμενα φορολογικά μέτρα τους που συνιστούν επιζήμιο φορολογικό ανταγωνισμό, καθώς επίσης και να απέχουν από τη θέσπιση νέων μέτρων στο μέλλον· επικροτεί εν προκειμένω τα συμπεράσματα του Συμβουλίου, της 8ης Νοεμβρίου 2022, σχετικά με τη μεταρρύθμιση του κώδικα δεοντολογίας για τη φορολογία των επιχειρήσεων, αναφορικά με το πεδίο εφαρμογής των φορολογικών μέτρων που τίθενται υπό έλεγχο κατά την εξέταση των επιζήμιων φορολογικών πρακτικών εντός της ΕΕ· καλεί την Ομάδα «Κώδικας δεοντολογίας» για τη φορολογία των επιχειρήσεων να αξιοποιήσει πλήρως την αναθεωρημένη εντολή της·</w:t>
      </w:r>
    </w:p>
    <w:p w:rsidR="00E82C4B" w:rsidRPr="007777FA" w:rsidRDefault="007777FA" w:rsidP="007777FA">
      <w:pPr>
        <w:pStyle w:val="NormalHanging12a"/>
        <w:widowControl/>
        <w:ind w:left="570" w:hanging="570"/>
      </w:pPr>
      <w:r w:rsidRPr="007777FA">
        <w:t>31.</w:t>
      </w:r>
      <w:r w:rsidRPr="007777FA">
        <w:tab/>
      </w:r>
      <w:r w:rsidR="00E82C4B" w:rsidRPr="007777FA">
        <w:t>καλεί το Συμβούλιο να συνεχίσει τις διαπραγματεύσεις σχετικά με την πρόταση UNSHELL χωρίς περαιτέρω καθυστέρηση· υπενθυμίζει την αρχική πρόθεση της Επιτροπής και τη θέση του Κοινοβουλίου της 17ης Ιανουαρίου 2023</w:t>
      </w:r>
      <w:r w:rsidR="00E82C4B" w:rsidRPr="007777FA">
        <w:footnoteReference w:id="33"/>
      </w:r>
      <w:r w:rsidR="00E82C4B" w:rsidRPr="007777FA">
        <w:t>·</w:t>
      </w:r>
    </w:p>
    <w:p w:rsidR="00E82C4B" w:rsidRPr="007777FA" w:rsidRDefault="007777FA" w:rsidP="007777FA">
      <w:pPr>
        <w:pStyle w:val="NormalHanging12a"/>
        <w:widowControl/>
        <w:ind w:left="570" w:hanging="570"/>
      </w:pPr>
      <w:r w:rsidRPr="007777FA">
        <w:t>32.</w:t>
      </w:r>
      <w:r w:rsidRPr="007777FA">
        <w:tab/>
      </w:r>
      <w:r w:rsidR="00E82C4B" w:rsidRPr="007777FA">
        <w:t>αναμένει τα προσδοκώμενα αποτελέσματα του BEFIT και HOT σχετικά με τον περιορισμό της πολυπλοκότητας του νομικού πλαισίου για τα συστήματα φορολογίας των εταιρειών, συμβάλλοντας με τον τρόπο αυτόν στην προσέλκυση άμεσων ξένων επενδύσεων, βελτιώνοντας την ανταγωνιστικότητα της ΕΕ και μειώνοντας έτσι τον κίνδυνο μετεγκατάστασης των εταιρειών σε τρίτες χώρες· σημειώνει την ανακοίνωση της Επιτροπής με τίτλο «Φορολογία των επιχειρήσεων για τον 21ο αιώνα», η οποία αναφέρει ότι «η έλλειψη κοινού συστήματος φορολογίας των εταιρειών στην ενιαία αγορά λειτουργεί ως τροχοπέδη στην ανταγωνιστικότητα ... και ότι δημιουργεί ανταγωνιστικό μειονέκτημα σε σύγκριση με τις αγορές τρίτων χωρών»· υπενθυμίζει ότι η ύπαρξη απλούστερου πλαισίου μειώνει επίσης τις πιθανότητες επιθετικού φορολογικού σχεδιασμού·</w:t>
      </w:r>
    </w:p>
    <w:p w:rsidR="00E82C4B" w:rsidRPr="007777FA" w:rsidRDefault="007777FA" w:rsidP="007777FA">
      <w:pPr>
        <w:pStyle w:val="NormalHanging12a"/>
        <w:widowControl/>
        <w:ind w:left="570" w:hanging="570"/>
      </w:pPr>
      <w:r w:rsidRPr="007777FA">
        <w:t>33.</w:t>
      </w:r>
      <w:r w:rsidRPr="007777FA">
        <w:tab/>
      </w:r>
      <w:r w:rsidR="00E82C4B" w:rsidRPr="007777FA">
        <w:t>σημειώνει την πρόταση BEFIT της Επιτροπής, με σκοπό τον σχεδιασμό ενός νέου και ενιαίου εγχειριδίου κανόνων της ΕΕ για τη φορολόγηση των εταιρειών και μιας κοινής φορολογικής βάσης για τη φορολογία εισοδήματος των επιχειρήσεων· καλεί, στο πλαίσιο αυτό, την Επιτροπή να διασφαλίσει ότι η νέα πρόταση θα παρέχει σαφήνεια και προβλεψιμότητα για τις εταιρείες, και θα διευκολύνει τη διασυνοριακή οικονομική δραστηριότητα· τονίζει ότι κάθε τέτοια πρόταση πρέπει να λαμβάνει υπόψη τις συμφωνίες που έχουν επιτευχθεί ή τις εν εξελίξει συζητήσεις σε παγκόσμιο επίπεδο για την προστασία των συμφερόντων της ΕΕ· επαναλαμβάνει ότι οι συμφωνίες για τα πλαίσια φορολόγησης των εταιρειών είναι αποτελεσματικότερες όταν επιτυγχάνονται σε παγκόσμιο επίπεδο·</w:t>
      </w:r>
    </w:p>
    <w:p w:rsidR="00E82C4B" w:rsidRPr="007777FA" w:rsidRDefault="007777FA" w:rsidP="007777FA">
      <w:pPr>
        <w:pStyle w:val="NormalHanging12a"/>
        <w:widowControl/>
        <w:ind w:left="570" w:hanging="570"/>
      </w:pPr>
      <w:r w:rsidRPr="007777FA">
        <w:t>34.</w:t>
      </w:r>
      <w:r w:rsidRPr="007777FA">
        <w:tab/>
      </w:r>
      <w:r w:rsidR="00E82C4B" w:rsidRPr="007777FA">
        <w:t>αντιλαμβάνεται ότι η πρωτοβουλία BEFIT αποτελεί ευκαιρία για την αντιμετώπιση του κόστους που συνδέεται με τη φορολογική συμμόρφωση και για τη μείωση του διοικητικού φόρτου, συμβάλλοντας παράλληλα στην ελαχιστοποίηση του επιθετικού φορολογικού σχεδιασμού και στην προώθηση ισότιμων όρων ανταγωνισμού για τις ΜΜΕ· θεωρεί ότι η αποκατάσταση των κενών που καθιστούν δυνατή τη φοροδιαφυγή, τη φοροαποφυγή και τις φορολογικές απάτες θα πρέπει να επιτευχθεί στο πλαίσιο των νομοθετικών πρωτοβουλιών στον τομέα της φορολογίας· σημειώνει ότι απαιτούνται συνεχείς εργασίες στο πλαίσιο φορολόγησης των εταιρειών για την πραγματοποίηση των σχετικών προσαρμογών·</w:t>
      </w:r>
    </w:p>
    <w:p w:rsidR="00E82C4B" w:rsidRPr="007777FA" w:rsidRDefault="007777FA" w:rsidP="007777FA">
      <w:pPr>
        <w:pStyle w:val="NormalHanging12a"/>
        <w:widowControl/>
        <w:ind w:left="570" w:hanging="570"/>
      </w:pPr>
      <w:r w:rsidRPr="007777FA">
        <w:t>35.</w:t>
      </w:r>
      <w:r w:rsidRPr="007777FA">
        <w:tab/>
      </w:r>
      <w:r w:rsidR="00E82C4B" w:rsidRPr="007777FA">
        <w:t>υπενθυμίζει την άποψή του ότι η πρωτοβουλία BEFIT θα πρέπει να υποστηρίζεται από την πολιτική διαδικασία για την οικοδόμηση πολιτικής στήριξης της αλλαγής· σημειώνει την αναθεωρημένη έκθεση εκτίμησης επιπτώσεων που αποσαφηνίζει τα διδάγματα που αντλήθηκαν από προηγούμενες πρωτοβουλίες για τη φορολογία των εταιρειών και προσθέτει τους δεσμούς με την προσέγγιση δύο πυλώνων του ΟΟΣΑ·</w:t>
      </w:r>
    </w:p>
    <w:p w:rsidR="00E82C4B" w:rsidRPr="007777FA" w:rsidRDefault="007777FA" w:rsidP="007777FA">
      <w:pPr>
        <w:pStyle w:val="NormalHanging12a"/>
        <w:widowControl/>
        <w:ind w:left="570" w:hanging="570"/>
      </w:pPr>
      <w:r w:rsidRPr="007777FA">
        <w:t>36.</w:t>
      </w:r>
      <w:r w:rsidRPr="007777FA">
        <w:tab/>
      </w:r>
      <w:r w:rsidR="00E82C4B" w:rsidRPr="007777FA">
        <w:t>επικροτεί τους επιδιωκόμενους στόχους του BEFIT, όπως εκτίθενται στην πρόσκληση της Επιτροπής με σκοπό την υποβολή στοιχείων για εκτίμηση επιπτώσεων, οι οποίοι συνίστανται στην αύξηση της ανθεκτικότητας των επιχειρήσεων μέσω της μείωσης της πολυπλοκότητας που προκαλείται από τα διαφορετικά σύνολα εθνικών φορολογικών κανόνων και του κόστους συμμόρφωσης που αντιμετωπίζουν οι επιχειρήσεις της ΕΕ με διασυνοριακές δραστηριότητες, στην άρση των εμποδίων στις διασυνοριακές επενδύσεις και στη μετατροπή της ενιαίας αγοράς σε ελκυστικότερο τόπο για διεθνείς επενδύσεις, στη δημιουργία ενός περιβάλλοντος που θα ευνοεί τη δίκαιη και βιώσιμη ανάπτυξη, ανοίγοντας τον δρόμο προς τη διοικητική απλούστευση, και στην εξασφάλιση βιώσιμων φορολογικών εσόδων για τους εθνικούς προϋπολογισμούς των κρατών μελών, γεγονός που είναι ιδιαίτερα σημαντικό υπό τις σημερινές δυσμενείς οικονομικές και κοινωνικές συνθήκες· θεωρεί ότι η εφαρμογή ενός ενιαίου εγχειριδίου κανόνων για τη φορολόγηση ενδέχεται να συμβάλει στη μείωση του περιθωρίου για επιζήμιο φορολογικό ανταγωνισμό και για φοροαποφυγή μεταξύ των κρατών μελών, με παράλληλη απλούστευση των κανόνων φορολόγησης των εταιρειών·</w:t>
      </w:r>
    </w:p>
    <w:p w:rsidR="00E82C4B" w:rsidRPr="007777FA" w:rsidRDefault="007777FA" w:rsidP="007777FA">
      <w:pPr>
        <w:pStyle w:val="NormalHanging12a"/>
        <w:widowControl/>
        <w:ind w:left="570" w:hanging="570"/>
      </w:pPr>
      <w:r w:rsidRPr="007777FA">
        <w:t>37.</w:t>
      </w:r>
      <w:r w:rsidRPr="007777FA">
        <w:tab/>
      </w:r>
      <w:r w:rsidR="00E82C4B" w:rsidRPr="007777FA">
        <w:t>επισημαίνει τον εξέχοντα ρόλο των φορολογικών διοικήσεων στη διασφάλιση της υλοποίησης μιας μεταρρύθμισης BEFIT· συνιστά να υπάρξει κατανομή επαρκών μέσων, συμπεριλαμβανομένης της κατάρτισης, από τα κράτη μέλη και μέσω του μελλοντικού προγράμματος FISCALIS·</w:t>
      </w:r>
    </w:p>
    <w:p w:rsidR="00E82C4B" w:rsidRPr="007777FA" w:rsidRDefault="007777FA" w:rsidP="007777FA">
      <w:pPr>
        <w:pStyle w:val="NormalHanging12a"/>
        <w:widowControl/>
        <w:ind w:left="570" w:hanging="570"/>
      </w:pPr>
      <w:r w:rsidRPr="007777FA">
        <w:t>38.</w:t>
      </w:r>
      <w:r w:rsidRPr="007777FA">
        <w:tab/>
      </w:r>
      <w:r w:rsidR="00E82C4B" w:rsidRPr="007777FA">
        <w:t>υπενθυμίζει ότι οι προηγούμενες απόπειρες της Ένωσης για τον καθορισμό ενός κοινού εγχειριδίου κανόνων αφορούσαν τρεις παράγοντες: την εργασία, τα στοιχεία ενεργητικού και τις πωλήσεις· σημειώνει τη δέσμευση της Επιτροπής να αξιολογήσει, στο πλαίσιο συνολικής επανεξέτασης της μεταβατικής διάταξης, το ενδεχόμενο τροποποίησης ώστε να θεσπιστεί κατανομή βάσει τύπου για τη φορολογική βάση BEFIT·</w:t>
      </w:r>
    </w:p>
    <w:p w:rsidR="00E82C4B" w:rsidRPr="007777FA" w:rsidRDefault="007777FA" w:rsidP="007777FA">
      <w:pPr>
        <w:pStyle w:val="NormalHanging12a"/>
        <w:widowControl/>
        <w:ind w:left="570" w:hanging="570"/>
      </w:pPr>
      <w:r w:rsidRPr="007777FA">
        <w:t>39.</w:t>
      </w:r>
      <w:r w:rsidRPr="007777FA">
        <w:tab/>
      </w:r>
      <w:r w:rsidR="00E82C4B" w:rsidRPr="007777FA">
        <w:t>επισημαίνει ότι οι εταιρείες που δραστηριοποιούνται επιχειρηματικά σε ολόκληρη την ΕΕ έρχονται αντιμέτωπες με διαφορετικές φορολογικές νομοθεσίες και φορολογικές αρχές· υπογραμμίζει την ιδέα για υπηρεσία μίας στάσης που θα επιτρέπει την υποβολή ενοποιημένης φορολογικής δήλωσης ως πιθανού τρόπου μείωσης του διοικητικού φόρτου και ελαχιστοποίησης των φορολογικών εμποδίων στην ενιαία αγορά· καλεί, στο πλαίσιο αυτό, τα κράτη μέλη να εντείνουν τις προσπάθειές τους για τη θέσπιση ηλεκτρονικού συστήματος αρχειοθέτησης, το οποίο θα ωφελεί τους φορολογούμενους· καλεί την Επιτροπή να αξιολογήσει κατά πόσον η καθιέρωση υπηρεσίας μίας στάσης απαιτεί περαιτέρω εναρμόνιση της βάσης φορολογίας των εταιρειών και τη θέσπιση ενός τύπου για δίκαιη και αποτελεσματική κατανομή των φορολογικών δικαιωμάτων μεταξύ των κρατών μελών· καλεί την Επιτροπή να αξιολογήσει κατά πόσον η υπηρεσία μίας στάσης θα μπορούσε ενδεχομένως να δοκιμαστεί για επιχειρηματικούς ομίλους που δραστηριοποιούνται στην ενιαία αγορά, εφαρμόζοντας τους κανόνες του δεύτερου πυλώνα, με τους νέους κανόνες BEFIT να ενσωματώνονται στη συνέχεια· εκφράζει, στο πλαίσιο αυτό, την ικανοποίησή του για την ανακοίνωση της Επιτροπής (COM(2023)0162), της 16ης Μαρτίου 2023, στην οποία επισημαίνεται η χρησιμότητα των υπηρεσιών μίας στάσης για την άρση των φραγμών·</w:t>
      </w:r>
    </w:p>
    <w:p w:rsidR="00E82C4B" w:rsidRPr="007777FA" w:rsidRDefault="007777FA" w:rsidP="007777FA">
      <w:pPr>
        <w:pStyle w:val="NormalHanging12a"/>
        <w:widowControl/>
        <w:ind w:left="570" w:hanging="570"/>
      </w:pPr>
      <w:r w:rsidRPr="007777FA">
        <w:t>40.</w:t>
      </w:r>
      <w:r w:rsidRPr="007777FA">
        <w:tab/>
      </w:r>
      <w:r w:rsidR="00E82C4B" w:rsidRPr="007777FA">
        <w:t>θεωρεί ότι όλες οι πολύ μεγάλες εταιρείες που δραστηριοποιούνται στην ΕΕ θα πρέπει να εμπίπτουν στο πεδίο εφαρμογής της μελλοντικής πρότασης BEFIT· καλεί την Επιτροπή να διασφαλίσει ότι πληρούνται οι ειδικές απαιτήσεις των ΜΜΕ, διατηρώντας τον προαιρετικό χαρακτήρα του BEFIT για τις μικρές και μεσαίες επιχειρήσεις, ιδίως για εκείνες που δεν έχουν διασυνοριακές επιχειρηματικές δραστηριότητες· επικροτεί, ωστόσο, κάθε πρόταση η οποία επιτρέπει στις μικρότερες εταιρείες να βασίζονται σε προαιρετικό, απλουστευμένο και εναρμονισμένο πλαίσιο φορολογίας εταιρειών·</w:t>
      </w:r>
    </w:p>
    <w:p w:rsidR="00E82C4B" w:rsidRPr="007777FA" w:rsidRDefault="007777FA" w:rsidP="007777FA">
      <w:pPr>
        <w:pStyle w:val="NormalHanging12a"/>
        <w:widowControl/>
        <w:ind w:left="570" w:hanging="570"/>
      </w:pPr>
      <w:r w:rsidRPr="007777FA">
        <w:t>41.</w:t>
      </w:r>
      <w:r w:rsidRPr="007777FA">
        <w:tab/>
      </w:r>
      <w:r w:rsidR="00E82C4B" w:rsidRPr="007777FA">
        <w:t>τονίζει ότι η ευνοϊκή μεταχείριση του χρέους έναντι του μετοχικού κεφαλαίου στη φορολογία των εταιρειών, η οποία επιτρέπει γενναιόδωρες φορολογικές εκπτώσεις στις πληρωμές τόκων, ενώ το κόστος χρηματοδότησης με ίδια κεφάλαια δεν μπορεί να αφαιρεθεί με παρόμοιο τρόπο, υπογραμμίζει τα διαρθρωτικά μειονεκτήματα που αντιμετωπίζουν οι εταιρείες που βασίζονται σε μετοχική χρηματοδότηση, οι οποίες συχνά είναι νεότερες και μικρότερες εταιρείες με χειρότερη πρόσβαση σε πιστώσεις· σημειώνει ότι, στο παρελθόν, οι εκπτώσεις για εταιρικά ίδια κεφάλαια έχουν χρησιμοποιηθεί καταχρηστικά με παράνομες δραστηριότητες· λαμβάνει υπόψη την πρόταση της Επιτροπής, της 11ης Μαΐου 2022, που αντιμετωπίζει την ευνοϊκή μεταχείριση του χρέους έναντι του μετοχικού κεφαλαίου ως μέσο προώθησης της χρηματοδότησης μέσω των κεφαλαιαγορών αντί για την αποθάρρυνση της χρηματοδότησης με δανειακά κεφάλαια, αναγνωρίζοντας παράλληλα την κυριότητα των κρατών μελών σε φορολογικά ζητήματα και την απόφαση του Συμβουλίου της 6ης</w:t>
      </w:r>
      <w:r w:rsidR="004A477A" w:rsidRPr="007777FA">
        <w:t> </w:t>
      </w:r>
      <w:r w:rsidR="00E82C4B" w:rsidRPr="007777FA">
        <w:t>Δεκεμβρίου 2022 να αναστείλει την εξέταση της πρότασης· καλεί το Συμβούλιο να επαναξιολογήσει και, ενδεχομένως, να επαναλάβει τις διαπραγματεύσεις για την πρόταση αυτή με τη βοήθεια της Επιτροπής· υποστηρίζει την ενσωμάτωση στην πρόταση της Επιτροπής ισχυρών διατάξεων κατά της αποφυγής, συμπεριλαμβανομένων εκείνων που ορίζονται στο άρθρο 5, και καλεί, στο πλαίσιο αυτό, τα κράτη μέλη να εγγυηθούν υψηλό επίπεδο προστασίας από τη διάβρωση της φορολογικής βάσης·</w:t>
      </w:r>
    </w:p>
    <w:p w:rsidR="00E82C4B" w:rsidRPr="007777FA" w:rsidRDefault="007777FA" w:rsidP="007777FA">
      <w:pPr>
        <w:pStyle w:val="NormalHanging12a"/>
        <w:widowControl/>
        <w:ind w:left="570" w:hanging="570"/>
      </w:pPr>
      <w:r w:rsidRPr="007777FA">
        <w:t>42.</w:t>
      </w:r>
      <w:r w:rsidRPr="007777FA">
        <w:tab/>
      </w:r>
      <w:r w:rsidR="00E82C4B" w:rsidRPr="007777FA">
        <w:t>θεωρεί ότι η φορολογική βεβαιότητα θα ενισχυόταν εάν τα κράτη μέλη είχαν κοινή αντίληψη για τι σημαίνει φορολογικά κίνητρα που δεν προκαλούν στρεβλώσεις· καλεί την Επιτροπή να αξιολογήσει την αποτελεσματικότητα των ευνοϊκών για την ευρεσιτεχνία φορολογικών καθεστώτων και άλλων καθεστώτων διανοητικής ιδιοκτησίας στο πλαίσιο της νέας προσέγγισης βάσει αιτιώδους συνδέσμου που ορίζεται στη δράση 5 του σχεδίου δράσης BEPS για τις επιζήμιες φορολογικές πρακτικές·</w:t>
      </w:r>
    </w:p>
    <w:p w:rsidR="00E82C4B" w:rsidRPr="007777FA" w:rsidRDefault="007777FA" w:rsidP="007777FA">
      <w:pPr>
        <w:pStyle w:val="NormalHanging12a"/>
        <w:widowControl/>
        <w:ind w:left="570" w:hanging="570"/>
      </w:pPr>
      <w:r w:rsidRPr="007777FA">
        <w:t>43.</w:t>
      </w:r>
      <w:r w:rsidRPr="007777FA">
        <w:tab/>
      </w:r>
      <w:r w:rsidR="00E82C4B" w:rsidRPr="007777FA">
        <w:t>καλεί την Επιτροπή και τα κράτη μέλη να ενισχύσουν σημαντικά τους προϋπολογισμούς για την έρευνα, την ανάπτυξη και την καινοτομία για την επίτευξη του στόχου του 3 % του ΑΕΠ της ΕΕ με συντονισμένο τρόπο· επισημαίνει ότι τα στοχευμένα φορολογικά κίνητρα που εφαρμόζονται με δημοσιονομικά υπεύθυνο τρόπο για την ιδιωτική έρευνα και ανάπτυξη (π.χ. μέσω πιστώσεων φόρου, αυξημένων εκπτώσεων ή προσαρμοσμένων χρονοδιαγραμμάτων απόσβεσης) μπορούν να συμβάλουν στην αύξηση των συνολικών δαπανών μιας οικονομίας για τους σκοπούς αυτούς, η οποία συχνά συνοδεύεται από θετικές εξωτερικές επιδράσεις· τονίζει ότι θα πρέπει να διενεργείται τακτικά ανάλυση αυτών των θετικών εξωτερικών επιδράσεων και να προσαρμόζονται ή να καταργούνται, εάν τα κίνητρα δεν αποφέρουν το επιδιωκόμενο αποτέλεσμα, και λαμβάνει υπό υπόψη την εκτίμηση ότι τα κίνητρα αυτά είναι πιο αποτελεσματικά για τις ΜΜΕ εάν βασίζονται στις δαπάνες</w:t>
      </w:r>
      <w:r w:rsidR="00E82C4B" w:rsidRPr="007777FA">
        <w:rPr>
          <w:vertAlign w:val="superscript"/>
        </w:rPr>
        <w:footnoteReference w:id="34"/>
      </w:r>
      <w:r w:rsidR="00E82C4B" w:rsidRPr="007777FA">
        <w:t>· υπογραμμίζει ότι τα εν λόγω φορολογικά κίνητρα πρέπει να συνάδουν αυστηρά με την ισχύουσα νομοθεσία και τις γενικές πολιτικές προτεραιότητες της ΕΕ· υπενθυμίζει ότι οι εταιρικές δαπάνες για την έρευνα και την ανάπτυξη ανήλθαν μόλις στο 1,5 % του ΑΕΠ της ΕΕ το 2020, σε σύγκριση με το 2,6 % στις ΗΠΑ και την Ιαπωνία, σύμφωνα με την έκθεση της Ευρωπαϊκής Τράπεζας Επενδύσεων του 2022/2023 για τις επενδύσεις· σημειώνει ότι αυτή η αδυναμία θα μπορούσε να μειώσει τη μακροπρόθεσμη ανταγωνιστικότητα της ΕΕ· εκφράζει, στο πλαίσιο αυτό, την ικανοποίησή του για την ανακοίνωση της Επιτροπής, της 16ης Μαρτίου 2023, που ενθαρρύνει τα κράτη μέλη να παρέχουν στήριξη σε δραστηριότητες έρευνας και καινοτομίας· καλεί την Επιτροπή να υποβάλει αξιολόγηση των πλέον αποτελεσματικών και αποδοτικών φορολογικών κινήτρων για την ιδιωτική έρευνα και ανάπτυξη·</w:t>
      </w:r>
    </w:p>
    <w:p w:rsidR="00E82C4B" w:rsidRPr="007777FA" w:rsidRDefault="007777FA" w:rsidP="007777FA">
      <w:pPr>
        <w:pStyle w:val="NormalHanging12a"/>
        <w:widowControl/>
        <w:ind w:left="570" w:hanging="570"/>
      </w:pPr>
      <w:r w:rsidRPr="007777FA">
        <w:t>44.</w:t>
      </w:r>
      <w:r w:rsidRPr="007777FA">
        <w:tab/>
      </w:r>
      <w:r w:rsidR="00E82C4B" w:rsidRPr="007777FA">
        <w:t>καλεί την Επιτροπή να διενεργήσει εκτίμηση επιπτώσεων σχετικά με τη χρήση νέων τεχνολογιών για τη βελτίωση της ταχύτητας, της αποτελεσματικότητας, της αξιοπιστίας, της διαφάνειας και της ανθεκτικότητας των διοικητικών διαδικασιών που σχετίζονται με τη φορολογία· κατανοεί ότι η Επιτροπή μπορεί να υποβάλει, σε συνέχεια της εν λόγω εκτίμησης επιπτώσεων, πρόταση για την ενίσχυση της συνεργασίας μεταξύ των φορολογικών αρχών, αξιοποιώντας τις ορθές πρακτικές που εντοπίζονται, για τη διαμόρφωση ενός φιλικού προς τις εταιρείες περιβάλλοντος με λιγότερη γραφειοκρατία, κόστος συμμόρφωσης και διοικητική επιβάρυνση·</w:t>
      </w:r>
    </w:p>
    <w:p w:rsidR="00E82C4B" w:rsidRPr="007777FA" w:rsidRDefault="00E82C4B" w:rsidP="004A477A">
      <w:pPr>
        <w:pStyle w:val="NormalHanging12a"/>
        <w:widowControl/>
        <w:ind w:left="0" w:firstLine="0"/>
        <w:jc w:val="center"/>
        <w:rPr>
          <w:rStyle w:val="BoldItalic"/>
          <w:b w:val="0"/>
          <w:i w:val="0"/>
        </w:rPr>
      </w:pPr>
      <w:r w:rsidRPr="007777FA">
        <w:rPr>
          <w:rStyle w:val="BoldItalic"/>
        </w:rPr>
        <w:t>°</w:t>
      </w:r>
    </w:p>
    <w:p w:rsidR="00E82C4B" w:rsidRPr="007777FA" w:rsidRDefault="00E82C4B" w:rsidP="004A477A">
      <w:pPr>
        <w:pStyle w:val="NormalHanging12a"/>
        <w:widowControl/>
        <w:ind w:left="0" w:firstLine="0"/>
        <w:jc w:val="center"/>
        <w:rPr>
          <w:rStyle w:val="BoldItalic"/>
          <w:b w:val="0"/>
          <w:i w:val="0"/>
        </w:rPr>
      </w:pPr>
      <w:r w:rsidRPr="007777FA">
        <w:rPr>
          <w:rStyle w:val="BoldItalic"/>
        </w:rPr>
        <w:t>°</w:t>
      </w:r>
      <w:r w:rsidRPr="007777FA">
        <w:rPr>
          <w:rStyle w:val="BoldItalic"/>
        </w:rPr>
        <w:tab/>
        <w:t>°</w:t>
      </w:r>
    </w:p>
    <w:p w:rsidR="00E82C4B" w:rsidRPr="007777FA" w:rsidRDefault="007777FA" w:rsidP="007777FA">
      <w:pPr>
        <w:pStyle w:val="NormalHanging12a"/>
        <w:widowControl/>
        <w:ind w:left="570" w:hanging="570"/>
      </w:pPr>
      <w:r w:rsidRPr="007777FA">
        <w:t>45.</w:t>
      </w:r>
      <w:r w:rsidRPr="007777FA">
        <w:tab/>
      </w:r>
      <w:r w:rsidR="00E82C4B" w:rsidRPr="007777FA">
        <w:t>αναθέτει στην Πρόεδρό του να διαβιβάσει το παρόν ψήφισμα στο Συμβούλιο και την Επιτροπή.</w:t>
      </w:r>
    </w:p>
    <w:p w:rsidR="00E365E1" w:rsidRPr="007777FA" w:rsidRDefault="00E365E1" w:rsidP="007A4719">
      <w:pPr>
        <w:widowControl/>
        <w:spacing w:after="240"/>
        <w:ind w:left="567" w:hanging="567"/>
      </w:pPr>
      <w:bookmarkStart w:id="9" w:name="TextBodyEnd"/>
      <w:bookmarkEnd w:id="9"/>
    </w:p>
    <w:sectPr w:rsidR="00E365E1" w:rsidRPr="007777FA" w:rsidSect="0071574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3C56" w:rsidRPr="00715744" w:rsidRDefault="00C83C56">
      <w:r w:rsidRPr="00715744">
        <w:separator/>
      </w:r>
    </w:p>
  </w:endnote>
  <w:endnote w:type="continuationSeparator" w:id="0">
    <w:p w:rsidR="00C83C56" w:rsidRPr="00715744" w:rsidRDefault="00C83C56">
      <w:r w:rsidRPr="0071574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1574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1574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1574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3C56" w:rsidRPr="00715744" w:rsidRDefault="00C83C56">
      <w:r w:rsidRPr="00715744">
        <w:separator/>
      </w:r>
    </w:p>
  </w:footnote>
  <w:footnote w:type="continuationSeparator" w:id="0">
    <w:p w:rsidR="00C83C56" w:rsidRPr="00715744" w:rsidRDefault="00C83C56">
      <w:r w:rsidRPr="00715744">
        <w:continuationSeparator/>
      </w:r>
    </w:p>
  </w:footnote>
  <w:footnote w:id="1">
    <w:p w:rsidR="00E82C4B" w:rsidRPr="00715744" w:rsidRDefault="00E82C4B" w:rsidP="004A477A">
      <w:pPr>
        <w:pStyle w:val="FootnoteText"/>
        <w:spacing w:line="240" w:lineRule="auto"/>
        <w:ind w:left="567" w:hanging="567"/>
        <w:rPr>
          <w:sz w:val="24"/>
          <w:lang w:val="el-GR"/>
        </w:rPr>
      </w:pPr>
      <w:r w:rsidRPr="00715744">
        <w:rPr>
          <w:rStyle w:val="FootnoteReference"/>
          <w:sz w:val="24"/>
          <w:lang w:val="el-GR"/>
        </w:rPr>
        <w:footnoteRef/>
      </w:r>
      <w:r w:rsidR="00715744" w:rsidRPr="00715744">
        <w:rPr>
          <w:sz w:val="24"/>
          <w:lang w:val="el-GR"/>
        </w:rPr>
        <w:t xml:space="preserve"> </w:t>
      </w:r>
      <w:r w:rsidR="00715744" w:rsidRPr="00715744">
        <w:rPr>
          <w:sz w:val="24"/>
          <w:lang w:val="el-GR"/>
        </w:rPr>
        <w:tab/>
      </w:r>
      <w:r w:rsidRPr="004A477A">
        <w:rPr>
          <w:sz w:val="24"/>
          <w:lang w:val="el-GR"/>
        </w:rPr>
        <w:t>ΕΕ L 157 της 26.6.2003, σ. 49</w:t>
      </w:r>
      <w:r w:rsidRPr="00715744">
        <w:rPr>
          <w:sz w:val="24"/>
          <w:lang w:val="el-GR"/>
        </w:rPr>
        <w:t>.</w:t>
      </w:r>
    </w:p>
  </w:footnote>
  <w:footnote w:id="2">
    <w:p w:rsidR="00E82C4B" w:rsidRPr="00715744" w:rsidRDefault="00E82C4B" w:rsidP="004A477A">
      <w:pPr>
        <w:pStyle w:val="FootnoteText"/>
        <w:spacing w:line="240" w:lineRule="auto"/>
        <w:ind w:left="567" w:hanging="567"/>
        <w:rPr>
          <w:sz w:val="24"/>
          <w:lang w:val="el-GR"/>
        </w:rPr>
      </w:pPr>
      <w:r w:rsidRPr="00715744">
        <w:rPr>
          <w:rStyle w:val="FootnoteReference"/>
          <w:sz w:val="24"/>
          <w:lang w:val="el-GR"/>
        </w:rPr>
        <w:footnoteRef/>
      </w:r>
      <w:r w:rsidR="00715744" w:rsidRPr="00715744">
        <w:rPr>
          <w:sz w:val="24"/>
          <w:lang w:val="el-GR"/>
        </w:rPr>
        <w:t xml:space="preserve"> </w:t>
      </w:r>
      <w:r w:rsidR="00715744" w:rsidRPr="00715744">
        <w:rPr>
          <w:sz w:val="24"/>
          <w:lang w:val="el-GR"/>
        </w:rPr>
        <w:tab/>
      </w:r>
      <w:r w:rsidRPr="004A477A">
        <w:rPr>
          <w:sz w:val="24"/>
          <w:lang w:val="el-GR"/>
        </w:rPr>
        <w:t>ΕΕ L 345 της 29.12.2011, σ. 8</w:t>
      </w:r>
      <w:r w:rsidRPr="00715744">
        <w:rPr>
          <w:sz w:val="24"/>
          <w:lang w:val="el-GR"/>
        </w:rPr>
        <w:t>.</w:t>
      </w:r>
    </w:p>
  </w:footnote>
  <w:footnote w:id="3">
    <w:p w:rsidR="00E82C4B" w:rsidRPr="00715744" w:rsidRDefault="00E82C4B" w:rsidP="004A477A">
      <w:pPr>
        <w:pStyle w:val="FootnoteText"/>
        <w:spacing w:line="240" w:lineRule="auto"/>
        <w:ind w:left="567" w:hanging="567"/>
        <w:rPr>
          <w:sz w:val="24"/>
          <w:lang w:val="el-GR"/>
        </w:rPr>
      </w:pPr>
      <w:r w:rsidRPr="00715744">
        <w:rPr>
          <w:rStyle w:val="FootnoteReference"/>
          <w:sz w:val="24"/>
          <w:lang w:val="el-GR"/>
        </w:rPr>
        <w:footnoteRef/>
      </w:r>
      <w:r w:rsidR="00715744" w:rsidRPr="00715744">
        <w:rPr>
          <w:sz w:val="24"/>
          <w:lang w:val="el-GR"/>
        </w:rPr>
        <w:t xml:space="preserve"> </w:t>
      </w:r>
      <w:r w:rsidR="00715744" w:rsidRPr="00715744">
        <w:rPr>
          <w:sz w:val="24"/>
          <w:lang w:val="el-GR"/>
        </w:rPr>
        <w:tab/>
      </w:r>
      <w:r w:rsidRPr="004A477A">
        <w:rPr>
          <w:sz w:val="24"/>
          <w:lang w:val="el-GR"/>
        </w:rPr>
        <w:t>ΕΕ L 193 της 19.7.2016, σ. 1</w:t>
      </w:r>
      <w:r w:rsidRPr="00715744">
        <w:rPr>
          <w:sz w:val="24"/>
          <w:lang w:val="el-GR"/>
        </w:rPr>
        <w:t>.</w:t>
      </w:r>
    </w:p>
  </w:footnote>
  <w:footnote w:id="4">
    <w:p w:rsidR="00E82C4B" w:rsidRPr="00715744" w:rsidRDefault="00E82C4B" w:rsidP="004A477A">
      <w:pPr>
        <w:pStyle w:val="FootnoteText"/>
        <w:spacing w:line="240" w:lineRule="auto"/>
        <w:ind w:left="567" w:hanging="567"/>
        <w:rPr>
          <w:sz w:val="24"/>
          <w:lang w:val="el-GR"/>
        </w:rPr>
      </w:pPr>
      <w:r w:rsidRPr="00715744">
        <w:rPr>
          <w:rStyle w:val="FootnoteReference"/>
          <w:sz w:val="24"/>
          <w:lang w:val="el-GR"/>
        </w:rPr>
        <w:footnoteRef/>
      </w:r>
      <w:r w:rsidR="00715744" w:rsidRPr="00715744">
        <w:rPr>
          <w:sz w:val="24"/>
          <w:lang w:val="el-GR"/>
        </w:rPr>
        <w:t xml:space="preserve"> </w:t>
      </w:r>
      <w:r w:rsidR="00715744" w:rsidRPr="00715744">
        <w:rPr>
          <w:sz w:val="24"/>
          <w:lang w:val="el-GR"/>
        </w:rPr>
        <w:tab/>
      </w:r>
      <w:r w:rsidRPr="004A477A">
        <w:rPr>
          <w:sz w:val="24"/>
          <w:lang w:val="el-GR"/>
        </w:rPr>
        <w:t>ΕΕ L 144 της 7.6.2017, σ. 1</w:t>
      </w:r>
      <w:r w:rsidRPr="00715744">
        <w:rPr>
          <w:sz w:val="24"/>
          <w:lang w:val="el-GR"/>
        </w:rPr>
        <w:t>.</w:t>
      </w:r>
    </w:p>
  </w:footnote>
  <w:footnote w:id="5">
    <w:p w:rsidR="00E82C4B" w:rsidRPr="00715744" w:rsidRDefault="00E82C4B" w:rsidP="004A477A">
      <w:pPr>
        <w:pStyle w:val="FootnoteText"/>
        <w:spacing w:line="240" w:lineRule="auto"/>
        <w:ind w:left="567" w:hanging="567"/>
        <w:rPr>
          <w:sz w:val="24"/>
          <w:lang w:val="el-GR"/>
        </w:rPr>
      </w:pPr>
      <w:r w:rsidRPr="00715744">
        <w:rPr>
          <w:rStyle w:val="FootnoteReference"/>
          <w:sz w:val="24"/>
          <w:lang w:val="el-GR"/>
        </w:rPr>
        <w:footnoteRef/>
      </w:r>
      <w:r w:rsidR="00715744" w:rsidRPr="00715744">
        <w:rPr>
          <w:sz w:val="24"/>
          <w:lang w:val="el-GR"/>
        </w:rPr>
        <w:t xml:space="preserve"> </w:t>
      </w:r>
      <w:r w:rsidR="00715744" w:rsidRPr="00715744">
        <w:rPr>
          <w:sz w:val="24"/>
          <w:lang w:val="el-GR"/>
        </w:rPr>
        <w:tab/>
      </w:r>
      <w:r w:rsidRPr="004A477A">
        <w:rPr>
          <w:sz w:val="24"/>
          <w:lang w:val="el-GR"/>
        </w:rPr>
        <w:t>ΕΕ L 64 της 11.3.2011, σ. 1</w:t>
      </w:r>
      <w:r w:rsidRPr="00715744">
        <w:rPr>
          <w:sz w:val="24"/>
          <w:lang w:val="el-GR"/>
        </w:rPr>
        <w:t>.</w:t>
      </w:r>
    </w:p>
  </w:footnote>
  <w:footnote w:id="6">
    <w:p w:rsidR="00E82C4B" w:rsidRPr="00715744" w:rsidRDefault="00E82C4B" w:rsidP="004A477A">
      <w:pPr>
        <w:pStyle w:val="FootnoteText"/>
        <w:spacing w:line="240" w:lineRule="auto"/>
        <w:ind w:left="567" w:hanging="567"/>
        <w:rPr>
          <w:sz w:val="24"/>
          <w:lang w:val="el-GR"/>
        </w:rPr>
      </w:pPr>
      <w:r w:rsidRPr="00715744">
        <w:rPr>
          <w:rStyle w:val="FootnoteReference"/>
          <w:sz w:val="24"/>
          <w:lang w:val="el-GR"/>
        </w:rPr>
        <w:footnoteRef/>
      </w:r>
      <w:r w:rsidR="00715744" w:rsidRPr="00715744">
        <w:rPr>
          <w:sz w:val="24"/>
          <w:lang w:val="el-GR"/>
        </w:rPr>
        <w:t xml:space="preserve"> </w:t>
      </w:r>
      <w:r w:rsidR="00715744" w:rsidRPr="00715744">
        <w:rPr>
          <w:sz w:val="24"/>
          <w:lang w:val="el-GR"/>
        </w:rPr>
        <w:tab/>
      </w:r>
      <w:r w:rsidRPr="004A477A">
        <w:rPr>
          <w:sz w:val="24"/>
          <w:lang w:val="el-GR"/>
        </w:rPr>
        <w:t>ΕΕ L 359 της 16.12.2014, σ. 1</w:t>
      </w:r>
      <w:r w:rsidRPr="00715744">
        <w:rPr>
          <w:sz w:val="24"/>
          <w:lang w:val="el-GR"/>
        </w:rPr>
        <w:t>.</w:t>
      </w:r>
    </w:p>
  </w:footnote>
  <w:footnote w:id="7">
    <w:p w:rsidR="00E82C4B" w:rsidRPr="00715744" w:rsidRDefault="00E82C4B" w:rsidP="004A477A">
      <w:pPr>
        <w:pStyle w:val="FootnoteText"/>
        <w:spacing w:line="240" w:lineRule="auto"/>
        <w:ind w:left="567" w:hanging="567"/>
        <w:rPr>
          <w:sz w:val="24"/>
          <w:lang w:val="el-GR"/>
        </w:rPr>
      </w:pPr>
      <w:r w:rsidRPr="00715744">
        <w:rPr>
          <w:rStyle w:val="FootnoteReference"/>
          <w:sz w:val="24"/>
          <w:lang w:val="el-GR"/>
        </w:rPr>
        <w:footnoteRef/>
      </w:r>
      <w:r w:rsidR="00715744" w:rsidRPr="00715744">
        <w:rPr>
          <w:sz w:val="24"/>
          <w:lang w:val="el-GR"/>
        </w:rPr>
        <w:t xml:space="preserve"> </w:t>
      </w:r>
      <w:r w:rsidR="00715744" w:rsidRPr="00715744">
        <w:rPr>
          <w:sz w:val="24"/>
          <w:lang w:val="el-GR"/>
        </w:rPr>
        <w:tab/>
      </w:r>
      <w:r w:rsidRPr="004A477A">
        <w:rPr>
          <w:sz w:val="24"/>
          <w:lang w:val="el-GR"/>
        </w:rPr>
        <w:t>ΕΕ L 332 της 18.12.2015, σ. 1</w:t>
      </w:r>
      <w:r w:rsidRPr="00715744">
        <w:rPr>
          <w:sz w:val="24"/>
          <w:lang w:val="el-GR"/>
        </w:rPr>
        <w:t>.</w:t>
      </w:r>
    </w:p>
  </w:footnote>
  <w:footnote w:id="8">
    <w:p w:rsidR="00E82C4B" w:rsidRPr="00715744" w:rsidRDefault="00E82C4B" w:rsidP="004A477A">
      <w:pPr>
        <w:pStyle w:val="FootnoteText"/>
        <w:spacing w:line="240" w:lineRule="auto"/>
        <w:ind w:left="567" w:hanging="567"/>
        <w:rPr>
          <w:sz w:val="24"/>
          <w:lang w:val="el-GR"/>
        </w:rPr>
      </w:pPr>
      <w:r w:rsidRPr="00715744">
        <w:rPr>
          <w:rStyle w:val="FootnoteReference"/>
          <w:sz w:val="24"/>
          <w:lang w:val="el-GR"/>
        </w:rPr>
        <w:footnoteRef/>
      </w:r>
      <w:r w:rsidR="00715744" w:rsidRPr="00715744">
        <w:rPr>
          <w:sz w:val="24"/>
          <w:lang w:val="el-GR"/>
        </w:rPr>
        <w:t xml:space="preserve"> </w:t>
      </w:r>
      <w:r w:rsidR="00715744" w:rsidRPr="00715744">
        <w:rPr>
          <w:sz w:val="24"/>
          <w:lang w:val="el-GR"/>
        </w:rPr>
        <w:tab/>
      </w:r>
      <w:r w:rsidRPr="004A477A">
        <w:rPr>
          <w:sz w:val="24"/>
          <w:lang w:val="el-GR"/>
        </w:rPr>
        <w:t>ΕΕ L 146 της 3.6.2016, σ. 8.</w:t>
      </w:r>
    </w:p>
  </w:footnote>
  <w:footnote w:id="9">
    <w:p w:rsidR="00E82C4B" w:rsidRPr="00715744" w:rsidRDefault="00E82C4B" w:rsidP="004A477A">
      <w:pPr>
        <w:pStyle w:val="FootnoteText"/>
        <w:spacing w:line="240" w:lineRule="auto"/>
        <w:ind w:left="567" w:hanging="567"/>
        <w:rPr>
          <w:sz w:val="24"/>
          <w:lang w:val="el-GR"/>
        </w:rPr>
      </w:pPr>
      <w:r w:rsidRPr="00715744">
        <w:rPr>
          <w:rStyle w:val="FootnoteReference"/>
          <w:sz w:val="24"/>
          <w:lang w:val="el-GR"/>
        </w:rPr>
        <w:footnoteRef/>
      </w:r>
      <w:r w:rsidR="00715744" w:rsidRPr="00715744">
        <w:rPr>
          <w:sz w:val="24"/>
          <w:lang w:val="el-GR"/>
        </w:rPr>
        <w:t xml:space="preserve"> </w:t>
      </w:r>
      <w:r w:rsidR="00715744" w:rsidRPr="00715744">
        <w:rPr>
          <w:sz w:val="24"/>
          <w:lang w:val="el-GR"/>
        </w:rPr>
        <w:tab/>
      </w:r>
      <w:r w:rsidRPr="004A477A">
        <w:rPr>
          <w:sz w:val="24"/>
          <w:lang w:val="el-GR"/>
        </w:rPr>
        <w:t>ΕΕ L 342 της 16.12.2016, σ. 1</w:t>
      </w:r>
      <w:r w:rsidRPr="00715744">
        <w:rPr>
          <w:sz w:val="24"/>
          <w:lang w:val="el-GR"/>
        </w:rPr>
        <w:t>.</w:t>
      </w:r>
    </w:p>
  </w:footnote>
  <w:footnote w:id="10">
    <w:p w:rsidR="00E82C4B" w:rsidRPr="00715744" w:rsidRDefault="00E82C4B" w:rsidP="004A477A">
      <w:pPr>
        <w:pStyle w:val="FootnoteText"/>
        <w:spacing w:line="240" w:lineRule="auto"/>
        <w:ind w:left="567" w:hanging="567"/>
        <w:rPr>
          <w:sz w:val="24"/>
          <w:lang w:val="el-GR"/>
        </w:rPr>
      </w:pPr>
      <w:r w:rsidRPr="00715744">
        <w:rPr>
          <w:rStyle w:val="FootnoteReference"/>
          <w:sz w:val="24"/>
          <w:lang w:val="el-GR"/>
        </w:rPr>
        <w:footnoteRef/>
      </w:r>
      <w:r w:rsidR="00715744" w:rsidRPr="00715744">
        <w:rPr>
          <w:sz w:val="24"/>
          <w:lang w:val="el-GR"/>
        </w:rPr>
        <w:t xml:space="preserve"> </w:t>
      </w:r>
      <w:r w:rsidR="00715744" w:rsidRPr="00715744">
        <w:rPr>
          <w:sz w:val="24"/>
          <w:lang w:val="el-GR"/>
        </w:rPr>
        <w:tab/>
      </w:r>
      <w:r w:rsidRPr="004A477A">
        <w:rPr>
          <w:sz w:val="24"/>
          <w:lang w:val="el-GR"/>
        </w:rPr>
        <w:t>ΕΕ L 139 της 5.6.2018, σ. 1</w:t>
      </w:r>
      <w:r w:rsidRPr="00715744">
        <w:rPr>
          <w:sz w:val="24"/>
          <w:lang w:val="el-GR"/>
        </w:rPr>
        <w:t>.</w:t>
      </w:r>
    </w:p>
  </w:footnote>
  <w:footnote w:id="11">
    <w:p w:rsidR="00E82C4B" w:rsidRPr="00715744" w:rsidRDefault="00E82C4B" w:rsidP="004A477A">
      <w:pPr>
        <w:pStyle w:val="FootnoteText"/>
        <w:spacing w:line="240" w:lineRule="auto"/>
        <w:ind w:left="567" w:hanging="567"/>
        <w:rPr>
          <w:sz w:val="24"/>
          <w:lang w:val="el-GR"/>
        </w:rPr>
      </w:pPr>
      <w:r w:rsidRPr="00715744">
        <w:rPr>
          <w:rStyle w:val="FootnoteReference"/>
          <w:sz w:val="24"/>
          <w:lang w:val="el-GR"/>
        </w:rPr>
        <w:footnoteRef/>
      </w:r>
      <w:r w:rsidR="00715744" w:rsidRPr="00715744">
        <w:rPr>
          <w:sz w:val="24"/>
          <w:lang w:val="el-GR"/>
        </w:rPr>
        <w:t xml:space="preserve"> </w:t>
      </w:r>
      <w:r w:rsidR="00715744" w:rsidRPr="00715744">
        <w:rPr>
          <w:sz w:val="24"/>
          <w:lang w:val="el-GR"/>
        </w:rPr>
        <w:tab/>
      </w:r>
      <w:r w:rsidRPr="004A477A">
        <w:rPr>
          <w:sz w:val="24"/>
          <w:lang w:val="el-GR"/>
        </w:rPr>
        <w:t>ΕΕ L 104 της 25.3.2021, σ. 1</w:t>
      </w:r>
      <w:r w:rsidRPr="00715744">
        <w:rPr>
          <w:sz w:val="24"/>
          <w:lang w:val="el-GR"/>
        </w:rPr>
        <w:t>.</w:t>
      </w:r>
    </w:p>
  </w:footnote>
  <w:footnote w:id="12">
    <w:p w:rsidR="00E82C4B" w:rsidRPr="00715744" w:rsidRDefault="00E82C4B" w:rsidP="004A477A">
      <w:pPr>
        <w:pStyle w:val="FootnoteText"/>
        <w:spacing w:line="240" w:lineRule="auto"/>
        <w:ind w:left="567" w:hanging="567"/>
        <w:rPr>
          <w:sz w:val="24"/>
          <w:lang w:val="el-GR"/>
        </w:rPr>
      </w:pPr>
      <w:r w:rsidRPr="00715744">
        <w:rPr>
          <w:rStyle w:val="FootnoteReference"/>
          <w:sz w:val="24"/>
          <w:lang w:val="el-GR"/>
        </w:rPr>
        <w:footnoteRef/>
      </w:r>
      <w:r w:rsidR="00715744" w:rsidRPr="00715744">
        <w:rPr>
          <w:sz w:val="24"/>
          <w:lang w:val="el-GR"/>
        </w:rPr>
        <w:t xml:space="preserve"> </w:t>
      </w:r>
      <w:r w:rsidR="00715744" w:rsidRPr="00715744">
        <w:rPr>
          <w:sz w:val="24"/>
          <w:lang w:val="el-GR"/>
        </w:rPr>
        <w:tab/>
      </w:r>
      <w:r w:rsidRPr="004A477A">
        <w:rPr>
          <w:sz w:val="24"/>
          <w:lang w:val="el-GR"/>
        </w:rPr>
        <w:t>ΕΕ L 265 της 14.10.2017, σ. 1</w:t>
      </w:r>
      <w:r w:rsidRPr="00715744">
        <w:rPr>
          <w:sz w:val="24"/>
          <w:lang w:val="el-GR"/>
        </w:rPr>
        <w:t>.</w:t>
      </w:r>
    </w:p>
  </w:footnote>
  <w:footnote w:id="13">
    <w:p w:rsidR="00E82C4B" w:rsidRPr="00715744" w:rsidRDefault="00E82C4B" w:rsidP="004A477A">
      <w:pPr>
        <w:pStyle w:val="FootnoteText"/>
        <w:spacing w:line="240" w:lineRule="auto"/>
        <w:ind w:left="567" w:hanging="567"/>
        <w:rPr>
          <w:sz w:val="24"/>
          <w:lang w:val="el-GR"/>
        </w:rPr>
      </w:pPr>
      <w:r w:rsidRPr="00715744">
        <w:rPr>
          <w:rStyle w:val="FootnoteReference"/>
          <w:sz w:val="24"/>
          <w:lang w:val="el-GR"/>
        </w:rPr>
        <w:footnoteRef/>
      </w:r>
      <w:r w:rsidR="00715744" w:rsidRPr="00715744">
        <w:rPr>
          <w:sz w:val="24"/>
          <w:lang w:val="el-GR"/>
        </w:rPr>
        <w:t xml:space="preserve"> </w:t>
      </w:r>
      <w:r w:rsidR="00715744" w:rsidRPr="00715744">
        <w:rPr>
          <w:sz w:val="24"/>
          <w:lang w:val="el-GR"/>
        </w:rPr>
        <w:tab/>
      </w:r>
      <w:r w:rsidRPr="004A477A">
        <w:rPr>
          <w:sz w:val="24"/>
          <w:lang w:val="el-GR"/>
        </w:rPr>
        <w:t>ΕΕ L 429 της 1.12.2021, σ. 1</w:t>
      </w:r>
      <w:r w:rsidRPr="00715744">
        <w:rPr>
          <w:sz w:val="24"/>
          <w:lang w:val="el-GR"/>
        </w:rPr>
        <w:t>.</w:t>
      </w:r>
    </w:p>
  </w:footnote>
  <w:footnote w:id="14">
    <w:p w:rsidR="00E82C4B" w:rsidRPr="00715744" w:rsidRDefault="00E82C4B" w:rsidP="004A477A">
      <w:pPr>
        <w:pStyle w:val="FootnoteText"/>
        <w:spacing w:line="240" w:lineRule="auto"/>
        <w:ind w:left="567" w:hanging="567"/>
        <w:rPr>
          <w:sz w:val="24"/>
          <w:lang w:val="el-GR"/>
        </w:rPr>
      </w:pPr>
      <w:r w:rsidRPr="00715744">
        <w:rPr>
          <w:rStyle w:val="FootnoteReference"/>
          <w:sz w:val="24"/>
          <w:lang w:val="el-GR"/>
        </w:rPr>
        <w:footnoteRef/>
      </w:r>
      <w:r w:rsidR="00715744" w:rsidRPr="00715744">
        <w:rPr>
          <w:sz w:val="24"/>
          <w:lang w:val="el-GR"/>
        </w:rPr>
        <w:t xml:space="preserve"> </w:t>
      </w:r>
      <w:r w:rsidR="00715744" w:rsidRPr="00715744">
        <w:rPr>
          <w:sz w:val="24"/>
          <w:lang w:val="el-GR"/>
        </w:rPr>
        <w:tab/>
      </w:r>
      <w:r w:rsidRPr="004A477A">
        <w:rPr>
          <w:sz w:val="24"/>
          <w:lang w:val="el-GR"/>
        </w:rPr>
        <w:t>ΕΕ L 328 της 22.12.2022, σ. 1</w:t>
      </w:r>
      <w:r w:rsidRPr="00715744">
        <w:rPr>
          <w:sz w:val="24"/>
          <w:lang w:val="el-GR"/>
        </w:rPr>
        <w:t>.</w:t>
      </w:r>
    </w:p>
  </w:footnote>
  <w:footnote w:id="15">
    <w:p w:rsidR="00E82C4B" w:rsidRPr="00715744" w:rsidRDefault="00E82C4B" w:rsidP="004A477A">
      <w:pPr>
        <w:pStyle w:val="FootnoteText"/>
        <w:spacing w:line="240" w:lineRule="auto"/>
        <w:ind w:left="567" w:hanging="567"/>
        <w:rPr>
          <w:sz w:val="24"/>
          <w:lang w:val="el-GR"/>
        </w:rPr>
      </w:pPr>
      <w:r w:rsidRPr="00715744">
        <w:rPr>
          <w:rStyle w:val="FootnoteReference"/>
          <w:sz w:val="24"/>
          <w:lang w:val="el-GR"/>
        </w:rPr>
        <w:footnoteRef/>
      </w:r>
      <w:r w:rsidR="00715744" w:rsidRPr="00715744">
        <w:rPr>
          <w:sz w:val="24"/>
          <w:lang w:val="el-GR"/>
        </w:rPr>
        <w:t xml:space="preserve"> </w:t>
      </w:r>
      <w:r w:rsidR="00715744" w:rsidRPr="00715744">
        <w:rPr>
          <w:sz w:val="24"/>
          <w:lang w:val="el-GR"/>
        </w:rPr>
        <w:tab/>
      </w:r>
      <w:hyperlink r:id="rId1" w:history="1">
        <w:r w:rsidRPr="004A477A">
          <w:rPr>
            <w:rStyle w:val="Hyperlink"/>
            <w:sz w:val="24"/>
            <w:lang w:val="el-GR"/>
          </w:rPr>
          <w:t>https://ec.europa.eu/commission/presscorner/detail/el/IP_19_225</w:t>
        </w:r>
      </w:hyperlink>
      <w:r w:rsidRPr="00715744">
        <w:rPr>
          <w:sz w:val="24"/>
          <w:lang w:val="el-GR"/>
        </w:rPr>
        <w:t>.</w:t>
      </w:r>
    </w:p>
  </w:footnote>
  <w:footnote w:id="16">
    <w:p w:rsidR="00E82C4B" w:rsidRPr="00715744" w:rsidRDefault="00E82C4B" w:rsidP="004A477A">
      <w:pPr>
        <w:pStyle w:val="FootnoteText"/>
        <w:spacing w:line="240" w:lineRule="auto"/>
        <w:ind w:left="567" w:hanging="567"/>
        <w:rPr>
          <w:sz w:val="24"/>
          <w:lang w:val="el-GR"/>
        </w:rPr>
      </w:pPr>
      <w:r w:rsidRPr="00715744">
        <w:rPr>
          <w:rStyle w:val="FootnoteReference"/>
          <w:sz w:val="24"/>
          <w:lang w:val="el-GR"/>
        </w:rPr>
        <w:footnoteRef/>
      </w:r>
      <w:r w:rsidR="00715744" w:rsidRPr="00715744">
        <w:rPr>
          <w:sz w:val="24"/>
          <w:lang w:val="el-GR"/>
        </w:rPr>
        <w:t xml:space="preserve"> </w:t>
      </w:r>
      <w:r w:rsidR="00715744" w:rsidRPr="00715744">
        <w:rPr>
          <w:sz w:val="24"/>
          <w:lang w:val="el-GR"/>
        </w:rPr>
        <w:tab/>
      </w:r>
      <w:hyperlink r:id="rId2" w:history="1">
        <w:r w:rsidRPr="004A477A">
          <w:rPr>
            <w:rStyle w:val="Hyperlink"/>
            <w:sz w:val="24"/>
            <w:lang w:val="el-GR"/>
          </w:rPr>
          <w:t>https://ec.europa.eu/commission/presscorner/detail/el/ip_21_7025</w:t>
        </w:r>
      </w:hyperlink>
      <w:r w:rsidRPr="00715744">
        <w:rPr>
          <w:sz w:val="24"/>
          <w:lang w:val="el-GR"/>
        </w:rPr>
        <w:t>.</w:t>
      </w:r>
    </w:p>
  </w:footnote>
  <w:footnote w:id="17">
    <w:p w:rsidR="00E82C4B" w:rsidRPr="00715744" w:rsidRDefault="00E82C4B" w:rsidP="004A477A">
      <w:pPr>
        <w:pStyle w:val="FootnoteText"/>
        <w:spacing w:line="240" w:lineRule="auto"/>
        <w:ind w:left="567" w:hanging="567"/>
        <w:rPr>
          <w:sz w:val="24"/>
          <w:lang w:val="el-GR"/>
        </w:rPr>
      </w:pPr>
      <w:r w:rsidRPr="00715744">
        <w:rPr>
          <w:rStyle w:val="FootnoteReference"/>
          <w:sz w:val="24"/>
          <w:lang w:val="el-GR"/>
        </w:rPr>
        <w:footnoteRef/>
      </w:r>
      <w:r w:rsidR="00715744" w:rsidRPr="00715744">
        <w:rPr>
          <w:sz w:val="24"/>
          <w:lang w:val="el-GR"/>
        </w:rPr>
        <w:t xml:space="preserve"> </w:t>
      </w:r>
      <w:r w:rsidR="00715744" w:rsidRPr="00715744">
        <w:rPr>
          <w:sz w:val="24"/>
          <w:lang w:val="el-GR"/>
        </w:rPr>
        <w:tab/>
      </w:r>
      <w:r w:rsidRPr="004A477A">
        <w:rPr>
          <w:sz w:val="24"/>
          <w:lang w:val="el-GR"/>
        </w:rPr>
        <w:t>ΕΕ C 479 της 16.12.2022, σ. 89</w:t>
      </w:r>
      <w:r w:rsidRPr="00715744">
        <w:rPr>
          <w:sz w:val="24"/>
          <w:lang w:val="el-GR"/>
        </w:rPr>
        <w:t>.</w:t>
      </w:r>
    </w:p>
  </w:footnote>
  <w:footnote w:id="18">
    <w:p w:rsidR="00E82C4B" w:rsidRPr="00715744" w:rsidRDefault="00E82C4B" w:rsidP="004A477A">
      <w:pPr>
        <w:pStyle w:val="FootnoteText"/>
        <w:spacing w:line="240" w:lineRule="auto"/>
        <w:ind w:left="567" w:hanging="567"/>
        <w:rPr>
          <w:sz w:val="24"/>
          <w:lang w:val="el-GR"/>
        </w:rPr>
      </w:pPr>
      <w:r w:rsidRPr="00715744">
        <w:rPr>
          <w:rStyle w:val="FootnoteReference"/>
          <w:sz w:val="24"/>
          <w:lang w:val="el-GR"/>
        </w:rPr>
        <w:footnoteRef/>
      </w:r>
      <w:r w:rsidR="00715744" w:rsidRPr="00715744">
        <w:rPr>
          <w:sz w:val="24"/>
          <w:lang w:val="el-GR"/>
        </w:rPr>
        <w:t xml:space="preserve"> </w:t>
      </w:r>
      <w:r w:rsidR="00715744" w:rsidRPr="00715744">
        <w:rPr>
          <w:sz w:val="24"/>
          <w:lang w:val="el-GR"/>
        </w:rPr>
        <w:tab/>
      </w:r>
      <w:hyperlink r:id="rId3" w:history="1">
        <w:r w:rsidRPr="004A477A">
          <w:rPr>
            <w:rStyle w:val="Hyperlink"/>
            <w:sz w:val="24"/>
            <w:lang w:val="el-GR"/>
          </w:rPr>
          <w:t>https://ec.europa.eu/commission/presscorner/detail/el/ip_23_3328</w:t>
        </w:r>
      </w:hyperlink>
      <w:r w:rsidRPr="00715744">
        <w:rPr>
          <w:sz w:val="24"/>
          <w:lang w:val="el-GR"/>
        </w:rPr>
        <w:t>.</w:t>
      </w:r>
    </w:p>
  </w:footnote>
  <w:footnote w:id="19">
    <w:p w:rsidR="00E82C4B" w:rsidRPr="00715744" w:rsidRDefault="00E82C4B" w:rsidP="004A477A">
      <w:pPr>
        <w:pStyle w:val="FootnoteText"/>
        <w:spacing w:line="240" w:lineRule="auto"/>
        <w:ind w:left="567" w:hanging="567"/>
        <w:rPr>
          <w:sz w:val="24"/>
          <w:lang w:val="el-GR"/>
        </w:rPr>
      </w:pPr>
      <w:r w:rsidRPr="00715744">
        <w:rPr>
          <w:rStyle w:val="FootnoteReference"/>
          <w:sz w:val="24"/>
          <w:lang w:val="el-GR"/>
        </w:rPr>
        <w:footnoteRef/>
      </w:r>
      <w:r w:rsidR="00715744" w:rsidRPr="00715744">
        <w:rPr>
          <w:sz w:val="24"/>
          <w:lang w:val="el-GR"/>
        </w:rPr>
        <w:t xml:space="preserve"> </w:t>
      </w:r>
      <w:r w:rsidR="00715744" w:rsidRPr="00715744">
        <w:rPr>
          <w:sz w:val="24"/>
          <w:lang w:val="el-GR"/>
        </w:rPr>
        <w:tab/>
      </w:r>
      <w:r w:rsidRPr="004A477A">
        <w:rPr>
          <w:sz w:val="24"/>
          <w:lang w:val="el-GR"/>
        </w:rPr>
        <w:t>ΕΕ C 465 της 6.12.2022, σ. 109</w:t>
      </w:r>
      <w:r w:rsidRPr="00715744">
        <w:rPr>
          <w:sz w:val="24"/>
          <w:lang w:val="el-GR"/>
        </w:rPr>
        <w:t>.</w:t>
      </w:r>
    </w:p>
  </w:footnote>
  <w:footnote w:id="20">
    <w:p w:rsidR="00E82C4B" w:rsidRPr="00715744" w:rsidRDefault="00E82C4B" w:rsidP="004A477A">
      <w:pPr>
        <w:pStyle w:val="FootnoteText"/>
        <w:spacing w:line="240" w:lineRule="auto"/>
        <w:ind w:left="567" w:hanging="567"/>
        <w:rPr>
          <w:sz w:val="24"/>
          <w:lang w:val="el-GR"/>
        </w:rPr>
      </w:pPr>
      <w:r w:rsidRPr="00715744">
        <w:rPr>
          <w:rStyle w:val="FootnoteReference"/>
          <w:sz w:val="24"/>
          <w:lang w:val="el-GR"/>
        </w:rPr>
        <w:footnoteRef/>
      </w:r>
      <w:r w:rsidR="00715744" w:rsidRPr="00715744">
        <w:rPr>
          <w:sz w:val="24"/>
          <w:lang w:val="el-GR"/>
        </w:rPr>
        <w:t xml:space="preserve"> </w:t>
      </w:r>
      <w:r w:rsidR="00715744" w:rsidRPr="00715744">
        <w:rPr>
          <w:sz w:val="24"/>
          <w:lang w:val="el-GR"/>
        </w:rPr>
        <w:tab/>
      </w:r>
      <w:hyperlink r:id="rId4" w:history="1">
        <w:r w:rsidRPr="004A477A">
          <w:rPr>
            <w:rStyle w:val="Hyperlink"/>
            <w:sz w:val="24"/>
            <w:lang w:val="el-GR"/>
          </w:rPr>
          <w:t>https://taxation-customs.ec.europa.eu/taxation-1/economic-analysis-taxation/annual-report-taxation_en</w:t>
        </w:r>
      </w:hyperlink>
      <w:r w:rsidRPr="00715744">
        <w:rPr>
          <w:sz w:val="24"/>
          <w:lang w:val="el-GR"/>
        </w:rPr>
        <w:t>.</w:t>
      </w:r>
    </w:p>
  </w:footnote>
  <w:footnote w:id="21">
    <w:p w:rsidR="00E82C4B" w:rsidRPr="00715744" w:rsidRDefault="00E82C4B" w:rsidP="004A477A">
      <w:pPr>
        <w:pStyle w:val="FootnoteText"/>
        <w:spacing w:line="240" w:lineRule="auto"/>
        <w:ind w:left="567" w:hanging="567"/>
        <w:rPr>
          <w:sz w:val="24"/>
          <w:lang w:val="el-GR"/>
        </w:rPr>
      </w:pPr>
      <w:r w:rsidRPr="00715744">
        <w:rPr>
          <w:rStyle w:val="FootnoteReference"/>
          <w:sz w:val="24"/>
          <w:lang w:val="el-GR"/>
        </w:rPr>
        <w:footnoteRef/>
      </w:r>
      <w:r w:rsidR="00715744" w:rsidRPr="00715744">
        <w:rPr>
          <w:sz w:val="24"/>
          <w:lang w:val="el-GR"/>
        </w:rPr>
        <w:t xml:space="preserve"> </w:t>
      </w:r>
      <w:r w:rsidR="00715744" w:rsidRPr="00715744">
        <w:rPr>
          <w:sz w:val="24"/>
          <w:lang w:val="el-GR"/>
        </w:rPr>
        <w:tab/>
      </w:r>
      <w:r w:rsidRPr="004A477A">
        <w:rPr>
          <w:sz w:val="24"/>
          <w:lang w:val="el-GR"/>
        </w:rPr>
        <w:t>ΕΕ C 132 της 24.3.2022, σ. 167</w:t>
      </w:r>
      <w:r w:rsidRPr="00715744">
        <w:rPr>
          <w:sz w:val="24"/>
          <w:lang w:val="el-GR"/>
        </w:rPr>
        <w:t>.</w:t>
      </w:r>
    </w:p>
  </w:footnote>
  <w:footnote w:id="22">
    <w:p w:rsidR="00E82C4B" w:rsidRPr="00715744" w:rsidRDefault="00E82C4B" w:rsidP="004A477A">
      <w:pPr>
        <w:pStyle w:val="FootnoteText"/>
        <w:spacing w:line="240" w:lineRule="auto"/>
        <w:ind w:left="567" w:hanging="567"/>
        <w:rPr>
          <w:sz w:val="24"/>
          <w:lang w:val="el-GR"/>
        </w:rPr>
      </w:pPr>
      <w:r w:rsidRPr="00715744">
        <w:rPr>
          <w:rStyle w:val="FootnoteReference"/>
          <w:sz w:val="24"/>
          <w:lang w:val="el-GR"/>
        </w:rPr>
        <w:footnoteRef/>
      </w:r>
      <w:r w:rsidR="00715744" w:rsidRPr="00715744">
        <w:rPr>
          <w:sz w:val="24"/>
          <w:lang w:val="el-GR"/>
        </w:rPr>
        <w:t xml:space="preserve"> </w:t>
      </w:r>
      <w:r w:rsidR="00715744" w:rsidRPr="00715744">
        <w:rPr>
          <w:sz w:val="24"/>
          <w:lang w:val="el-GR"/>
        </w:rPr>
        <w:tab/>
      </w:r>
      <w:r w:rsidRPr="004A477A">
        <w:rPr>
          <w:sz w:val="24"/>
          <w:lang w:val="el-GR"/>
        </w:rPr>
        <w:t>ΕΕ C 342 της 6.9.2022, σ. 14</w:t>
      </w:r>
      <w:r w:rsidRPr="00715744">
        <w:rPr>
          <w:sz w:val="24"/>
          <w:lang w:val="el-GR"/>
        </w:rPr>
        <w:t>.</w:t>
      </w:r>
    </w:p>
  </w:footnote>
  <w:footnote w:id="23">
    <w:p w:rsidR="00E82C4B" w:rsidRPr="00715744" w:rsidRDefault="00E82C4B" w:rsidP="004A477A">
      <w:pPr>
        <w:pStyle w:val="FootnoteText"/>
        <w:spacing w:line="240" w:lineRule="auto"/>
        <w:ind w:left="567" w:hanging="567"/>
        <w:rPr>
          <w:sz w:val="24"/>
          <w:lang w:val="el-GR"/>
        </w:rPr>
      </w:pPr>
      <w:r w:rsidRPr="00715744">
        <w:rPr>
          <w:rStyle w:val="FootnoteReference"/>
          <w:sz w:val="24"/>
          <w:lang w:val="el-GR"/>
        </w:rPr>
        <w:footnoteRef/>
      </w:r>
      <w:r w:rsidR="00715744" w:rsidRPr="00715744">
        <w:rPr>
          <w:sz w:val="24"/>
          <w:lang w:val="el-GR"/>
        </w:rPr>
        <w:t xml:space="preserve"> </w:t>
      </w:r>
      <w:r w:rsidR="00715744" w:rsidRPr="00715744">
        <w:rPr>
          <w:sz w:val="24"/>
          <w:lang w:val="el-GR"/>
        </w:rPr>
        <w:tab/>
      </w:r>
      <w:r w:rsidRPr="004A477A">
        <w:rPr>
          <w:sz w:val="24"/>
          <w:lang w:val="el-GR"/>
        </w:rPr>
        <w:t>ΕΕ C 347 της 9.9.2022, σ. 211</w:t>
      </w:r>
      <w:r w:rsidRPr="00715744">
        <w:rPr>
          <w:sz w:val="24"/>
          <w:lang w:val="el-GR"/>
        </w:rPr>
        <w:t>.</w:t>
      </w:r>
    </w:p>
  </w:footnote>
  <w:footnote w:id="24">
    <w:p w:rsidR="00E82C4B" w:rsidRPr="00715744" w:rsidRDefault="00E82C4B" w:rsidP="004A477A">
      <w:pPr>
        <w:pStyle w:val="FootnoteText"/>
        <w:spacing w:line="240" w:lineRule="auto"/>
        <w:ind w:left="567" w:hanging="567"/>
        <w:rPr>
          <w:sz w:val="24"/>
          <w:lang w:val="el-GR"/>
        </w:rPr>
      </w:pPr>
      <w:r w:rsidRPr="00715744">
        <w:rPr>
          <w:rStyle w:val="FootnoteReference"/>
          <w:sz w:val="24"/>
          <w:lang w:val="el-GR"/>
        </w:rPr>
        <w:footnoteRef/>
      </w:r>
      <w:r w:rsidR="00715744" w:rsidRPr="00715744">
        <w:rPr>
          <w:sz w:val="24"/>
          <w:lang w:val="el-GR"/>
        </w:rPr>
        <w:t xml:space="preserve"> </w:t>
      </w:r>
      <w:r w:rsidR="00715744" w:rsidRPr="00715744">
        <w:rPr>
          <w:sz w:val="24"/>
          <w:lang w:val="el-GR"/>
        </w:rPr>
        <w:tab/>
      </w:r>
      <w:r w:rsidRPr="00715744">
        <w:rPr>
          <w:sz w:val="24"/>
          <w:lang w:val="el-GR"/>
        </w:rPr>
        <w:t xml:space="preserve">Ευρωπαϊκό Κοινοβούλιο, </w:t>
      </w:r>
      <w:hyperlink r:id="rId5" w:history="1">
        <w:r w:rsidRPr="00715744">
          <w:rPr>
            <w:rStyle w:val="Hyperlink"/>
            <w:i/>
            <w:sz w:val="24"/>
            <w:lang w:val="el-GR"/>
          </w:rPr>
          <w:t>Έκθεση σχετικά με ένα ευρωπαϊκό πλαίσιο για την παρακράτηση φόρου</w:t>
        </w:r>
      </w:hyperlink>
      <w:r w:rsidRPr="00715744">
        <w:rPr>
          <w:i/>
          <w:sz w:val="24"/>
          <w:lang w:val="el-GR"/>
        </w:rPr>
        <w:t xml:space="preserve">, </w:t>
      </w:r>
      <w:r w:rsidRPr="00715744">
        <w:rPr>
          <w:sz w:val="24"/>
          <w:lang w:val="el-GR"/>
        </w:rPr>
        <w:t xml:space="preserve">Φεβρουάριος 2022. </w:t>
      </w:r>
    </w:p>
  </w:footnote>
  <w:footnote w:id="25">
    <w:p w:rsidR="00E82C4B" w:rsidRPr="00715744" w:rsidRDefault="00E82C4B" w:rsidP="004A477A">
      <w:pPr>
        <w:pStyle w:val="FootnoteText"/>
        <w:spacing w:line="240" w:lineRule="auto"/>
        <w:ind w:left="567" w:hanging="567"/>
        <w:rPr>
          <w:sz w:val="24"/>
          <w:lang w:val="el-GR"/>
        </w:rPr>
      </w:pPr>
      <w:r w:rsidRPr="00715744">
        <w:rPr>
          <w:rStyle w:val="FootnoteReference"/>
          <w:sz w:val="24"/>
          <w:lang w:val="el-GR"/>
        </w:rPr>
        <w:footnoteRef/>
      </w:r>
      <w:r w:rsidR="00715744" w:rsidRPr="00715744">
        <w:rPr>
          <w:sz w:val="24"/>
          <w:lang w:val="el-GR"/>
        </w:rPr>
        <w:t xml:space="preserve"> </w:t>
      </w:r>
      <w:r w:rsidR="00715744" w:rsidRPr="00715744">
        <w:rPr>
          <w:sz w:val="24"/>
          <w:lang w:val="el-GR"/>
        </w:rPr>
        <w:tab/>
      </w:r>
      <w:r w:rsidRPr="004A477A">
        <w:rPr>
          <w:sz w:val="24"/>
          <w:lang w:val="el-GR"/>
        </w:rPr>
        <w:t>ΕΕ C 132 της 14.4.2023, σ. 15</w:t>
      </w:r>
      <w:r w:rsidRPr="00715744">
        <w:rPr>
          <w:sz w:val="24"/>
          <w:lang w:val="el-GR"/>
        </w:rPr>
        <w:t>.</w:t>
      </w:r>
    </w:p>
  </w:footnote>
  <w:footnote w:id="26">
    <w:p w:rsidR="00E82C4B" w:rsidRPr="00715744" w:rsidRDefault="00E82C4B" w:rsidP="004A477A">
      <w:pPr>
        <w:pStyle w:val="FootnoteText"/>
        <w:spacing w:line="240" w:lineRule="auto"/>
        <w:ind w:left="567" w:hanging="567"/>
        <w:rPr>
          <w:sz w:val="24"/>
          <w:lang w:val="el-GR"/>
        </w:rPr>
      </w:pPr>
      <w:r w:rsidRPr="00715744">
        <w:rPr>
          <w:rStyle w:val="FootnoteReference"/>
          <w:sz w:val="24"/>
          <w:lang w:val="el-GR"/>
        </w:rPr>
        <w:footnoteRef/>
      </w:r>
      <w:r w:rsidR="00715744" w:rsidRPr="00715744">
        <w:rPr>
          <w:sz w:val="24"/>
          <w:lang w:val="el-GR"/>
        </w:rPr>
        <w:t xml:space="preserve"> </w:t>
      </w:r>
      <w:r w:rsidR="00715744" w:rsidRPr="00715744">
        <w:rPr>
          <w:sz w:val="24"/>
          <w:lang w:val="el-GR"/>
        </w:rPr>
        <w:tab/>
      </w:r>
      <w:r w:rsidRPr="00715744">
        <w:rPr>
          <w:sz w:val="24"/>
          <w:lang w:val="el-GR"/>
        </w:rPr>
        <w:t>«Study on Structures of Aggressive Tax Planning and Indicators – Final Report» (Taxation paper No 61, 27 January 2016) [«Μελέτη σχετικά με δομές επιθετικού φορολογικού σχεδιασμού και σχετικούς δείκτες – Τελική έκθεση» (Έγγραφο για τη φορολογία αριθ. 61, 27 Ιανουαρίου 2016)], «The Impact of Tax Planning on Forward-Looking Effective Tax Rates» (Taxation paper No 64, 25 October 2016) [«Οι επιπτώσεις του φορολογικού σχεδιασμού στους μελλοντοστραφείς πραγματικούς φορολογικούς συντελεστές» (Έγγραφο για τη φορολογία αριθ. 64, 25 Οκτωβρίου 2016)] και «Aggressive tax planning indicators – Final Report» (Taxation paper No 71, 7 March 2018) [«Δείκτες επιθετικού φορολογικού σχεδιασμού – Τελική έκθεση» (Έγγραφο για τη φορολογία αριθ. 71, 7 Μαρτίου 2018)].</w:t>
      </w:r>
    </w:p>
  </w:footnote>
  <w:footnote w:id="27">
    <w:p w:rsidR="00E82C4B" w:rsidRPr="00715744" w:rsidRDefault="00E82C4B" w:rsidP="004A477A">
      <w:pPr>
        <w:pStyle w:val="FootnoteText"/>
        <w:spacing w:line="240" w:lineRule="auto"/>
        <w:ind w:left="567" w:hanging="567"/>
        <w:rPr>
          <w:sz w:val="24"/>
          <w:lang w:val="el-GR"/>
        </w:rPr>
      </w:pPr>
      <w:r w:rsidRPr="00715744">
        <w:rPr>
          <w:rStyle w:val="FootnoteReference"/>
          <w:sz w:val="24"/>
          <w:lang w:val="el-GR"/>
        </w:rPr>
        <w:footnoteRef/>
      </w:r>
      <w:r w:rsidR="00715744" w:rsidRPr="00715744">
        <w:rPr>
          <w:sz w:val="24"/>
          <w:lang w:val="el-GR"/>
        </w:rPr>
        <w:t xml:space="preserve"> </w:t>
      </w:r>
      <w:r w:rsidR="00715744" w:rsidRPr="00715744">
        <w:rPr>
          <w:sz w:val="24"/>
          <w:lang w:val="el-GR"/>
        </w:rPr>
        <w:tab/>
      </w:r>
      <w:r w:rsidRPr="00715744">
        <w:rPr>
          <w:sz w:val="24"/>
          <w:lang w:val="el-GR"/>
        </w:rPr>
        <w:t xml:space="preserve">Ευρωπαϊκή Επιτροπή, </w:t>
      </w:r>
      <w:r w:rsidRPr="00715744">
        <w:rPr>
          <w:i/>
          <w:iCs/>
          <w:sz w:val="24"/>
          <w:lang w:val="el-GR"/>
        </w:rPr>
        <w:t>Εκτίμηση επιπτώσεων που συνοδεύει το έγγραφο πρότασης οδηγίας του Συμβουλίου σχετικά με τη θέσπιση κανόνων για έκπτωση φόρου για τη μείωση της στρέβλωσης που προκαλείται από την ευνοϊκή μεταχείριση του χρέους έναντι του μετοχικού κεφαλαίου και για τον περιορισμό της δυνατότητας έκπτωσης τόκων για σκοπούς φόρου εισοδήματος εταιρειών</w:t>
      </w:r>
      <w:r w:rsidRPr="00715744">
        <w:rPr>
          <w:sz w:val="24"/>
          <w:lang w:val="el-GR"/>
        </w:rPr>
        <w:t xml:space="preserve"> (SWD(2022)0145). </w:t>
      </w:r>
    </w:p>
  </w:footnote>
  <w:footnote w:id="28">
    <w:p w:rsidR="00E82C4B" w:rsidRPr="00715744" w:rsidRDefault="00E82C4B" w:rsidP="004A477A">
      <w:pPr>
        <w:pStyle w:val="FootnoteText"/>
        <w:spacing w:line="240" w:lineRule="auto"/>
        <w:ind w:left="567" w:hanging="567"/>
        <w:rPr>
          <w:sz w:val="24"/>
          <w:lang w:val="el-GR"/>
        </w:rPr>
      </w:pPr>
      <w:r w:rsidRPr="00715744">
        <w:rPr>
          <w:rStyle w:val="FootnoteReference"/>
          <w:sz w:val="24"/>
          <w:lang w:val="el-GR"/>
        </w:rPr>
        <w:footnoteRef/>
      </w:r>
      <w:r w:rsidR="00715744" w:rsidRPr="00715744">
        <w:rPr>
          <w:sz w:val="24"/>
          <w:lang w:val="el-GR"/>
        </w:rPr>
        <w:t xml:space="preserve"> </w:t>
      </w:r>
      <w:r w:rsidR="00715744" w:rsidRPr="00715744">
        <w:rPr>
          <w:sz w:val="24"/>
          <w:lang w:val="el-GR"/>
        </w:rPr>
        <w:tab/>
      </w:r>
      <w:r w:rsidRPr="00715744">
        <w:rPr>
          <w:sz w:val="24"/>
          <w:lang w:val="el-GR"/>
        </w:rPr>
        <w:t xml:space="preserve">ΟΟΣΑ, </w:t>
      </w:r>
      <w:hyperlink r:id="rId6" w:history="1">
        <w:r w:rsidRPr="00715744">
          <w:rPr>
            <w:rStyle w:val="Hyperlink"/>
            <w:sz w:val="24"/>
            <w:lang w:val="el-GR"/>
          </w:rPr>
          <w:t>Επιθετικός φορολογικός σχεδιασμός</w:t>
        </w:r>
      </w:hyperlink>
      <w:r w:rsidRPr="00715744">
        <w:rPr>
          <w:sz w:val="24"/>
          <w:lang w:val="el-GR"/>
        </w:rPr>
        <w:t>.</w:t>
      </w:r>
    </w:p>
  </w:footnote>
  <w:footnote w:id="29">
    <w:p w:rsidR="00E82C4B" w:rsidRPr="00715744" w:rsidRDefault="00E82C4B" w:rsidP="004A477A">
      <w:pPr>
        <w:pStyle w:val="FootnoteText"/>
        <w:spacing w:line="240" w:lineRule="auto"/>
        <w:ind w:left="567" w:hanging="567"/>
        <w:rPr>
          <w:sz w:val="24"/>
          <w:lang w:val="el-GR"/>
        </w:rPr>
      </w:pPr>
      <w:r w:rsidRPr="00715744">
        <w:rPr>
          <w:rStyle w:val="FootnoteReference"/>
          <w:sz w:val="24"/>
          <w:lang w:val="el-GR"/>
        </w:rPr>
        <w:footnoteRef/>
      </w:r>
      <w:r w:rsidR="00715744" w:rsidRPr="00715744">
        <w:rPr>
          <w:sz w:val="24"/>
          <w:lang w:val="el-GR"/>
        </w:rPr>
        <w:t xml:space="preserve"> </w:t>
      </w:r>
      <w:r w:rsidR="00715744" w:rsidRPr="00715744">
        <w:rPr>
          <w:sz w:val="24"/>
          <w:lang w:val="el-GR"/>
        </w:rPr>
        <w:tab/>
      </w:r>
      <w:r w:rsidRPr="00715744">
        <w:rPr>
          <w:sz w:val="24"/>
          <w:lang w:val="el-GR"/>
        </w:rPr>
        <w:t>Βλ. ιδίως τις οδηγίες κατά της φοροαποφυγής (ATAD I και ATAD II), τις τροποποιήσεις της οδηγίας σχετικά με τη διοικητική συνεργασία στον τομέα της φορολογίας (DAC 1 έως DAC 7), την αναθεώρηση της οδηγίας για τις μητρικές και τις θυγατρικές εταιρείες, την οδηγία της ΕΕ για την επίλυση διαφορών, την οδηγία σχετικά με τη δημόσια υποβολή εκθέσεων ανά χώρα ή την οδηγία για τον δεύτερο πυλώνα.</w:t>
      </w:r>
    </w:p>
  </w:footnote>
  <w:footnote w:id="30">
    <w:p w:rsidR="00E82C4B" w:rsidRPr="00715744" w:rsidRDefault="00E82C4B" w:rsidP="004A477A">
      <w:pPr>
        <w:pStyle w:val="FootnoteText"/>
        <w:spacing w:line="240" w:lineRule="auto"/>
        <w:ind w:left="567" w:hanging="567"/>
        <w:rPr>
          <w:sz w:val="24"/>
          <w:lang w:val="el-GR"/>
        </w:rPr>
      </w:pPr>
      <w:r w:rsidRPr="00715744">
        <w:rPr>
          <w:rStyle w:val="FootnoteReference"/>
          <w:sz w:val="24"/>
          <w:lang w:val="el-GR"/>
        </w:rPr>
        <w:footnoteRef/>
      </w:r>
      <w:r w:rsidR="00715744" w:rsidRPr="00715744">
        <w:rPr>
          <w:sz w:val="24"/>
          <w:lang w:val="el-GR"/>
        </w:rPr>
        <w:t xml:space="preserve"> </w:t>
      </w:r>
      <w:r w:rsidR="00715744" w:rsidRPr="00715744">
        <w:rPr>
          <w:sz w:val="24"/>
          <w:lang w:val="el-GR"/>
        </w:rPr>
        <w:tab/>
      </w:r>
      <w:r w:rsidRPr="00715744">
        <w:rPr>
          <w:sz w:val="24"/>
          <w:lang w:val="el-GR"/>
        </w:rPr>
        <w:t xml:space="preserve">Κείμενα που εγκρίθηκαν, </w:t>
      </w:r>
      <w:r w:rsidRPr="007A4719">
        <w:rPr>
          <w:sz w:val="24"/>
          <w:lang w:val="el-GR"/>
        </w:rPr>
        <w:t>P8_TA(2018)0087</w:t>
      </w:r>
      <w:r w:rsidRPr="00715744">
        <w:rPr>
          <w:sz w:val="24"/>
          <w:lang w:val="el-GR"/>
        </w:rPr>
        <w:t>.</w:t>
      </w:r>
    </w:p>
  </w:footnote>
  <w:footnote w:id="31">
    <w:p w:rsidR="00E82C4B" w:rsidRPr="00715744" w:rsidRDefault="00E82C4B" w:rsidP="004A477A">
      <w:pPr>
        <w:pStyle w:val="FootnoteText"/>
        <w:spacing w:line="240" w:lineRule="auto"/>
        <w:ind w:left="567" w:hanging="567"/>
        <w:rPr>
          <w:sz w:val="24"/>
          <w:lang w:val="el-GR"/>
        </w:rPr>
      </w:pPr>
      <w:r w:rsidRPr="00715744">
        <w:rPr>
          <w:rStyle w:val="FootnoteReference"/>
          <w:sz w:val="24"/>
          <w:lang w:val="el-GR"/>
        </w:rPr>
        <w:footnoteRef/>
      </w:r>
      <w:r w:rsidR="00715744" w:rsidRPr="00715744">
        <w:rPr>
          <w:sz w:val="24"/>
          <w:lang w:val="el-GR"/>
        </w:rPr>
        <w:t xml:space="preserve"> </w:t>
      </w:r>
      <w:r w:rsidR="00715744" w:rsidRPr="00715744">
        <w:rPr>
          <w:sz w:val="24"/>
          <w:lang w:val="el-GR"/>
        </w:rPr>
        <w:tab/>
      </w:r>
      <w:r w:rsidRPr="007A4719">
        <w:rPr>
          <w:sz w:val="24"/>
          <w:lang w:val="el-GR"/>
        </w:rPr>
        <w:t>ΕΕ L 433</w:t>
      </w:r>
      <w:r w:rsidR="00993B91">
        <w:rPr>
          <w:sz w:val="24"/>
          <w:lang w:val="el-GR"/>
        </w:rPr>
        <w:t xml:space="preserve"> </w:t>
      </w:r>
      <w:bookmarkStart w:id="8" w:name="_GoBack"/>
      <w:bookmarkEnd w:id="8"/>
      <w:r w:rsidRPr="007A4719">
        <w:rPr>
          <w:sz w:val="24"/>
          <w:lang w:val="el-GR"/>
        </w:rPr>
        <w:t>I της 22.12.2020, σ. 28</w:t>
      </w:r>
      <w:r w:rsidRPr="00715744">
        <w:rPr>
          <w:sz w:val="24"/>
          <w:lang w:val="el-GR"/>
        </w:rPr>
        <w:t>.</w:t>
      </w:r>
    </w:p>
  </w:footnote>
  <w:footnote w:id="32">
    <w:p w:rsidR="00E82C4B" w:rsidRPr="00715744" w:rsidRDefault="00E82C4B" w:rsidP="004A477A">
      <w:pPr>
        <w:pStyle w:val="FootnoteText"/>
        <w:spacing w:line="240" w:lineRule="auto"/>
        <w:ind w:left="567" w:hanging="567"/>
        <w:rPr>
          <w:sz w:val="24"/>
          <w:lang w:val="el-GR"/>
        </w:rPr>
      </w:pPr>
      <w:r w:rsidRPr="00715744">
        <w:rPr>
          <w:rStyle w:val="FootnoteReference"/>
          <w:sz w:val="24"/>
          <w:lang w:val="el-GR"/>
        </w:rPr>
        <w:footnoteRef/>
      </w:r>
      <w:r w:rsidR="00715744" w:rsidRPr="00715744">
        <w:rPr>
          <w:sz w:val="24"/>
          <w:lang w:val="el-GR"/>
        </w:rPr>
        <w:t xml:space="preserve"> </w:t>
      </w:r>
      <w:r w:rsidR="00715744" w:rsidRPr="00715744">
        <w:rPr>
          <w:sz w:val="24"/>
          <w:lang w:val="el-GR"/>
        </w:rPr>
        <w:tab/>
      </w:r>
      <w:r w:rsidRPr="00715744">
        <w:rPr>
          <w:sz w:val="24"/>
          <w:lang w:val="el-GR"/>
        </w:rPr>
        <w:t>Κείμενα που εγκρίθηκαν, P9_TA(2023)0195.</w:t>
      </w:r>
    </w:p>
  </w:footnote>
  <w:footnote w:id="33">
    <w:p w:rsidR="00E82C4B" w:rsidRPr="00715744" w:rsidRDefault="00E82C4B" w:rsidP="004A477A">
      <w:pPr>
        <w:pStyle w:val="FootnoteText"/>
        <w:spacing w:line="240" w:lineRule="auto"/>
        <w:ind w:left="567" w:hanging="567"/>
        <w:rPr>
          <w:sz w:val="24"/>
          <w:lang w:val="el-GR"/>
        </w:rPr>
      </w:pPr>
      <w:r w:rsidRPr="00715744">
        <w:rPr>
          <w:rStyle w:val="FootnoteReference"/>
          <w:sz w:val="24"/>
          <w:lang w:val="el-GR"/>
        </w:rPr>
        <w:footnoteRef/>
      </w:r>
      <w:r w:rsidR="00715744" w:rsidRPr="00715744">
        <w:rPr>
          <w:sz w:val="24"/>
          <w:lang w:val="el-GR"/>
        </w:rPr>
        <w:t xml:space="preserve"> </w:t>
      </w:r>
      <w:r w:rsidR="00715744" w:rsidRPr="00715744">
        <w:rPr>
          <w:sz w:val="24"/>
          <w:lang w:val="el-GR"/>
        </w:rPr>
        <w:tab/>
      </w:r>
      <w:r w:rsidRPr="00715744">
        <w:rPr>
          <w:sz w:val="24"/>
          <w:lang w:val="el-GR"/>
        </w:rPr>
        <w:t xml:space="preserve">Κείμενα που εγκρίθηκαν, </w:t>
      </w:r>
      <w:r w:rsidRPr="007A4719">
        <w:rPr>
          <w:sz w:val="24"/>
          <w:lang w:val="el-GR"/>
        </w:rPr>
        <w:t>P9_TA(2023)0004</w:t>
      </w:r>
      <w:r w:rsidRPr="00715744">
        <w:rPr>
          <w:sz w:val="24"/>
          <w:lang w:val="el-GR"/>
        </w:rPr>
        <w:t>.</w:t>
      </w:r>
    </w:p>
  </w:footnote>
  <w:footnote w:id="34">
    <w:p w:rsidR="00E82C4B" w:rsidRPr="00715744" w:rsidRDefault="00E82C4B" w:rsidP="004A477A">
      <w:pPr>
        <w:pStyle w:val="FootnoteText"/>
        <w:spacing w:line="240" w:lineRule="auto"/>
        <w:ind w:left="567" w:hanging="567"/>
        <w:rPr>
          <w:sz w:val="24"/>
          <w:lang w:val="el-GR"/>
        </w:rPr>
      </w:pPr>
      <w:r w:rsidRPr="00715744">
        <w:rPr>
          <w:rStyle w:val="FootnoteReference"/>
          <w:sz w:val="24"/>
          <w:lang w:val="el-GR"/>
        </w:rPr>
        <w:footnoteRef/>
      </w:r>
      <w:r w:rsidR="00715744" w:rsidRPr="00715744">
        <w:rPr>
          <w:sz w:val="24"/>
          <w:lang w:val="el-GR"/>
        </w:rPr>
        <w:t xml:space="preserve"> </w:t>
      </w:r>
      <w:r w:rsidR="00715744" w:rsidRPr="00715744">
        <w:rPr>
          <w:sz w:val="24"/>
          <w:lang w:val="el-GR"/>
        </w:rPr>
        <w:tab/>
      </w:r>
      <w:r w:rsidRPr="00715744">
        <w:rPr>
          <w:sz w:val="24"/>
          <w:lang w:val="el-GR"/>
        </w:rPr>
        <w:t>Υποεπιτροπή για φορολογικά θέματα, ακρόαση με θέμα «Ο ρόλος των φορολογικών κινήτρων και εξαιρέσεων στο πλαίσιο της μεταρρύθμισης της φορολογίας εταιρειών και της προώθησης της ανταγωνιστικότητας των ευρωπαϊκών οικονομιών»</w:t>
      </w:r>
      <w:r w:rsidR="007A4719">
        <w:rPr>
          <w:sz w:val="24"/>
          <w:lang w:val="el-GR"/>
        </w:rPr>
        <w:t>,</w:t>
      </w:r>
      <w:r w:rsidRPr="00715744">
        <w:rPr>
          <w:sz w:val="24"/>
          <w:lang w:val="el-GR"/>
        </w:rPr>
        <w:t xml:space="preserve"> 11 Ιουλίου 2022.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1574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1574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1574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63190DA1"/>
    <w:multiLevelType w:val="hybridMultilevel"/>
    <w:tmpl w:val="14DEE6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F1D6B3C"/>
    <w:multiLevelType w:val="hybridMultilevel"/>
    <w:tmpl w:val="54140DE2"/>
    <w:lvl w:ilvl="0" w:tplc="2472A84C">
      <w:start w:val="1"/>
      <w:numFmt w:val="decimal"/>
      <w:lvlText w:val="%1."/>
      <w:lvlJc w:val="left"/>
      <w:pPr>
        <w:ind w:left="930" w:hanging="57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 w:numId="4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59/2023"/>
    <w:docVar w:name="dvlangue" w:val="EL"/>
    <w:docVar w:name="dvnumam" w:val="0"/>
    <w:docVar w:name="dvpe" w:val="736.738"/>
    <w:docVar w:name="dvrapporteur" w:val="Εισηγήτρια: "/>
    <w:docVar w:name="dvtitre" w:val="Ψήφισμα του Ευρωπαϊκού Κοινοβουλίου σχετικά με την περαιτέρω μεταρρύθμιση των κανόνων για τη φορολόγηση των εταιρειών(2022/2146(INI))"/>
  </w:docVars>
  <w:rsids>
    <w:rsidRoot w:val="00C83C56"/>
    <w:rsid w:val="00002272"/>
    <w:rsid w:val="00064002"/>
    <w:rsid w:val="000677B9"/>
    <w:rsid w:val="000831BA"/>
    <w:rsid w:val="000A42CC"/>
    <w:rsid w:val="000E4247"/>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A477A"/>
    <w:rsid w:val="004C0004"/>
    <w:rsid w:val="004C5D52"/>
    <w:rsid w:val="0050519A"/>
    <w:rsid w:val="005072A1"/>
    <w:rsid w:val="00514517"/>
    <w:rsid w:val="00545827"/>
    <w:rsid w:val="00560270"/>
    <w:rsid w:val="005C2568"/>
    <w:rsid w:val="00601211"/>
    <w:rsid w:val="006037C0"/>
    <w:rsid w:val="006631B6"/>
    <w:rsid w:val="00680577"/>
    <w:rsid w:val="006F74FA"/>
    <w:rsid w:val="00715744"/>
    <w:rsid w:val="00731ADD"/>
    <w:rsid w:val="00734777"/>
    <w:rsid w:val="00747932"/>
    <w:rsid w:val="00751A4A"/>
    <w:rsid w:val="00756632"/>
    <w:rsid w:val="00762C74"/>
    <w:rsid w:val="007777FA"/>
    <w:rsid w:val="00786EC0"/>
    <w:rsid w:val="007A4719"/>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3B91"/>
    <w:rsid w:val="00A1687D"/>
    <w:rsid w:val="00A43E52"/>
    <w:rsid w:val="00A4678D"/>
    <w:rsid w:val="00A778C7"/>
    <w:rsid w:val="00AB441E"/>
    <w:rsid w:val="00AB6293"/>
    <w:rsid w:val="00AE0928"/>
    <w:rsid w:val="00AF3B82"/>
    <w:rsid w:val="00B12E95"/>
    <w:rsid w:val="00B22876"/>
    <w:rsid w:val="00B558F0"/>
    <w:rsid w:val="00BD48FE"/>
    <w:rsid w:val="00BD6DDC"/>
    <w:rsid w:val="00BD7BD8"/>
    <w:rsid w:val="00BE6ADC"/>
    <w:rsid w:val="00C05BFE"/>
    <w:rsid w:val="00C23CD4"/>
    <w:rsid w:val="00C61C0C"/>
    <w:rsid w:val="00C83C56"/>
    <w:rsid w:val="00C941CB"/>
    <w:rsid w:val="00CC2357"/>
    <w:rsid w:val="00CF071A"/>
    <w:rsid w:val="00D058B8"/>
    <w:rsid w:val="00D56C11"/>
    <w:rsid w:val="00D834A0"/>
    <w:rsid w:val="00D872DF"/>
    <w:rsid w:val="00D91E21"/>
    <w:rsid w:val="00D92E34"/>
    <w:rsid w:val="00DA7FCD"/>
    <w:rsid w:val="00E365E1"/>
    <w:rsid w:val="00E820A4"/>
    <w:rsid w:val="00E82C4B"/>
    <w:rsid w:val="00EB006A"/>
    <w:rsid w:val="00EB4772"/>
    <w:rsid w:val="00ED169E"/>
    <w:rsid w:val="00ED4235"/>
    <w:rsid w:val="00F00D31"/>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0451C9"/>
  <w15:chartTrackingRefBased/>
  <w15:docId w15:val="{A0CD4531-2996-4875-B5C9-ADF87F030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Char Char2 Char Char Char Char Char Char Char Char Char Char Char Char Char Char Char Char Char1 Char Char Char Char Char Char,Char Char2 Char Char Char Char Char Char Char Char1 Char Char Char Char Char1 Char Char Char,fr"/>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E82C4B"/>
    <w:rPr>
      <w:b/>
      <w:kern w:val="28"/>
      <w:sz w:val="28"/>
      <w:lang w:val="fr-FR" w:eastAsia="fr-FR"/>
    </w:rPr>
  </w:style>
  <w:style w:type="paragraph" w:customStyle="1" w:styleId="NormalBold">
    <w:name w:val="NormalBold"/>
    <w:basedOn w:val="Normal"/>
    <w:rsid w:val="00E82C4B"/>
    <w:rPr>
      <w:b/>
    </w:rPr>
  </w:style>
  <w:style w:type="paragraph" w:customStyle="1" w:styleId="NormalHanging12a">
    <w:name w:val="NormalHanging12a"/>
    <w:basedOn w:val="Normal"/>
    <w:rsid w:val="00E82C4B"/>
    <w:pPr>
      <w:spacing w:after="240"/>
      <w:ind w:left="567" w:hanging="567"/>
    </w:pPr>
  </w:style>
  <w:style w:type="paragraph" w:customStyle="1" w:styleId="EPComma">
    <w:name w:val="EPComma"/>
    <w:basedOn w:val="Normal"/>
    <w:rsid w:val="00E82C4B"/>
    <w:pPr>
      <w:spacing w:before="480" w:after="240"/>
    </w:pPr>
  </w:style>
  <w:style w:type="character" w:customStyle="1" w:styleId="BoldItalic">
    <w:name w:val="BoldItalic"/>
    <w:basedOn w:val="DefaultParagraphFont"/>
    <w:uiPriority w:val="1"/>
    <w:qFormat/>
    <w:rsid w:val="00E82C4B"/>
    <w:rPr>
      <w:rFonts w:ascii="Times New Roman" w:hAnsi="Times New Roman" w:cs="Times New Roman" w:hint="default"/>
      <w:b/>
      <w:bCs w:val="0"/>
      <w:i/>
      <w:iCs w:val="0"/>
      <w:sz w:val="24"/>
    </w:rPr>
  </w:style>
  <w:style w:type="character" w:styleId="Hyperlink">
    <w:name w:val="Hyperlink"/>
    <w:basedOn w:val="DefaultParagraphFont"/>
    <w:uiPriority w:val="99"/>
    <w:rsid w:val="00E82C4B"/>
    <w:rPr>
      <w:color w:val="0563C1" w:themeColor="hyperlink"/>
      <w:u w:val="single"/>
    </w:rPr>
  </w:style>
  <w:style w:type="paragraph" w:styleId="ListParagraph">
    <w:name w:val="List Paragraph"/>
    <w:basedOn w:val="Normal"/>
    <w:uiPriority w:val="34"/>
    <w:qFormat/>
    <w:rsid w:val="007A4719"/>
    <w:pPr>
      <w:ind w:left="720"/>
      <w:contextualSpacing/>
    </w:pPr>
  </w:style>
  <w:style w:type="paragraph" w:styleId="BalloonText">
    <w:name w:val="Balloon Text"/>
    <w:basedOn w:val="Normal"/>
    <w:link w:val="BalloonTextChar"/>
    <w:rsid w:val="004A477A"/>
    <w:rPr>
      <w:rFonts w:ascii="Segoe UI" w:hAnsi="Segoe UI" w:cs="Segoe UI"/>
      <w:sz w:val="18"/>
      <w:szCs w:val="18"/>
    </w:rPr>
  </w:style>
  <w:style w:type="character" w:customStyle="1" w:styleId="BalloonTextChar">
    <w:name w:val="Balloon Text Char"/>
    <w:basedOn w:val="DefaultParagraphFont"/>
    <w:link w:val="BalloonText"/>
    <w:rsid w:val="004A477A"/>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commission/presscorner/detail/el/ip_23_3328" TargetMode="External"/><Relationship Id="rId2" Type="http://schemas.openxmlformats.org/officeDocument/2006/relationships/hyperlink" Target="https://ec.europa.eu/commission/presscorner/detail/el/ip_21_7025" TargetMode="External"/><Relationship Id="rId1" Type="http://schemas.openxmlformats.org/officeDocument/2006/relationships/hyperlink" Target="https://ec.europa.eu/commission/presscorner/detail/el/IP_19_225" TargetMode="External"/><Relationship Id="rId6" Type="http://schemas.openxmlformats.org/officeDocument/2006/relationships/hyperlink" Target="https://www.oecd.org/tax/aggressive/" TargetMode="External"/><Relationship Id="rId5" Type="http://schemas.openxmlformats.org/officeDocument/2006/relationships/hyperlink" Target="https://www.europarl.europa.eu/doceo/document/A-9-2022-0011_EL.html" TargetMode="External"/><Relationship Id="rId4" Type="http://schemas.openxmlformats.org/officeDocument/2006/relationships/hyperlink" Target="https://taxation-customs.ec.europa.eu/taxation-1/economic-analysis-taxation/annual-report-taxation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18A79C-2E70-46AD-8BAD-87F9A34ACF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7567</Words>
  <Characters>45465</Characters>
  <Application>Microsoft Office Word</Application>
  <DocSecurity>0</DocSecurity>
  <Lines>378</Lines>
  <Paragraphs>105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TSOBANOU Stella</cp:lastModifiedBy>
  <cp:revision>2</cp:revision>
  <cp:lastPrinted>2004-11-19T15:42:00Z</cp:lastPrinted>
  <dcterms:created xsi:type="dcterms:W3CDTF">2024-01-22T15:04:00Z</dcterms:created>
  <dcterms:modified xsi:type="dcterms:W3CDTF">2024-01-22T15:04:00Z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A9-0359/2023</vt:lpwstr>
  </property>
  <property fmtid="{D5CDD505-2E9C-101B-9397-08002B2CF9AE}" pid="4" name="&lt;Type&gt;">
    <vt:lpwstr>RR</vt:lpwstr>
  </property>
</Properties>
</file>