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46BB" w:rsidTr="0010095E">
        <w:trPr>
          <w:trHeight w:hRule="exact" w:val="1418"/>
        </w:trPr>
        <w:tc>
          <w:tcPr>
            <w:tcW w:w="6804" w:type="dxa"/>
            <w:shd w:val="clear" w:color="auto" w:fill="auto"/>
            <w:vAlign w:val="center"/>
          </w:tcPr>
          <w:p w:rsidR="00751A4A" w:rsidRPr="00CC46BB" w:rsidRDefault="002C72EA" w:rsidP="0010095E">
            <w:pPr>
              <w:pStyle w:val="EPName"/>
            </w:pPr>
            <w:r w:rsidRPr="00CC46BB">
              <w:t>Europski parlament</w:t>
            </w:r>
          </w:p>
          <w:p w:rsidR="00751A4A" w:rsidRPr="00CC46BB" w:rsidRDefault="00817416" w:rsidP="00756632">
            <w:pPr>
              <w:pStyle w:val="EPTerm"/>
              <w:rPr>
                <w:rStyle w:val="HideTWBExt"/>
                <w:noProof w:val="0"/>
                <w:vanish w:val="0"/>
                <w:color w:val="auto"/>
              </w:rPr>
            </w:pPr>
            <w:r w:rsidRPr="00CC46BB">
              <w:t>2019-2024</w:t>
            </w:r>
          </w:p>
        </w:tc>
        <w:tc>
          <w:tcPr>
            <w:tcW w:w="2268" w:type="dxa"/>
            <w:shd w:val="clear" w:color="auto" w:fill="auto"/>
          </w:tcPr>
          <w:p w:rsidR="00751A4A" w:rsidRPr="00CC46BB" w:rsidRDefault="00187494" w:rsidP="0010095E">
            <w:pPr>
              <w:pStyle w:val="EPLogo"/>
            </w:pPr>
            <w:r w:rsidRPr="00CC46BB">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C46BB" w:rsidRDefault="00D058B8" w:rsidP="004C5D52">
      <w:pPr>
        <w:pStyle w:val="LineTop"/>
      </w:pPr>
    </w:p>
    <w:p w:rsidR="00680577" w:rsidRPr="00CC46BB" w:rsidRDefault="002C72EA" w:rsidP="00680577">
      <w:pPr>
        <w:pStyle w:val="EPBodyTA1"/>
      </w:pPr>
      <w:r w:rsidRPr="00CC46BB">
        <w:t>USVOJENI TEKSTOVI</w:t>
      </w:r>
    </w:p>
    <w:p w:rsidR="00D058B8" w:rsidRPr="00CC46BB" w:rsidRDefault="00D058B8" w:rsidP="00D058B8">
      <w:pPr>
        <w:pStyle w:val="LineBottom"/>
      </w:pPr>
    </w:p>
    <w:p w:rsidR="002C72EA" w:rsidRPr="00CC46BB" w:rsidRDefault="002C72EA" w:rsidP="002C72EA">
      <w:pPr>
        <w:pStyle w:val="ATHeading1"/>
      </w:pPr>
      <w:bookmarkStart w:id="0" w:name="TANumber"/>
      <w:r w:rsidRPr="00CC46BB">
        <w:t>P9_TA(2023)0</w:t>
      </w:r>
      <w:r w:rsidR="00CC46BB" w:rsidRPr="00CC46BB">
        <w:t>46</w:t>
      </w:r>
      <w:bookmarkEnd w:id="0"/>
      <w:r w:rsidR="001F0964">
        <w:t>0</w:t>
      </w:r>
    </w:p>
    <w:p w:rsidR="002C72EA" w:rsidRPr="00CC46BB" w:rsidRDefault="002C72EA" w:rsidP="002C72EA">
      <w:pPr>
        <w:pStyle w:val="ATHeading2"/>
      </w:pPr>
      <w:bookmarkStart w:id="1" w:name="title"/>
      <w:r w:rsidRPr="00CC46BB">
        <w:t>Daljnja reforma pravila o oporezivanju trgovačkih društava</w:t>
      </w:r>
      <w:bookmarkEnd w:id="1"/>
    </w:p>
    <w:p w:rsidR="002C72EA" w:rsidRPr="00CC46BB" w:rsidRDefault="002C72EA" w:rsidP="002C72EA">
      <w:pPr>
        <w:rPr>
          <w:i/>
          <w:vanish/>
        </w:rPr>
      </w:pPr>
      <w:r w:rsidRPr="00CC46BB">
        <w:rPr>
          <w:i/>
        </w:rPr>
        <w:fldChar w:fldCharType="begin"/>
      </w:r>
      <w:r w:rsidRPr="00CC46BB">
        <w:rPr>
          <w:i/>
        </w:rPr>
        <w:instrText xml:space="preserve"> TC"(</w:instrText>
      </w:r>
      <w:bookmarkStart w:id="2" w:name="DocNumber"/>
      <w:r w:rsidRPr="00CC46BB">
        <w:rPr>
          <w:i/>
        </w:rPr>
        <w:instrText>A9-0359/2023</w:instrText>
      </w:r>
      <w:bookmarkEnd w:id="2"/>
      <w:r w:rsidRPr="00CC46BB">
        <w:rPr>
          <w:i/>
        </w:rPr>
        <w:instrText xml:space="preserve"> - Izvjestiteljica: </w:instrText>
      </w:r>
      <w:proofErr w:type="spellStart"/>
      <w:r w:rsidRPr="00CC46BB">
        <w:rPr>
          <w:i/>
        </w:rPr>
        <w:instrText>Isabel</w:instrText>
      </w:r>
      <w:proofErr w:type="spellEnd"/>
      <w:r w:rsidRPr="00CC46BB">
        <w:rPr>
          <w:i/>
        </w:rPr>
        <w:instrText xml:space="preserve"> </w:instrText>
      </w:r>
      <w:proofErr w:type="spellStart"/>
      <w:r w:rsidRPr="00CC46BB">
        <w:rPr>
          <w:i/>
        </w:rPr>
        <w:instrText>Benjumea</w:instrText>
      </w:r>
      <w:proofErr w:type="spellEnd"/>
      <w:r w:rsidRPr="00CC46BB">
        <w:rPr>
          <w:i/>
        </w:rPr>
        <w:instrText xml:space="preserve"> </w:instrText>
      </w:r>
      <w:proofErr w:type="spellStart"/>
      <w:r w:rsidRPr="00CC46BB">
        <w:rPr>
          <w:i/>
        </w:rPr>
        <w:instrText>Benjumea</w:instrText>
      </w:r>
      <w:proofErr w:type="spellEnd"/>
      <w:r w:rsidRPr="00CC46BB">
        <w:rPr>
          <w:i/>
        </w:rPr>
        <w:instrText xml:space="preserve">)"\l3 \n&gt; \* MERGEFORMAT </w:instrText>
      </w:r>
      <w:r w:rsidRPr="00CC46BB">
        <w:rPr>
          <w:i/>
        </w:rPr>
        <w:fldChar w:fldCharType="end"/>
      </w:r>
    </w:p>
    <w:p w:rsidR="002C72EA" w:rsidRPr="00CC46BB" w:rsidRDefault="002C72EA" w:rsidP="002C72EA">
      <w:pPr>
        <w:rPr>
          <w:vanish/>
        </w:rPr>
      </w:pPr>
      <w:bookmarkStart w:id="3" w:name="Commission"/>
      <w:r w:rsidRPr="00CC46BB">
        <w:rPr>
          <w:vanish/>
        </w:rPr>
        <w:t>Odbor za ekonomsku i monetarnu politiku</w:t>
      </w:r>
      <w:bookmarkEnd w:id="3"/>
    </w:p>
    <w:p w:rsidR="002C72EA" w:rsidRPr="00CC46BB" w:rsidRDefault="002C72EA" w:rsidP="002C72EA">
      <w:pPr>
        <w:rPr>
          <w:vanish/>
        </w:rPr>
      </w:pPr>
      <w:bookmarkStart w:id="4" w:name="PE"/>
      <w:r w:rsidRPr="00CC46BB">
        <w:rPr>
          <w:vanish/>
        </w:rPr>
        <w:t>PE736.738</w:t>
      </w:r>
      <w:bookmarkEnd w:id="4"/>
    </w:p>
    <w:p w:rsidR="002C72EA" w:rsidRPr="00CC46BB" w:rsidRDefault="002C72EA" w:rsidP="002C72EA">
      <w:pPr>
        <w:pStyle w:val="ATHeading3"/>
      </w:pPr>
      <w:bookmarkStart w:id="5" w:name="Sujet"/>
      <w:r w:rsidRPr="00CC46BB">
        <w:t>Rezolu</w:t>
      </w:r>
      <w:r w:rsidR="00E87689" w:rsidRPr="00CC46BB">
        <w:t>cija Europskog parlamenta od 12</w:t>
      </w:r>
      <w:r w:rsidRPr="00CC46BB">
        <w:t xml:space="preserve">. </w:t>
      </w:r>
      <w:r w:rsidR="00E87689" w:rsidRPr="00CC46BB">
        <w:t xml:space="preserve">prosinca </w:t>
      </w:r>
      <w:r w:rsidRPr="00CC46BB">
        <w:t>2023. o daljnjoj reformi pravila o oporezivanju trgovačkih društava</w:t>
      </w:r>
      <w:bookmarkEnd w:id="5"/>
      <w:r w:rsidRPr="00CC46BB">
        <w:t xml:space="preserve"> </w:t>
      </w:r>
      <w:bookmarkStart w:id="6" w:name="References"/>
      <w:r w:rsidRPr="00CC46BB">
        <w:t>(2022/2146(INI))</w:t>
      </w:r>
      <w:bookmarkEnd w:id="6"/>
    </w:p>
    <w:p w:rsidR="00E4782E" w:rsidRPr="00CC46BB" w:rsidRDefault="00E4782E" w:rsidP="00E4782E">
      <w:pPr>
        <w:pStyle w:val="EPComma"/>
      </w:pPr>
      <w:bookmarkStart w:id="7" w:name="TextBodyBegin"/>
      <w:bookmarkEnd w:id="7"/>
      <w:r w:rsidRPr="00CC46BB">
        <w:rPr>
          <w:i/>
        </w:rPr>
        <w:t>Europski parlament</w:t>
      </w:r>
      <w:r w:rsidRPr="00CC46BB">
        <w:t>,</w:t>
      </w:r>
    </w:p>
    <w:p w:rsidR="00E4782E" w:rsidRPr="00CC46BB" w:rsidRDefault="00E4782E" w:rsidP="00E4782E">
      <w:pPr>
        <w:pStyle w:val="NormalHanging12a"/>
      </w:pPr>
      <w:r w:rsidRPr="00CC46BB">
        <w:t>–</w:t>
      </w:r>
      <w:r w:rsidRPr="00CC46BB">
        <w:tab/>
        <w:t>uzimajući u obzir Direktivu Vijeća 2003/49/EZ od 3. lipnja 2003. o zajedničkom sustavu oporezivanja isplate kamata i licencije između povezanih trgovačkih društava različitih država članica</w:t>
      </w:r>
      <w:r w:rsidRPr="00CC46BB">
        <w:rPr>
          <w:rStyle w:val="FootnoteReference"/>
        </w:rPr>
        <w:footnoteReference w:id="1"/>
      </w:r>
      <w:r w:rsidRPr="00CC46BB">
        <w:t xml:space="preserve"> (Direktiva o kamatama i licencijama),</w:t>
      </w:r>
    </w:p>
    <w:p w:rsidR="00E4782E" w:rsidRPr="00CC46BB" w:rsidRDefault="00E4782E" w:rsidP="00E4782E">
      <w:pPr>
        <w:pStyle w:val="NormalHanging12a"/>
      </w:pPr>
      <w:r w:rsidRPr="00CC46BB">
        <w:t>–</w:t>
      </w:r>
      <w:r w:rsidRPr="00CC46BB">
        <w:tab/>
        <w:t>uzimajući u obzir Direktivu Vijeća 2011/96/EU od 30. studenoga 2011. o zajedničkom sustavu oporezivanja koji se primjenjuje na matična društva i društva kćeri iz različitih država članica</w:t>
      </w:r>
      <w:r w:rsidRPr="00CC46BB">
        <w:rPr>
          <w:rStyle w:val="FootnoteReference"/>
        </w:rPr>
        <w:footnoteReference w:id="2"/>
      </w:r>
      <w:r w:rsidRPr="00CC46BB">
        <w:t xml:space="preserve"> (Direktiva o matičnim društvima i društvima kćerima),</w:t>
      </w:r>
    </w:p>
    <w:p w:rsidR="00E4782E" w:rsidRPr="00CC46BB" w:rsidRDefault="00E4782E" w:rsidP="00E4782E">
      <w:pPr>
        <w:pStyle w:val="NormalHanging12a"/>
      </w:pPr>
      <w:r w:rsidRPr="00CC46BB">
        <w:t>–</w:t>
      </w:r>
      <w:r w:rsidRPr="00CC46BB">
        <w:tab/>
        <w:t>uzimajući u obzir Direktivu Vijeća (EU) 2016/1164 od 12. srpnja 2016. o utvrđivanju pravila protiv praksi izbjegavanja poreza kojima se izravno utječe na funkcioniranje unutarnjeg tržišta</w:t>
      </w:r>
      <w:r w:rsidRPr="00CC46BB">
        <w:rPr>
          <w:rStyle w:val="FootnoteReference"/>
        </w:rPr>
        <w:footnoteReference w:id="3"/>
      </w:r>
      <w:r w:rsidRPr="00CC46BB">
        <w:t xml:space="preserve"> (Direktiva o suzbijanju izbjegavanja poreza I.) i Direktive Vijeća (EU) 2017/952 od 29. svibnja 2017. o izmjeni Direktive (EU) 2016/1164 u pogledu hibridnih neusklađenosti s trećim zemljama</w:t>
      </w:r>
      <w:r w:rsidRPr="00CC46BB">
        <w:rPr>
          <w:rStyle w:val="FootnoteReference"/>
        </w:rPr>
        <w:footnoteReference w:id="4"/>
      </w:r>
      <w:r w:rsidRPr="00CC46BB">
        <w:t xml:space="preserve"> (Direktiva o suzbijanju izbjegavanja poreza II.),</w:t>
      </w:r>
    </w:p>
    <w:p w:rsidR="00E4782E" w:rsidRPr="00CC46BB" w:rsidRDefault="00E4782E" w:rsidP="00E4782E">
      <w:pPr>
        <w:pStyle w:val="NormalHanging12a"/>
      </w:pPr>
      <w:r w:rsidRPr="00CC46BB">
        <w:t>–</w:t>
      </w:r>
      <w:r w:rsidRPr="00CC46BB">
        <w:tab/>
        <w:t>uzimajući u obzir Direktivu Vijeća 2011/16/EU od 15. veljače 2011. o administrativnoj suradnji u području oporezivanja i stavljanju izvan snage Direktive 77/799/EEZ</w:t>
      </w:r>
      <w:r w:rsidRPr="00CC46BB">
        <w:rPr>
          <w:rStyle w:val="FootnoteReference"/>
        </w:rPr>
        <w:footnoteReference w:id="5"/>
      </w:r>
      <w:r w:rsidRPr="00CC46BB">
        <w:t xml:space="preserve"> (Direktiva o administrativnoj suradnji u području oporezivanja ili DAC 1), Direktivu Vijeća 2014/107/EU od 9. prosinca 2014. o izmjeni Direktive 2011/16/EU u pogledu obvezne automatske razmjene informacija u području oporezivanja</w:t>
      </w:r>
      <w:r w:rsidRPr="00CC46BB">
        <w:rPr>
          <w:rStyle w:val="FootnoteReference"/>
        </w:rPr>
        <w:footnoteReference w:id="6"/>
      </w:r>
      <w:r w:rsidRPr="00CC46BB">
        <w:t xml:space="preserve"> (DAC 2), Direktivu Vijeća (EU) 2015/2376 od 8. prosinca 2015. o izmjeni Direktive 2011/16/EU u pogledu </w:t>
      </w:r>
      <w:r w:rsidRPr="00CC46BB">
        <w:lastRenderedPageBreak/>
        <w:t>obvezne automatske razmjene informacija u području oporezivanja</w:t>
      </w:r>
      <w:r w:rsidRPr="00CC46BB">
        <w:rPr>
          <w:rStyle w:val="FootnoteReference"/>
        </w:rPr>
        <w:footnoteReference w:id="7"/>
      </w:r>
      <w:r w:rsidRPr="00CC46BB">
        <w:t xml:space="preserve"> (DAC 3), Direktivu Vijeća (EU) 2016/881 od 25. svibnja 2016. o izmjeni Direktive 2011/16/EU u pogledu obvezne automatske razmjene informacija u području oporezivanja</w:t>
      </w:r>
      <w:r w:rsidRPr="00CC46BB">
        <w:rPr>
          <w:rStyle w:val="FootnoteReference"/>
        </w:rPr>
        <w:footnoteReference w:id="8"/>
      </w:r>
      <w:r w:rsidRPr="00CC46BB">
        <w:t xml:space="preserve"> (DAC 4), Direktivu Vijeća (EU) 2016/2258 od 6. prosinca 2016. o izmjeni Direktive 2011/16/EU u pogledu pristupa poreznih tijela informacijama o sprečavanju pranja novca</w:t>
      </w:r>
      <w:r w:rsidRPr="00CC46BB">
        <w:rPr>
          <w:rStyle w:val="FootnoteReference"/>
        </w:rPr>
        <w:footnoteReference w:id="9"/>
      </w:r>
      <w:r w:rsidRPr="00CC46BB">
        <w:t xml:space="preserve"> (DAC 5), Direktivu Vijeća (EU) 2018/822 od 25. svibnja 2018. o izmjeni Direktive 2011/16/EU u pogledu obvezne automatske razmjene informacija u području oporezivanja u odnosu na prekogranične aranžmane o kojima se izvješćuje</w:t>
      </w:r>
      <w:r w:rsidRPr="00CC46BB">
        <w:rPr>
          <w:rStyle w:val="FootnoteReference"/>
        </w:rPr>
        <w:footnoteReference w:id="10"/>
      </w:r>
      <w:r w:rsidRPr="00CC46BB">
        <w:t xml:space="preserve"> (DAC 6) i Direktivu Vijeća (EU) 2021/514 od 22. ožujka 2021. o izmjeni Direktive 2011/16/EU o administrativnoj suradnji u području oporezivanja</w:t>
      </w:r>
      <w:r w:rsidRPr="00CC46BB">
        <w:rPr>
          <w:rStyle w:val="FootnoteReference"/>
        </w:rPr>
        <w:footnoteReference w:id="11"/>
      </w:r>
      <w:r w:rsidRPr="00CC46BB">
        <w:t xml:space="preserve"> (DAC 7),</w:t>
      </w:r>
    </w:p>
    <w:p w:rsidR="00E4782E" w:rsidRPr="00CC46BB" w:rsidRDefault="00E4782E" w:rsidP="00E4782E">
      <w:pPr>
        <w:pStyle w:val="NormalHanging12a"/>
      </w:pPr>
      <w:r w:rsidRPr="00CC46BB">
        <w:t>–</w:t>
      </w:r>
      <w:r w:rsidRPr="00CC46BB">
        <w:tab/>
        <w:t>uzimajući u obzir Direktivu Vijeća (EU) 2017/1852 od 10. listopada 2017. o mehanizmima rješavanja poreznih sporova u Europskoj uniji</w:t>
      </w:r>
      <w:r w:rsidRPr="00CC46BB">
        <w:rPr>
          <w:rStyle w:val="FootnoteReference"/>
        </w:rPr>
        <w:footnoteReference w:id="12"/>
      </w:r>
      <w:r w:rsidRPr="00CC46BB">
        <w:t xml:space="preserve"> (Direktiva o rješavanju sporova u EU-u),</w:t>
      </w:r>
    </w:p>
    <w:p w:rsidR="00E4782E" w:rsidRPr="00CC46BB" w:rsidRDefault="00E4782E" w:rsidP="00E4782E">
      <w:pPr>
        <w:pStyle w:val="NormalHanging12a"/>
      </w:pPr>
      <w:r w:rsidRPr="00CC46BB">
        <w:t>–</w:t>
      </w:r>
      <w:r w:rsidRPr="00CC46BB">
        <w:tab/>
        <w:t>uzimajući u obzir Direktivu (EU) 2021/2101 Europskog parlamenta i Vijeća od 24. studenoga 2021. o izmjeni Direktive 2013/34/EU u pogledu objavljivanja informacija o porezu na dobit koje provode određena poduzeća i podružnice</w:t>
      </w:r>
      <w:r w:rsidRPr="00CC46BB">
        <w:rPr>
          <w:rStyle w:val="FootnoteReference"/>
        </w:rPr>
        <w:footnoteReference w:id="13"/>
      </w:r>
      <w:r w:rsidRPr="00CC46BB">
        <w:t xml:space="preserve"> (Direktiva o javnom izvješćivanju po zemljama),</w:t>
      </w:r>
    </w:p>
    <w:p w:rsidR="00E4782E" w:rsidRPr="00CC46BB" w:rsidRDefault="00E4782E" w:rsidP="00E4782E">
      <w:pPr>
        <w:pStyle w:val="NormalHanging12a"/>
      </w:pPr>
      <w:r w:rsidRPr="00CC46BB">
        <w:t>–</w:t>
      </w:r>
      <w:r w:rsidRPr="00CC46BB">
        <w:tab/>
        <w:t>uzimajući u obzir Direktivu Vijeća (EU) 2022/2523 od 14. prosinca 2022. o osiguravanju globalne minimalne razine oporezivanja za skupine multinacionalnih poduzeća i velike domaće skupine u Uniji</w:t>
      </w:r>
      <w:r w:rsidRPr="00CC46BB">
        <w:rPr>
          <w:rStyle w:val="FootnoteReference"/>
        </w:rPr>
        <w:footnoteReference w:id="14"/>
      </w:r>
      <w:r w:rsidRPr="00CC46BB">
        <w:t xml:space="preserve"> (Direktiva o drugom stupu),</w:t>
      </w:r>
    </w:p>
    <w:p w:rsidR="00E4782E" w:rsidRPr="00CC46BB" w:rsidRDefault="00E4782E" w:rsidP="00E4782E">
      <w:pPr>
        <w:pStyle w:val="NormalHanging12a"/>
      </w:pPr>
      <w:r w:rsidRPr="00CC46BB">
        <w:t>–</w:t>
      </w:r>
      <w:r w:rsidRPr="00CC46BB">
        <w:tab/>
        <w:t>uzimajući u obzir prijedloge Komisije koji su u postupku usvajanja, posebno o zajedničkoj osnovici poreza na dobit (COM(2016)0685), o zajedničkoj konsolidiranoj osnovici poreza na dobit (COM(2016)0683) i paketu o digitalnom oporezivanju (COM(2018)0147 i COM(2018)0148), kao i stajališta Parlamenta o tim prijedlozima,</w:t>
      </w:r>
    </w:p>
    <w:p w:rsidR="00E4782E" w:rsidRPr="00CC46BB" w:rsidRDefault="00E4782E" w:rsidP="00E4782E">
      <w:pPr>
        <w:widowControl/>
        <w:spacing w:after="240"/>
        <w:ind w:left="567" w:hanging="567"/>
      </w:pPr>
      <w:r w:rsidRPr="00CC46BB">
        <w:t>–</w:t>
      </w:r>
      <w:r w:rsidRPr="00CC46BB">
        <w:tab/>
        <w:t>uzimajući u obzir komunikaciju Komisije od 15. siječnja 2019. naslovljenu „Prema učinkovitijem i demokratskijem odlučivanju o poreznoj politici EU-a”</w:t>
      </w:r>
      <w:r w:rsidRPr="00CC46BB">
        <w:rPr>
          <w:rStyle w:val="FootnoteReference"/>
        </w:rPr>
        <w:footnoteReference w:id="15"/>
      </w:r>
      <w:r w:rsidRPr="00CC46BB">
        <w:t>,</w:t>
      </w:r>
    </w:p>
    <w:p w:rsidR="00E4782E" w:rsidRPr="00CC46BB" w:rsidRDefault="00E4782E" w:rsidP="00E4782E">
      <w:pPr>
        <w:pStyle w:val="NormalHanging12a"/>
      </w:pPr>
      <w:r w:rsidRPr="00CC46BB">
        <w:t>–</w:t>
      </w:r>
      <w:r w:rsidRPr="00CC46BB">
        <w:tab/>
        <w:t>uzimajući u obzir komunikaciju Komisije od 15. srpnja 2020. naslovljenu „Akcijski plan za pravedno i jednostavno oporezivanje kojim se podupire strategija oporavka” (COM(2020)0312),</w:t>
      </w:r>
    </w:p>
    <w:p w:rsidR="00E4782E" w:rsidRPr="00CC46BB" w:rsidRDefault="00E4782E" w:rsidP="00E4782E">
      <w:pPr>
        <w:pStyle w:val="NormalHanging12a"/>
      </w:pPr>
      <w:r w:rsidRPr="00CC46BB">
        <w:t>–</w:t>
      </w:r>
      <w:r w:rsidRPr="00CC46BB">
        <w:tab/>
        <w:t>uzimajući u obzir komunikaciju Komisije od 18. svibnja 2021. naslovljenu „Oporezivanje poslovanja za 21. stoljeće” (COM(2021)0251),</w:t>
      </w:r>
    </w:p>
    <w:p w:rsidR="00E4782E" w:rsidRPr="00CC46BB" w:rsidRDefault="00E4782E" w:rsidP="00E4782E">
      <w:pPr>
        <w:pStyle w:val="NormalHanging12a"/>
      </w:pPr>
      <w:r w:rsidRPr="00CC46BB">
        <w:t>–</w:t>
      </w:r>
      <w:r w:rsidRPr="00CC46BB">
        <w:rPr>
          <w:b/>
          <w:i/>
        </w:rPr>
        <w:tab/>
      </w:r>
      <w:r w:rsidRPr="00CC46BB">
        <w:t xml:space="preserve">uzimajući u obzir komunikaciju Komisije od 22. prosinca 2021. naslovljenu: „Sljedeća </w:t>
      </w:r>
      <w:r w:rsidRPr="00CC46BB">
        <w:lastRenderedPageBreak/>
        <w:t>generacija vlastitih sredstava EU-a”</w:t>
      </w:r>
      <w:r w:rsidRPr="00CC46BB">
        <w:rPr>
          <w:rStyle w:val="FootnoteReference"/>
        </w:rPr>
        <w:footnoteReference w:id="16"/>
      </w:r>
      <w:r w:rsidRPr="00CC46BB">
        <w:t>,</w:t>
      </w:r>
    </w:p>
    <w:p w:rsidR="00E4782E" w:rsidRPr="00CC46BB" w:rsidRDefault="00E4782E" w:rsidP="00E4782E">
      <w:pPr>
        <w:pStyle w:val="NormalHanging12a"/>
      </w:pPr>
      <w:r w:rsidRPr="00CC46BB">
        <w:t>–</w:t>
      </w:r>
      <w:r w:rsidRPr="00CC46BB">
        <w:tab/>
        <w:t>uzimajući u obzir Komisijin Prijedlog direktive Vijeća o osiguravanju globalne minimalne razine oporezivanja za multinacionalne skupine u Uniji (COM(2021)0823) od 22. prosinca 2021., kao i stajalište Parlamenta o tom prijedlogu</w:t>
      </w:r>
      <w:r w:rsidRPr="00CC46BB">
        <w:rPr>
          <w:rStyle w:val="FootnoteReference"/>
        </w:rPr>
        <w:footnoteReference w:id="17"/>
      </w:r>
      <w:r w:rsidRPr="00CC46BB">
        <w:t>,</w:t>
      </w:r>
    </w:p>
    <w:p w:rsidR="00E4782E" w:rsidRPr="00CC46BB" w:rsidRDefault="00E4782E" w:rsidP="00E4782E">
      <w:pPr>
        <w:widowControl/>
        <w:spacing w:after="240"/>
        <w:ind w:left="567" w:hanging="567"/>
        <w:rPr>
          <w:vertAlign w:val="superscript"/>
        </w:rPr>
      </w:pPr>
      <w:r w:rsidRPr="00CC46BB">
        <w:t>–</w:t>
      </w:r>
      <w:r w:rsidRPr="00CC46BB">
        <w:tab/>
        <w:t>uzimajući u obzir komunikaciju Komisije od 20. lipnja 2023. naslovljenu „Prilagođeni paket za sljedeću generaciju vlastitih sredstava”</w:t>
      </w:r>
      <w:r w:rsidRPr="00CC46BB">
        <w:rPr>
          <w:rStyle w:val="FootnoteReference"/>
        </w:rPr>
        <w:footnoteReference w:id="18"/>
      </w:r>
      <w:r w:rsidRPr="00CC46BB">
        <w:t>,</w:t>
      </w:r>
    </w:p>
    <w:p w:rsidR="00E4782E" w:rsidRPr="00CC46BB" w:rsidRDefault="00E4782E" w:rsidP="00E4782E">
      <w:pPr>
        <w:pStyle w:val="NormalHanging12a"/>
      </w:pPr>
      <w:r w:rsidRPr="00CC46BB">
        <w:t>–</w:t>
      </w:r>
      <w:r w:rsidRPr="00CC46BB">
        <w:tab/>
        <w:t>uzimajući u obzir zaključke Vijeća za ekonomske i financijske poslove od 6. prosinca 2022.,</w:t>
      </w:r>
    </w:p>
    <w:p w:rsidR="00E4782E" w:rsidRPr="00CC46BB" w:rsidRDefault="00E4782E" w:rsidP="00E4782E">
      <w:pPr>
        <w:pStyle w:val="NormalHanging12a"/>
      </w:pPr>
      <w:r w:rsidRPr="00CC46BB">
        <w:t>–</w:t>
      </w:r>
      <w:r w:rsidRPr="00CC46BB">
        <w:tab/>
        <w:t>uzimajući u obzir studiju Komisije iz siječnja 2022. naslovljenu „</w:t>
      </w:r>
      <w:proofErr w:type="spellStart"/>
      <w:r w:rsidRPr="00CC46BB">
        <w:t>Tax</w:t>
      </w:r>
      <w:proofErr w:type="spellEnd"/>
      <w:r w:rsidRPr="00CC46BB">
        <w:t xml:space="preserve"> </w:t>
      </w:r>
      <w:proofErr w:type="spellStart"/>
      <w:r w:rsidRPr="00CC46BB">
        <w:t>compliance</w:t>
      </w:r>
      <w:proofErr w:type="spellEnd"/>
      <w:r w:rsidRPr="00CC46BB">
        <w:t xml:space="preserve"> </w:t>
      </w:r>
      <w:proofErr w:type="spellStart"/>
      <w:r w:rsidRPr="00CC46BB">
        <w:t>costs</w:t>
      </w:r>
      <w:proofErr w:type="spellEnd"/>
      <w:r w:rsidRPr="00CC46BB">
        <w:t xml:space="preserve"> for </w:t>
      </w:r>
      <w:proofErr w:type="spellStart"/>
      <w:r w:rsidRPr="00CC46BB">
        <w:t>SMEs</w:t>
      </w:r>
      <w:proofErr w:type="spellEnd"/>
      <w:r w:rsidRPr="00CC46BB">
        <w:t> – </w:t>
      </w:r>
      <w:proofErr w:type="spellStart"/>
      <w:r w:rsidRPr="00CC46BB">
        <w:t>An</w:t>
      </w:r>
      <w:proofErr w:type="spellEnd"/>
      <w:r w:rsidRPr="00CC46BB">
        <w:t xml:space="preserve"> </w:t>
      </w:r>
      <w:proofErr w:type="spellStart"/>
      <w:r w:rsidRPr="00CC46BB">
        <w:t>update</w:t>
      </w:r>
      <w:proofErr w:type="spellEnd"/>
      <w:r w:rsidRPr="00CC46BB">
        <w:t xml:space="preserve"> </w:t>
      </w:r>
      <w:proofErr w:type="spellStart"/>
      <w:r w:rsidRPr="00CC46BB">
        <w:t>and</w:t>
      </w:r>
      <w:proofErr w:type="spellEnd"/>
      <w:r w:rsidRPr="00CC46BB">
        <w:t xml:space="preserve"> a </w:t>
      </w:r>
      <w:proofErr w:type="spellStart"/>
      <w:r w:rsidRPr="00CC46BB">
        <w:t>complement</w:t>
      </w:r>
      <w:proofErr w:type="spellEnd"/>
      <w:r w:rsidRPr="00CC46BB">
        <w:t xml:space="preserve">: </w:t>
      </w:r>
      <w:proofErr w:type="spellStart"/>
      <w:r w:rsidRPr="00CC46BB">
        <w:t>final</w:t>
      </w:r>
      <w:proofErr w:type="spellEnd"/>
      <w:r w:rsidRPr="00CC46BB">
        <w:t xml:space="preserve"> </w:t>
      </w:r>
      <w:proofErr w:type="spellStart"/>
      <w:r w:rsidRPr="00CC46BB">
        <w:t>report</w:t>
      </w:r>
      <w:proofErr w:type="spellEnd"/>
      <w:r w:rsidRPr="00CC46BB">
        <w:t>” („Troškovi ispunjavanja poreznih obveza za mala i srednja poduzeća – ažurirano i dopunjeno završno izvješće”),</w:t>
      </w:r>
    </w:p>
    <w:p w:rsidR="00E4782E" w:rsidRPr="00CC46BB" w:rsidRDefault="00E4782E" w:rsidP="00E4782E">
      <w:pPr>
        <w:pStyle w:val="NormalHanging12a"/>
      </w:pPr>
      <w:r w:rsidRPr="00CC46BB">
        <w:t>–</w:t>
      </w:r>
      <w:r w:rsidRPr="00CC46BB">
        <w:tab/>
        <w:t>uzimajući u obzir izvješće o konačnom ishodu Konferencije o budućnosti Europe i Rezoluciju Europskog parlamenta od 4. svibnja 2022. o daljnjem postupanju nakon zaključaka Konferencije o budućnosti Europe</w:t>
      </w:r>
      <w:r w:rsidRPr="00CC46BB">
        <w:rPr>
          <w:rStyle w:val="FootnoteReference"/>
        </w:rPr>
        <w:footnoteReference w:id="19"/>
      </w:r>
      <w:r w:rsidRPr="00CC46BB">
        <w:t>,</w:t>
      </w:r>
    </w:p>
    <w:p w:rsidR="00E4782E" w:rsidRPr="00CC46BB" w:rsidRDefault="00E4782E" w:rsidP="00E4782E">
      <w:pPr>
        <w:pStyle w:val="NormalHanging12a"/>
      </w:pPr>
      <w:r w:rsidRPr="00CC46BB">
        <w:t>–</w:t>
      </w:r>
      <w:r w:rsidRPr="00CC46BB">
        <w:tab/>
        <w:t>uzimajući u obzir Komisijin Prijedlog direktive Vijeća od 11. svibnja 2022. o utvrđivanju pravila o olakšici za povlašteni porezni tretman duga u oporezivanju trgovačkih društava i o ograničavanju mogućnosti odbitka kamata za potrebe poreza na dobit (COM(2022)0216),</w:t>
      </w:r>
    </w:p>
    <w:p w:rsidR="00E4782E" w:rsidRPr="00CC46BB" w:rsidRDefault="00E4782E" w:rsidP="00E4782E">
      <w:pPr>
        <w:pStyle w:val="NormalHanging12a"/>
      </w:pPr>
      <w:r w:rsidRPr="00CC46BB">
        <w:t>–</w:t>
      </w:r>
      <w:r w:rsidRPr="00CC46BB">
        <w:tab/>
        <w:t xml:space="preserve">uzimajući u obzir Uredbu Vijeća </w:t>
      </w:r>
      <w:r w:rsidR="0046210F">
        <w:t xml:space="preserve">(EU) </w:t>
      </w:r>
      <w:r w:rsidRPr="00CC46BB">
        <w:t>2022/1854 od 6. listopada 2022. o hitnoj intervenciji za rješavanje pitanja visokih cijena energije,</w:t>
      </w:r>
    </w:p>
    <w:p w:rsidR="00E4782E" w:rsidRPr="00CC46BB" w:rsidRDefault="00E4782E" w:rsidP="00E4782E">
      <w:pPr>
        <w:pStyle w:val="NormalHanging12a"/>
      </w:pPr>
      <w:r w:rsidRPr="00CC46BB">
        <w:t>–</w:t>
      </w:r>
      <w:r w:rsidRPr="00CC46BB">
        <w:tab/>
        <w:t>uzimajući u obzir Komisijin poziv na očitovanje za procjenu učinka od 13. listopada 2022. u pogledu prijedloga direktive Vijeća „Poslovanje u Europi: okvir za oporezivanje dobiti (BEFIT)”,</w:t>
      </w:r>
    </w:p>
    <w:p w:rsidR="00E4782E" w:rsidRPr="00CC46BB" w:rsidRDefault="00E4782E" w:rsidP="00E4782E">
      <w:pPr>
        <w:pStyle w:val="NormalHanging12a"/>
      </w:pPr>
      <w:r w:rsidRPr="00CC46BB">
        <w:t>–</w:t>
      </w:r>
      <w:r w:rsidRPr="00CC46BB">
        <w:tab/>
        <w:t xml:space="preserve">uzimajući u obzir govor na plenarnoj sjednici Europskog parlamenta 19. listopada 2022. predsjednice Komisije </w:t>
      </w:r>
      <w:proofErr w:type="spellStart"/>
      <w:r w:rsidRPr="00CC46BB">
        <w:t>Ursule</w:t>
      </w:r>
      <w:proofErr w:type="spellEnd"/>
      <w:r w:rsidRPr="00CC46BB">
        <w:t xml:space="preserve"> von </w:t>
      </w:r>
      <w:proofErr w:type="spellStart"/>
      <w:r w:rsidRPr="00CC46BB">
        <w:t>der</w:t>
      </w:r>
      <w:proofErr w:type="spellEnd"/>
      <w:r w:rsidRPr="00CC46BB">
        <w:t xml:space="preserve"> </w:t>
      </w:r>
      <w:proofErr w:type="spellStart"/>
      <w:r w:rsidRPr="00CC46BB">
        <w:t>Leyen</w:t>
      </w:r>
      <w:proofErr w:type="spellEnd"/>
      <w:r w:rsidRPr="00CC46BB">
        <w:t xml:space="preserve"> o pripremama za sastanak Europskog vijeća održanog 20. i 21. listopada 2022.,</w:t>
      </w:r>
    </w:p>
    <w:p w:rsidR="00E4782E" w:rsidRPr="00CC46BB" w:rsidRDefault="00E4782E" w:rsidP="00E4782E">
      <w:pPr>
        <w:pStyle w:val="NormalHanging12a"/>
        <w:rPr>
          <w:b/>
          <w:i/>
        </w:rPr>
      </w:pPr>
      <w:r w:rsidRPr="00CC46BB">
        <w:t>–</w:t>
      </w:r>
      <w:r w:rsidRPr="00CC46BB">
        <w:tab/>
        <w:t xml:space="preserve">uzimajući u obzir govor o stanju Unije predsjednice Komisije </w:t>
      </w:r>
      <w:proofErr w:type="spellStart"/>
      <w:r w:rsidRPr="00CC46BB">
        <w:t>Ursule</w:t>
      </w:r>
      <w:proofErr w:type="spellEnd"/>
      <w:r w:rsidRPr="00CC46BB">
        <w:t xml:space="preserve"> von </w:t>
      </w:r>
      <w:proofErr w:type="spellStart"/>
      <w:r w:rsidRPr="00CC46BB">
        <w:t>der</w:t>
      </w:r>
      <w:proofErr w:type="spellEnd"/>
      <w:r w:rsidRPr="00CC46BB">
        <w:t xml:space="preserve"> </w:t>
      </w:r>
      <w:proofErr w:type="spellStart"/>
      <w:r w:rsidRPr="00CC46BB">
        <w:t>Leyen</w:t>
      </w:r>
      <w:proofErr w:type="spellEnd"/>
      <w:r w:rsidRPr="00CC46BB">
        <w:t xml:space="preserve"> na plenarnoj sjednici Europskog parlamenta održanoj u rujnu 2022.,</w:t>
      </w:r>
    </w:p>
    <w:p w:rsidR="00E4782E" w:rsidRPr="00CC46BB" w:rsidRDefault="00E4782E" w:rsidP="00E4782E">
      <w:pPr>
        <w:pStyle w:val="NormalHanging12a"/>
      </w:pPr>
      <w:r w:rsidRPr="00CC46BB">
        <w:t>–</w:t>
      </w:r>
      <w:r w:rsidRPr="00CC46BB">
        <w:tab/>
        <w:t>uzimajući u obzir izvješća Komisije za pojedine zemlje u okviru europskog semestra za 2023.,</w:t>
      </w:r>
    </w:p>
    <w:p w:rsidR="00E4782E" w:rsidRPr="00CC46BB" w:rsidRDefault="00E4782E" w:rsidP="00E4782E">
      <w:pPr>
        <w:pStyle w:val="NormalHanging12a"/>
      </w:pPr>
      <w:r w:rsidRPr="00CC46BB">
        <w:t>–</w:t>
      </w:r>
      <w:r w:rsidRPr="00CC46BB">
        <w:tab/>
        <w:t>uzimajući u obzir komunikaciju Komisije od 16. ožujka 2023. naslovljenu „Dugoročna konkurentnost EU-a: perspektiva nakon 2030.” (COM(2023)0168),</w:t>
      </w:r>
    </w:p>
    <w:p w:rsidR="00E4782E" w:rsidRPr="00CC46BB" w:rsidRDefault="00E4782E" w:rsidP="00E4782E">
      <w:pPr>
        <w:pStyle w:val="NormalHanging12a"/>
        <w:rPr>
          <w:vertAlign w:val="superscript"/>
        </w:rPr>
      </w:pPr>
      <w:r w:rsidRPr="00CC46BB">
        <w:lastRenderedPageBreak/>
        <w:t>–</w:t>
      </w:r>
      <w:r w:rsidRPr="00CC46BB">
        <w:tab/>
        <w:t>uzimajući u obzir godišnje izvješće Komisije o oporezivanju za 2023.</w:t>
      </w:r>
      <w:r w:rsidRPr="00CC46BB">
        <w:rPr>
          <w:rStyle w:val="FootnoteReference"/>
        </w:rPr>
        <w:footnoteReference w:id="20"/>
      </w:r>
      <w:r w:rsidRPr="00CC46BB">
        <w:t>,</w:t>
      </w:r>
    </w:p>
    <w:p w:rsidR="00E4782E" w:rsidRPr="00CC46BB" w:rsidRDefault="00E4782E" w:rsidP="00E4782E">
      <w:pPr>
        <w:pStyle w:val="NormalHanging12a"/>
      </w:pPr>
      <w:r w:rsidRPr="00CC46BB">
        <w:t>–</w:t>
      </w:r>
      <w:r w:rsidRPr="00CC46BB">
        <w:tab/>
        <w:t>uzimajući u obzir zaključke Europskog vijeća od 23. ožujka 2023.,</w:t>
      </w:r>
    </w:p>
    <w:p w:rsidR="00E4782E" w:rsidRPr="00CC46BB" w:rsidRDefault="00E4782E" w:rsidP="00E4782E">
      <w:pPr>
        <w:pStyle w:val="NormalHanging12a"/>
      </w:pPr>
      <w:r w:rsidRPr="00CC46BB">
        <w:t>–</w:t>
      </w:r>
      <w:r w:rsidRPr="00CC46BB">
        <w:tab/>
        <w:t>uzimajući u obzir svoju Rezoluciju od 7. listopada 2021. o reformi politike EU-a u području štetnih poreznih praksi</w:t>
      </w:r>
      <w:r w:rsidRPr="00CC46BB">
        <w:rPr>
          <w:vertAlign w:val="superscript"/>
        </w:rPr>
        <w:footnoteReference w:id="21"/>
      </w:r>
      <w:r w:rsidRPr="00CC46BB">
        <w:t xml:space="preserve"> (uključujući reformu Skupine za Kodeks o postupanju),</w:t>
      </w:r>
    </w:p>
    <w:p w:rsidR="00E4782E" w:rsidRPr="00CC46BB" w:rsidRDefault="00E4782E" w:rsidP="00E4782E">
      <w:pPr>
        <w:pStyle w:val="NormalHanging12a"/>
      </w:pPr>
      <w:r w:rsidRPr="00CC46BB">
        <w:t>–</w:t>
      </w:r>
      <w:r w:rsidRPr="00CC46BB">
        <w:tab/>
        <w:t>uzimajući u obzir svoju Rezoluciju od 15. veljače 2022. o učinku nacionalnih poreznih reformi na gospodarstvo EU-a</w:t>
      </w:r>
      <w:r w:rsidRPr="00CC46BB">
        <w:rPr>
          <w:vertAlign w:val="superscript"/>
        </w:rPr>
        <w:footnoteReference w:id="22"/>
      </w:r>
      <w:r w:rsidRPr="00CC46BB">
        <w:t>,</w:t>
      </w:r>
    </w:p>
    <w:p w:rsidR="00E4782E" w:rsidRPr="00CC46BB" w:rsidRDefault="00E4782E" w:rsidP="00E4782E">
      <w:pPr>
        <w:pStyle w:val="NormalHanging12a"/>
      </w:pPr>
      <w:r w:rsidRPr="00CC46BB">
        <w:t>–</w:t>
      </w:r>
      <w:r w:rsidRPr="00CC46BB">
        <w:tab/>
        <w:t>uzimajući u obzir svoju Rezoluciju od 10. ožujka 2022. s preporukama Komisiji o pravednom i jednostavnijem oporezivanju kojim se podupire strategija oporavka (EP-ovo praćenje akcijskog plana Komisije iz srpnja i njegovih 25 inicijativa u području PDV-a, oporezivanja poslovanja i pojedinačnog oporezivanja)</w:t>
      </w:r>
      <w:r w:rsidRPr="00CC46BB">
        <w:rPr>
          <w:vertAlign w:val="superscript"/>
        </w:rPr>
        <w:footnoteReference w:id="23"/>
      </w:r>
      <w:r w:rsidRPr="00CC46BB">
        <w:t>,</w:t>
      </w:r>
    </w:p>
    <w:p w:rsidR="00E4782E" w:rsidRPr="00CC46BB" w:rsidRDefault="00E4782E" w:rsidP="00E4782E">
      <w:pPr>
        <w:widowControl/>
        <w:spacing w:after="240"/>
        <w:ind w:left="567" w:hanging="567"/>
        <w:rPr>
          <w:vertAlign w:val="superscript"/>
        </w:rPr>
      </w:pPr>
      <w:r w:rsidRPr="00CC46BB">
        <w:t>–</w:t>
      </w:r>
      <w:r w:rsidRPr="00CC46BB">
        <w:tab/>
        <w:t>uzimajući u obzir svoju Rezoluciju od 10. ožujka 2022. o europskom okviru za porez po odbitku</w:t>
      </w:r>
      <w:r w:rsidRPr="00CC46BB">
        <w:rPr>
          <w:rStyle w:val="FootnoteReference"/>
        </w:rPr>
        <w:footnoteReference w:id="24"/>
      </w:r>
      <w:r w:rsidRPr="00CC46BB">
        <w:t>,</w:t>
      </w:r>
      <w:r w:rsidRPr="00CC46BB">
        <w:rPr>
          <w:vertAlign w:val="superscript"/>
        </w:rPr>
        <w:t xml:space="preserve"> </w:t>
      </w:r>
    </w:p>
    <w:p w:rsidR="00E4782E" w:rsidRPr="00CC46BB" w:rsidRDefault="00E4782E" w:rsidP="00E4782E">
      <w:pPr>
        <w:pStyle w:val="NormalHanging12a"/>
      </w:pPr>
      <w:r w:rsidRPr="00CC46BB">
        <w:t>–</w:t>
      </w:r>
      <w:r w:rsidRPr="00CC46BB">
        <w:tab/>
        <w:t xml:space="preserve">uzimajući u obzir svoju Rezoluciju od 4. listopada 2022. naslovljenu „Utjecaj novih tehnologija na oporezivanje: </w:t>
      </w:r>
      <w:proofErr w:type="spellStart"/>
      <w:r w:rsidRPr="00CC46BB">
        <w:t>kriptotehnologija</w:t>
      </w:r>
      <w:proofErr w:type="spellEnd"/>
      <w:r w:rsidRPr="00CC46BB">
        <w:t xml:space="preserve"> i lanac blokova”</w:t>
      </w:r>
      <w:r w:rsidRPr="00CC46BB">
        <w:rPr>
          <w:rStyle w:val="FootnoteReference"/>
        </w:rPr>
        <w:footnoteReference w:id="25"/>
      </w:r>
      <w:r w:rsidRPr="00CC46BB">
        <w:t>,</w:t>
      </w:r>
    </w:p>
    <w:p w:rsidR="00E4782E" w:rsidRPr="00CC46BB" w:rsidRDefault="00E4782E" w:rsidP="00E4782E">
      <w:pPr>
        <w:pStyle w:val="NormalHanging12a"/>
      </w:pPr>
      <w:r w:rsidRPr="00CC46BB">
        <w:t>–</w:t>
      </w:r>
      <w:r w:rsidRPr="00CC46BB">
        <w:tab/>
        <w:t>uzimajući u obzir Akcijski plan Organizacije za ekonomsku suradnju i razvoj (OECD) od 19. srpnja 2013. o smanjenju porezne osnovice i premještanju dobiti (BEPS),</w:t>
      </w:r>
    </w:p>
    <w:p w:rsidR="00E4782E" w:rsidRPr="00CC46BB" w:rsidRDefault="00E4782E" w:rsidP="00E4782E">
      <w:pPr>
        <w:pStyle w:val="NormalHanging12a"/>
      </w:pPr>
      <w:r w:rsidRPr="00CC46BB">
        <w:t>–</w:t>
      </w:r>
      <w:r w:rsidRPr="00CC46BB">
        <w:tab/>
        <w:t>uzimajući u obzir studije Komisije na temu „pokazatelji agresivnog poreznog planiranja”</w:t>
      </w:r>
      <w:r w:rsidRPr="00CC46BB">
        <w:rPr>
          <w:rStyle w:val="FootnoteReference"/>
        </w:rPr>
        <w:footnoteReference w:id="26"/>
      </w:r>
      <w:r w:rsidRPr="00CC46BB">
        <w:t>,</w:t>
      </w:r>
    </w:p>
    <w:p w:rsidR="00E4782E" w:rsidRPr="00CC46BB" w:rsidRDefault="00E4782E" w:rsidP="00E4782E">
      <w:pPr>
        <w:pStyle w:val="NormalHanging12a"/>
      </w:pPr>
      <w:r w:rsidRPr="00CC46BB">
        <w:t>–</w:t>
      </w:r>
      <w:r w:rsidRPr="00CC46BB">
        <w:tab/>
        <w:t>uzimajući u obzir konačna izvješća OECD-a i skupine G20 o smanjenju porezne osnovice i premještanju dobiti iz listopada 2015.,</w:t>
      </w:r>
    </w:p>
    <w:p w:rsidR="00E4782E" w:rsidRPr="00CC46BB" w:rsidRDefault="00E4782E" w:rsidP="00E4782E">
      <w:pPr>
        <w:pStyle w:val="NormalHanging12a"/>
      </w:pPr>
      <w:r w:rsidRPr="00CC46BB">
        <w:t>–</w:t>
      </w:r>
      <w:r w:rsidRPr="00CC46BB">
        <w:tab/>
        <w:t xml:space="preserve">uzimajući u obzir izjavu </w:t>
      </w:r>
      <w:proofErr w:type="spellStart"/>
      <w:r w:rsidRPr="00CC46BB">
        <w:t>Uključivog</w:t>
      </w:r>
      <w:proofErr w:type="spellEnd"/>
      <w:r w:rsidRPr="00CC46BB">
        <w:t xml:space="preserve"> okvira OECD-a i skupine G20 za borbu protiv smanjenja porezne osnovice i premještanja dobiti </w:t>
      </w:r>
      <w:r w:rsidR="0046210F">
        <w:t xml:space="preserve">od 8. listopada 2021. </w:t>
      </w:r>
      <w:r w:rsidRPr="00CC46BB">
        <w:t>pod nazivom „Rješenje s dva stupa za prevladavanje poreznih izazova koji proizlaze iz digitalizacije gospodarstva”, kojoj se 16. prosinca 2022. pridružilo i s kojom se složilo 138 članica od njih 141,</w:t>
      </w:r>
    </w:p>
    <w:p w:rsidR="00E4782E" w:rsidRPr="00CC46BB" w:rsidRDefault="00E4782E" w:rsidP="00E4782E">
      <w:pPr>
        <w:pStyle w:val="NormalHanging12a"/>
      </w:pPr>
      <w:r w:rsidRPr="00CC46BB">
        <w:t>–</w:t>
      </w:r>
      <w:r w:rsidRPr="00CC46BB">
        <w:tab/>
        <w:t xml:space="preserve">uzimajući u obzir izvješća o nacrtima prvog i drugog stupa koji su usvojeni 14. listopada 2020. u sklopu </w:t>
      </w:r>
      <w:proofErr w:type="spellStart"/>
      <w:r w:rsidRPr="00CC46BB">
        <w:t>Uključivog</w:t>
      </w:r>
      <w:proofErr w:type="spellEnd"/>
      <w:r w:rsidRPr="00CC46BB">
        <w:t xml:space="preserve"> okvira OECD-a i skupine G20, kao i rezultate </w:t>
      </w:r>
      <w:r w:rsidRPr="00CC46BB">
        <w:lastRenderedPageBreak/>
        <w:t>gospodarske analize i procjene učinka koje je proveo OECD 12</w:t>
      </w:r>
      <w:r w:rsidR="0046210F">
        <w:t>.</w:t>
      </w:r>
      <w:r w:rsidRPr="00CC46BB">
        <w:t> listopada 2020. pod nazivom „Porezni izazovi koji proizlaze iz digitalizacije – procjena gospodarskog učinka”,</w:t>
      </w:r>
    </w:p>
    <w:p w:rsidR="00E4782E" w:rsidRPr="00CC46BB" w:rsidRDefault="00E4782E" w:rsidP="00E4782E">
      <w:pPr>
        <w:pStyle w:val="NormalHanging12a"/>
      </w:pPr>
      <w:r w:rsidRPr="00CC46BB">
        <w:t>–</w:t>
      </w:r>
      <w:r w:rsidRPr="00CC46BB">
        <w:tab/>
        <w:t xml:space="preserve">uzimajući u obzir ogledna pravila drugog stupa </w:t>
      </w:r>
      <w:proofErr w:type="spellStart"/>
      <w:r w:rsidRPr="00CC46BB">
        <w:t>Uključivog</w:t>
      </w:r>
      <w:proofErr w:type="spellEnd"/>
      <w:r w:rsidRPr="00CC46BB">
        <w:t xml:space="preserve"> okvira OECD-a i skupine G20 za borbu protiv smanjenja porezne osnovice i premještanja dobiti od 20. prosinca 2021. za domaću provedbu globalne minimalne razine oporezivanja od 15 %,</w:t>
      </w:r>
    </w:p>
    <w:p w:rsidR="00E4782E" w:rsidRPr="00CC46BB" w:rsidRDefault="00E4782E" w:rsidP="00E4782E">
      <w:pPr>
        <w:pStyle w:val="NormalHanging12a"/>
      </w:pPr>
      <w:r w:rsidRPr="00CC46BB">
        <w:t>–</w:t>
      </w:r>
      <w:r w:rsidRPr="00CC46BB">
        <w:tab/>
        <w:t xml:space="preserve">uzimajući u obzir izjavu </w:t>
      </w:r>
      <w:proofErr w:type="spellStart"/>
      <w:r w:rsidRPr="00CC46BB">
        <w:t>Uključivog</w:t>
      </w:r>
      <w:proofErr w:type="spellEnd"/>
      <w:r w:rsidRPr="00CC46BB">
        <w:t xml:space="preserve"> okvira OECD-a i skupine G20 za borbu protiv smanjenja porezne osnovice i premještanja dobiti pod nazivom „Rješenje s dva stupa za prevladavanje poreznih izazova koji proizlaze iz digitalizacije gospodarstva”, kojoj se 4. studenoga 2021. pridružilo i s kojom se složilo 137 članica od njih 141,</w:t>
      </w:r>
    </w:p>
    <w:p w:rsidR="00E4782E" w:rsidRPr="00CC46BB" w:rsidRDefault="00745504" w:rsidP="00E4782E">
      <w:pPr>
        <w:pStyle w:val="NormalHanging12a"/>
      </w:pPr>
      <w:r w:rsidRPr="00CC46BB">
        <w:t>–</w:t>
      </w:r>
      <w:r w:rsidR="00E4782E" w:rsidRPr="00CC46BB">
        <w:tab/>
        <w:t>uzimajući u obzir Komisijin Prijedlog direktive Vijeća od 16. lipnja 2023. o bržem i sigurnijem oslobođenju za preplaćeni porez po odbitku (COM(2023)0324),</w:t>
      </w:r>
    </w:p>
    <w:p w:rsidR="00E4782E" w:rsidRPr="00CC46BB" w:rsidRDefault="00E4782E" w:rsidP="00E4782E">
      <w:pPr>
        <w:pStyle w:val="NormalHanging12a"/>
      </w:pPr>
      <w:r w:rsidRPr="00CC46BB">
        <w:t>–</w:t>
      </w:r>
      <w:r w:rsidRPr="00CC46BB">
        <w:tab/>
        <w:t>uzimajući u obzir Javni zakon Sjedinjenih Američkih Država 117-169 od 16. kolovoza 2022., poznat kao Zakon o smanjenju inflacije,</w:t>
      </w:r>
    </w:p>
    <w:p w:rsidR="00E4782E" w:rsidRPr="00CC46BB" w:rsidRDefault="00E4782E" w:rsidP="00E4782E">
      <w:pPr>
        <w:pStyle w:val="NormalHanging12a"/>
      </w:pPr>
      <w:r w:rsidRPr="00CC46BB">
        <w:t>–</w:t>
      </w:r>
      <w:r w:rsidRPr="00CC46BB">
        <w:tab/>
        <w:t>uzimajući u obzir članak 54. Poslovnika,</w:t>
      </w:r>
    </w:p>
    <w:p w:rsidR="00E4782E" w:rsidRPr="00CC46BB" w:rsidRDefault="00E4782E" w:rsidP="00E4782E">
      <w:pPr>
        <w:pStyle w:val="NormalHanging12a"/>
      </w:pPr>
      <w:r w:rsidRPr="00CC46BB">
        <w:t>–</w:t>
      </w:r>
      <w:r w:rsidRPr="00CC46BB">
        <w:tab/>
        <w:t>uzimajući u obzir pismo Odbora za proračune,</w:t>
      </w:r>
    </w:p>
    <w:p w:rsidR="00E4782E" w:rsidRPr="00CC46BB" w:rsidRDefault="00E4782E" w:rsidP="00E4782E">
      <w:pPr>
        <w:pStyle w:val="NormalHanging12a"/>
      </w:pPr>
      <w:r w:rsidRPr="00CC46BB">
        <w:t>–</w:t>
      </w:r>
      <w:r w:rsidRPr="00CC46BB">
        <w:tab/>
        <w:t>uzimajući u obzir izvješće Odbora za ekonomsku i monetarnu politiku (A9</w:t>
      </w:r>
      <w:r w:rsidRPr="00CC46BB">
        <w:noBreakHyphen/>
        <w:t>0359/2023),</w:t>
      </w:r>
    </w:p>
    <w:p w:rsidR="00E4782E" w:rsidRPr="00CC46BB" w:rsidRDefault="00E4782E" w:rsidP="00E4782E">
      <w:pPr>
        <w:pStyle w:val="NormalHanging12a"/>
      </w:pPr>
      <w:r w:rsidRPr="00CC46BB">
        <w:t>A.</w:t>
      </w:r>
      <w:r w:rsidRPr="00CC46BB">
        <w:tab/>
        <w:t>budući da su države članice slobodne odlučivati o svojim gospodarskim politikama, posebno o svojim poreznim politikama, kako je zajamčeno Ugovorima EU-a, a posebno pravilom jednoglasnosti koje je u njima sadržano; budući da je u interesu država članica da imaju porezni sustav koji dobro funkcionira kako bi se osigurala pravilna naplata poreza; budući da, iako je porezna politika uglavnom i dalje odgovornost država članica, jedinstveno tržište zahtijeva koordinaciju i suradnju među državama članicama i na razini EU-a u određivanju porezne politike kako bi se unaprijedila integracija jedinstvenog tržišta, izbjegli gospodarski poremećaji i izbjegla štetna porezna konkurencija;</w:t>
      </w:r>
    </w:p>
    <w:p w:rsidR="00E4782E" w:rsidRPr="00CC46BB" w:rsidRDefault="00E4782E" w:rsidP="00E4782E">
      <w:pPr>
        <w:pStyle w:val="NormalHanging12a"/>
      </w:pPr>
      <w:r w:rsidRPr="00CC46BB">
        <w:t>B.</w:t>
      </w:r>
      <w:r w:rsidRPr="00CC46BB">
        <w:tab/>
        <w:t>budući da je porezna politika u nacionalnoj nadležnosti u skladu s Ugovorima i da je porezni suverenitet temeljno načelo pravnog poretka EU-a; budući da se jednoglasnost iz Ugovorâ mora dovesti u ravnotežu s pomoću vrlo visoke razine odgovornosti država članica te da ono mora biti u skladu s načelom lojalne suradnje na temelju članka 4. stavka 3. Ugovora o Europskoj uniji; budući da se tim okvirom primarnog prava omogućuje visoka razina zakonodavne koordinacije i administrativne suradnje među državama članicama EU-a; budući da su takva koordinacija i suradnja potrebne kako bi se očuvala cjelovitost jedinstvenog tržišta te pošteno i transparentno porezno natjecanje;</w:t>
      </w:r>
    </w:p>
    <w:p w:rsidR="00E4782E" w:rsidRPr="00CC46BB" w:rsidRDefault="00E4782E" w:rsidP="00E4782E">
      <w:pPr>
        <w:pStyle w:val="NormalHanging12a"/>
      </w:pPr>
      <w:r w:rsidRPr="00CC46BB">
        <w:t>C.</w:t>
      </w:r>
      <w:r w:rsidRPr="00CC46BB">
        <w:tab/>
        <w:t>budući da pojam pravednog i učinkovitog poreznog sustava ne podrazumijeva nužno višu ukupnu razinu oporezivanja;</w:t>
      </w:r>
    </w:p>
    <w:p w:rsidR="00E4782E" w:rsidRPr="00CC46BB" w:rsidRDefault="00E4782E" w:rsidP="00E4782E">
      <w:pPr>
        <w:pStyle w:val="NormalHanging12a"/>
      </w:pPr>
      <w:r w:rsidRPr="00CC46BB">
        <w:t>D.</w:t>
      </w:r>
      <w:r w:rsidRPr="00CC46BB">
        <w:tab/>
        <w:t>budući da Europljani teško spajaju kraj s krajem i da to sve više pogađa srednju klasu i kućanstva s niskim prihodima te da se brojna trgovačka društva suočavaju s raznim izazovima; budući da su druga trgovačka društva, posebno u energetskom sektoru, ostvarila neočekivanu dobit;</w:t>
      </w:r>
    </w:p>
    <w:p w:rsidR="00E4782E" w:rsidRPr="00CC46BB" w:rsidRDefault="00E4782E" w:rsidP="00E4782E">
      <w:pPr>
        <w:pStyle w:val="NormalHanging12a"/>
      </w:pPr>
      <w:r w:rsidRPr="00CC46BB">
        <w:lastRenderedPageBreak/>
        <w:t>E.</w:t>
      </w:r>
      <w:r w:rsidRPr="00CC46BB">
        <w:tab/>
        <w:t xml:space="preserve">budući da su od 4. studenoga 2021. godine 137 od 141 članice </w:t>
      </w:r>
      <w:proofErr w:type="spellStart"/>
      <w:r w:rsidRPr="00CC46BB">
        <w:t>Uključivog</w:t>
      </w:r>
      <w:proofErr w:type="spellEnd"/>
      <w:r w:rsidRPr="00CC46BB">
        <w:t xml:space="preserve"> okvira OECD-a i skupine G20 za borbu protiv smanjenja porezne osnovice i premještanja dobiti, uključujući sve države članice EU-a, postigle dogovor o reformi međunarodnog poreznog sustava s pomoću </w:t>
      </w:r>
      <w:proofErr w:type="spellStart"/>
      <w:r w:rsidRPr="00CC46BB">
        <w:t>dvostupnog</w:t>
      </w:r>
      <w:proofErr w:type="spellEnd"/>
      <w:r w:rsidRPr="00CC46BB">
        <w:t xml:space="preserve"> rješenja za rješavanje izazova koji proizlaze iz digitalizacije gospodarstva, uključujući multilateralno dogovorena ograničenja premještanja dobiti;</w:t>
      </w:r>
    </w:p>
    <w:p w:rsidR="00E4782E" w:rsidRPr="00CC46BB" w:rsidRDefault="00E4782E" w:rsidP="00E4782E">
      <w:pPr>
        <w:pStyle w:val="NormalHanging12a"/>
      </w:pPr>
      <w:r w:rsidRPr="00CC46BB">
        <w:t>F.</w:t>
      </w:r>
      <w:r w:rsidRPr="00CC46BB">
        <w:tab/>
        <w:t>budući da mala i srednja poduzeća za sada čine 99,8 % poduzeća iz nefinancijskog poslovnog sektora u Europskoj uniji (EU-27 + 1), dvije trećine ukupnog broja zaposlenih u EU-28 (66,6 %) i nešto manje od tri petine (56,8 %) dodane vrijednosti koju stvara nefinancijski poslovni sektor prema izvješću Komisije naslovljenom „</w:t>
      </w:r>
      <w:proofErr w:type="spellStart"/>
      <w:r w:rsidRPr="00CC46BB">
        <w:t>Tax</w:t>
      </w:r>
      <w:proofErr w:type="spellEnd"/>
      <w:r w:rsidRPr="00CC46BB">
        <w:t xml:space="preserve"> </w:t>
      </w:r>
      <w:proofErr w:type="spellStart"/>
      <w:r w:rsidRPr="00CC46BB">
        <w:t>compliance</w:t>
      </w:r>
      <w:proofErr w:type="spellEnd"/>
      <w:r w:rsidRPr="00CC46BB">
        <w:t xml:space="preserve"> </w:t>
      </w:r>
      <w:proofErr w:type="spellStart"/>
      <w:r w:rsidRPr="00CC46BB">
        <w:t>costs</w:t>
      </w:r>
      <w:proofErr w:type="spellEnd"/>
      <w:r w:rsidRPr="00CC46BB">
        <w:t xml:space="preserve"> for </w:t>
      </w:r>
      <w:proofErr w:type="spellStart"/>
      <w:r w:rsidRPr="00CC46BB">
        <w:t>SMEs</w:t>
      </w:r>
      <w:proofErr w:type="spellEnd"/>
      <w:r w:rsidRPr="00CC46BB">
        <w:t xml:space="preserve">: </w:t>
      </w:r>
      <w:proofErr w:type="spellStart"/>
      <w:r w:rsidRPr="00CC46BB">
        <w:t>An</w:t>
      </w:r>
      <w:proofErr w:type="spellEnd"/>
      <w:r w:rsidRPr="00CC46BB">
        <w:t xml:space="preserve"> </w:t>
      </w:r>
      <w:proofErr w:type="spellStart"/>
      <w:r w:rsidRPr="00CC46BB">
        <w:t>update</w:t>
      </w:r>
      <w:proofErr w:type="spellEnd"/>
      <w:r w:rsidRPr="00CC46BB">
        <w:t xml:space="preserve"> </w:t>
      </w:r>
      <w:proofErr w:type="spellStart"/>
      <w:r w:rsidRPr="00CC46BB">
        <w:t>and</w:t>
      </w:r>
      <w:proofErr w:type="spellEnd"/>
      <w:r w:rsidRPr="00CC46BB">
        <w:t xml:space="preserve"> a </w:t>
      </w:r>
      <w:proofErr w:type="spellStart"/>
      <w:r w:rsidRPr="00CC46BB">
        <w:t>complement</w:t>
      </w:r>
      <w:proofErr w:type="spellEnd"/>
      <w:r w:rsidRPr="00CC46BB">
        <w:t xml:space="preserve"> </w:t>
      </w:r>
      <w:proofErr w:type="spellStart"/>
      <w:r w:rsidRPr="00CC46BB">
        <w:t>of</w:t>
      </w:r>
      <w:proofErr w:type="spellEnd"/>
      <w:r w:rsidRPr="00CC46BB">
        <w:t xml:space="preserve"> </w:t>
      </w:r>
      <w:proofErr w:type="spellStart"/>
      <w:r w:rsidRPr="00CC46BB">
        <w:t>January</w:t>
      </w:r>
      <w:proofErr w:type="spellEnd"/>
      <w:r w:rsidRPr="00CC46BB">
        <w:t> 2022” („Troškovi ispunjavanja poreznih obveza: ažurirane informacije i dopuna iz siječnja 2022.”);</w:t>
      </w:r>
    </w:p>
    <w:p w:rsidR="00E4782E" w:rsidRPr="00CC46BB" w:rsidRDefault="00E4782E" w:rsidP="00E4782E">
      <w:pPr>
        <w:pStyle w:val="NormalHanging12a"/>
      </w:pPr>
      <w:r w:rsidRPr="00CC46BB">
        <w:t>G.</w:t>
      </w:r>
      <w:r w:rsidRPr="00CC46BB">
        <w:tab/>
        <w:t xml:space="preserve">budući da se akcijskim planom za smanjenje porezne osnovice i premještanje dobiti uspio postići konsenzus o mnogim pitanjima u vezi s borbom protiv izbjegavanja plaćanja poreza i agresivnog poreznog planiranja, u sklopu </w:t>
      </w:r>
      <w:proofErr w:type="spellStart"/>
      <w:r w:rsidRPr="00CC46BB">
        <w:t>Uključivog</w:t>
      </w:r>
      <w:proofErr w:type="spellEnd"/>
      <w:r w:rsidRPr="00CC46BB">
        <w:t xml:space="preserve"> okvira OECD-a i skupine G20 za borbu protiv smanjenja porezne osnovice i premještanja dobiti koji okuplja više od 139 zemalja i jurisdikcija;</w:t>
      </w:r>
    </w:p>
    <w:p w:rsidR="00E4782E" w:rsidRPr="00CC46BB" w:rsidRDefault="00E4782E" w:rsidP="00E4782E">
      <w:pPr>
        <w:pStyle w:val="NormalHanging12a"/>
      </w:pPr>
      <w:r w:rsidRPr="00CC46BB">
        <w:t>H.</w:t>
      </w:r>
      <w:r w:rsidRPr="00CC46BB">
        <w:tab/>
        <w:t>budući da agresivno porezno planiranje može utjecati na usklađenost poreznih obveznika s pravilima ispunjavanja poreznih obveza te na konkurentnost trgovačkih društava i stabilnost poreznih prihoda; budući da agresivno porezno planiranje i štetno porezno natjecanje mogu negativno utjecati na funkcioniranje jedinstvenog tržišta;</w:t>
      </w:r>
    </w:p>
    <w:p w:rsidR="00E4782E" w:rsidRPr="00CC46BB" w:rsidRDefault="00E4782E" w:rsidP="00E4782E">
      <w:pPr>
        <w:pStyle w:val="NormalHanging12a"/>
      </w:pPr>
      <w:r w:rsidRPr="00CC46BB">
        <w:t>I.</w:t>
      </w:r>
      <w:r w:rsidRPr="00CC46BB">
        <w:tab/>
        <w:t>budući da je EU pružio primjer u prenošenju međunarodnih sporazuma u direktive kojima se poboljšava koordinacija i borba EU-a protiv poreznih prijevara, izbjegavanja plaćanja poreza i agresivnog poreznog planiranja; budući da su države članice pokazale da različito provode akcijski plan OECD-a za smanjenje porezne osnovice i premještanje dobiti;</w:t>
      </w:r>
    </w:p>
    <w:p w:rsidR="00E4782E" w:rsidRPr="00CC46BB" w:rsidRDefault="00E4782E" w:rsidP="00E4782E">
      <w:pPr>
        <w:pStyle w:val="NormalHanging12a"/>
      </w:pPr>
      <w:r w:rsidRPr="00CC46BB">
        <w:t>J.</w:t>
      </w:r>
      <w:r w:rsidRPr="00CC46BB">
        <w:tab/>
        <w:t>budući da je Skupina za Kodeks o postupanju pri oporezivanju poslovanja nastavila sa svojom zadaćom utvrđivanja i suzbijanja štetnih poreznih mjera država članica; budući da su ministri financija 8. studenoga 2022. postigli dogovor o jačanju kodeksa ponašanja; budući da se čini da se neka trgovačka društva prilagođavaju novim poreznim pravilima i da bi mogla primjenjivati sustave agresivnog poreznog planiranja; budući da su 2015. zemlje sudionice OECD-a i skupine G20. odobrile konačni paket mjera za smanjenje porezne osnovice i premještanje dobiti za reformu međunarodnog poreznog sustava kako bi se riješio problem izbjegavanja plaćanja poreza;</w:t>
      </w:r>
    </w:p>
    <w:p w:rsidR="00E4782E" w:rsidRPr="00CC46BB" w:rsidRDefault="00E4782E" w:rsidP="00E4782E">
      <w:pPr>
        <w:pStyle w:val="NormalHanging12a"/>
      </w:pPr>
      <w:r w:rsidRPr="00CC46BB">
        <w:t>K.</w:t>
      </w:r>
      <w:r w:rsidRPr="00CC46BB">
        <w:tab/>
        <w:t>budući da se prosječna ukupna stopa poreza na dobit u državama članicama EU-a smanjila s 35 % tijekom 1995. na 21,2 % tijekom 2023.;</w:t>
      </w:r>
    </w:p>
    <w:p w:rsidR="00E4782E" w:rsidRPr="00CC46BB" w:rsidRDefault="00E4782E" w:rsidP="00E4782E">
      <w:pPr>
        <w:pStyle w:val="NormalHanging12a"/>
      </w:pPr>
      <w:r w:rsidRPr="00CC46BB">
        <w:t>L.</w:t>
      </w:r>
      <w:r w:rsidRPr="00CC46BB">
        <w:tab/>
        <w:t xml:space="preserve">budući da se do lipnja 2023. godine 143 države, uključujući sve države članice EU-a, dogovorilo o reformi međunarodnog poreznog sustava pomoću </w:t>
      </w:r>
      <w:proofErr w:type="spellStart"/>
      <w:r w:rsidRPr="00CC46BB">
        <w:t>dvostupnog</w:t>
      </w:r>
      <w:proofErr w:type="spellEnd"/>
      <w:r w:rsidRPr="00CC46BB">
        <w:t xml:space="preserve"> rješenja;</w:t>
      </w:r>
    </w:p>
    <w:p w:rsidR="00E4782E" w:rsidRPr="00CC46BB" w:rsidRDefault="00E4782E" w:rsidP="00E4782E">
      <w:pPr>
        <w:pStyle w:val="NormalHanging12a"/>
      </w:pPr>
      <w:r w:rsidRPr="00CC46BB">
        <w:t>M.</w:t>
      </w:r>
      <w:r w:rsidRPr="00CC46BB">
        <w:tab/>
        <w:t xml:space="preserve">budući da je u pravno obvezujućem </w:t>
      </w:r>
      <w:proofErr w:type="spellStart"/>
      <w:r w:rsidRPr="00CC46BB">
        <w:t>međuinstitucijskom</w:t>
      </w:r>
      <w:proofErr w:type="spellEnd"/>
      <w:r w:rsidRPr="00CC46BB">
        <w:t xml:space="preserve"> sporazumu od 16</w:t>
      </w:r>
      <w:r w:rsidR="0046210F">
        <w:t>.</w:t>
      </w:r>
      <w:r w:rsidRPr="00CC46BB">
        <w:t> prosinca 2020. predviđena provedba plana za nova sredstva; budući da su nova vlastita sredstva koja je Komisija predložila u prosincu 2021. namijenjena pokrivanju dijela otplate instrumenta „</w:t>
      </w:r>
      <w:proofErr w:type="spellStart"/>
      <w:r w:rsidRPr="00CC46BB">
        <w:t>Next</w:t>
      </w:r>
      <w:proofErr w:type="spellEnd"/>
      <w:r w:rsidRPr="00CC46BB">
        <w:t xml:space="preserve"> </w:t>
      </w:r>
      <w:proofErr w:type="spellStart"/>
      <w:r w:rsidRPr="00CC46BB">
        <w:t>Generation</w:t>
      </w:r>
      <w:proofErr w:type="spellEnd"/>
      <w:r w:rsidRPr="00CC46BB">
        <w:t xml:space="preserve"> EU”; budući da je Komisija u lipnju 2023. predložila vlastita sredstva povezana s korporativnim sektorom;</w:t>
      </w:r>
    </w:p>
    <w:p w:rsidR="00E4782E" w:rsidRPr="00CC46BB" w:rsidRDefault="00E4782E" w:rsidP="00E4782E">
      <w:pPr>
        <w:pStyle w:val="NormalHanging12a"/>
      </w:pPr>
      <w:r w:rsidRPr="00CC46BB">
        <w:lastRenderedPageBreak/>
        <w:t>N.</w:t>
      </w:r>
      <w:r w:rsidRPr="00CC46BB">
        <w:tab/>
        <w:t>budući da rascjepkanost, složenost i neodgovarajuća digitalizacija porezne politike doprinose stvaranju različitih prepreka za trgovačka društva, uključujući za radnike malih i srednjih poduzeća, samozaposlene osobe i građane na jedinstvenom tržištu, pravne nesigurnosti, birokracije, rizika od dvostrukog oporezivanja, poteškoća pri podnošenju zahtjeva za povrat poreza; budući da te prepreke odvraćaju od prekogranične gospodarske aktivnosti na jedinstvenom tržištu; budući da je za prevladavanje tih prepreka potrebna multilateralna suradnja među državama članicama i da one moraju hitno provesti digitalna rješenja kojima se pojednostavnjuju i smanjuju troškovi ispunjavanja poreznih obveza za poduzeća; budući da rascjepkanost politika također stvara rizike za porezna tijela, kao što su dvostruko neoporezivanje i arbitraža (porezno planiranje); budući da su neke države članice razvile programe kojima bi bilo moguće niže oporezivanje od nacionalne nominalne stope te bi mogli staviti mala i srednja poduzeća u nepovoljan položaj u odnosu na konkurenciju;</w:t>
      </w:r>
    </w:p>
    <w:p w:rsidR="00E4782E" w:rsidRPr="00CC46BB" w:rsidRDefault="00E4782E" w:rsidP="00E4782E">
      <w:pPr>
        <w:pStyle w:val="NormalHanging12a"/>
      </w:pPr>
      <w:r w:rsidRPr="00CC46BB">
        <w:t>O.</w:t>
      </w:r>
      <w:r w:rsidRPr="00CC46BB">
        <w:tab/>
        <w:t>budući da države članice i dalje gube porezne prihode zbog štetnih poreznih praksi i da se prihod izgubljen zbog izbjegavanja plaćanja poreza na dobit procjenjuje na od 36 do 37 milijardi EUR i od 160 do 190 milijardi EUR godišnje; budući da rascjepkanost politika povećava trošak provedbe za porezna tijela;</w:t>
      </w:r>
    </w:p>
    <w:p w:rsidR="00E4782E" w:rsidRPr="00CC46BB" w:rsidRDefault="00E4782E" w:rsidP="00E4782E">
      <w:pPr>
        <w:pStyle w:val="NormalHanging12a"/>
      </w:pPr>
      <w:r w:rsidRPr="00CC46BB">
        <w:t>P.</w:t>
      </w:r>
      <w:r w:rsidRPr="00CC46BB">
        <w:tab/>
        <w:t>budući da se solidarni doprinos primjenjivao na neočekivanu dobit nekih trgovačkih društava iz energetskog sektora;</w:t>
      </w:r>
    </w:p>
    <w:p w:rsidR="00E4782E" w:rsidRPr="00CC46BB" w:rsidRDefault="00E4782E" w:rsidP="00E4782E">
      <w:pPr>
        <w:pStyle w:val="NormalHanging12a"/>
      </w:pPr>
      <w:r w:rsidRPr="00CC46BB">
        <w:t>Q.</w:t>
      </w:r>
      <w:r w:rsidRPr="00CC46BB">
        <w:tab/>
        <w:t>budući da u okviru socijalnog tržišnog gospodarstva EU-a odgovarajuće razine poreza te jednostavni i jasni porezni zakoni ne bi smjeli utjecati na odluke gospodarskih subjekata; budući da bi se dobrim poreznim politikama trebalo podupirati otvaranje radnih mjesta i gospodarski rast te poboljšati konkurentnost EU-a i njegovih država članica;</w:t>
      </w:r>
    </w:p>
    <w:p w:rsidR="00E4782E" w:rsidRPr="00CC46BB" w:rsidRDefault="00E4782E" w:rsidP="00E4782E">
      <w:pPr>
        <w:pStyle w:val="NormalHanging12a"/>
      </w:pPr>
      <w:r w:rsidRPr="00CC46BB">
        <w:t>R.</w:t>
      </w:r>
      <w:r w:rsidRPr="00CC46BB">
        <w:tab/>
        <w:t>budući da se takva rascjepkanost porezne politike mora ublažiti povećanom koordinacijom i suradnjom te jasnom predanošću država članica brzom i primjerenom prenošenju direktiva u području oporezivanja;</w:t>
      </w:r>
    </w:p>
    <w:p w:rsidR="00E4782E" w:rsidRPr="00CC46BB" w:rsidRDefault="00E4782E" w:rsidP="00E4782E">
      <w:pPr>
        <w:widowControl/>
        <w:spacing w:after="240"/>
        <w:ind w:left="567" w:hanging="567"/>
      </w:pPr>
      <w:r w:rsidRPr="00CC46BB">
        <w:t>S.</w:t>
      </w:r>
      <w:r w:rsidRPr="00CC46BB">
        <w:tab/>
        <w:t>budući da većina sustava oporezivanja dobiti poduzeća u EU-u omogućuje izdašne porezne olakšice na isplate kamata</w:t>
      </w:r>
      <w:r w:rsidRPr="00CC46BB">
        <w:rPr>
          <w:rStyle w:val="FootnoteReference"/>
        </w:rPr>
        <w:footnoteReference w:id="27"/>
      </w:r>
      <w:r w:rsidRPr="00CC46BB">
        <w:t>; budući da se troškovi financiranja, među ostalim isplata dividendi, u pogledu vlasničkog kapitala ne mogu odbiti na sličan način; budući da postoji strukturni nedostatak s kojim se suočavaju trgovačka društva koja se oslanjaju na financiranje vlasničkim kapitalom, posebno ako su mlada i mala trgovačka društva s ograničenim pristupom kreditima; budući da ta neravnoteža stvara problematične poticaje za prezaduženost; budući da olakšice za vlasnički kapital poduzeća mogu utjecati na porezne prihode država članica i moraju biti pažljivo osmišljene;</w:t>
      </w:r>
    </w:p>
    <w:p w:rsidR="00E4782E" w:rsidRPr="00CC46BB" w:rsidRDefault="00E4782E" w:rsidP="00E4782E">
      <w:pPr>
        <w:widowControl/>
        <w:spacing w:after="240"/>
        <w:ind w:left="567" w:hanging="567"/>
      </w:pPr>
      <w:r w:rsidRPr="00CC46BB">
        <w:t>T.</w:t>
      </w:r>
      <w:r w:rsidRPr="00CC46BB">
        <w:tab/>
        <w:t xml:space="preserve">budući da privatna trgovačka društva, uključujući mala i srednja poduzeća, imaju temeljnu ulogu u društvu jer stvaraju najveći broj radnih mjesta; budući da te organizacije svojim poslovanjem stvaraju mogućnosti zapošljavanja za milijune ljudi, što pak potiče gospodarski i društveni razvoj zajednica u kojima posluju; budući da </w:t>
      </w:r>
      <w:r w:rsidRPr="00CC46BB">
        <w:lastRenderedPageBreak/>
        <w:t>poticanjem tržišnog natjecanja i inovacija privatna poduzeća promiču učinkovitost u raspodjeli sredstava, što dovodi do povećane produktivnosti i gospodarskog rasta; budući da aktivnosti privatnih poduzeća stvaraju državi i prihode od poreza, koji se mogu upotrijebiti za financiranje osnovnih javnih usluga; budući da privatna poduzeća imaju ključnu ulogu u gospodarskom i društvenom razvoju društava jer stvaraju najveći broj radnih mjesta, promiču napredak i poboljšavaju kvalitetu života ljudi;</w:t>
      </w:r>
    </w:p>
    <w:p w:rsidR="00E4782E" w:rsidRPr="00CC46BB" w:rsidRDefault="00E4782E" w:rsidP="00E4782E">
      <w:pPr>
        <w:pStyle w:val="NormalHanging12a"/>
      </w:pPr>
      <w:r w:rsidRPr="00CC46BB">
        <w:t>U.</w:t>
      </w:r>
      <w:r w:rsidRPr="00CC46BB">
        <w:tab/>
        <w:t>budući da je Komisija objavila prijedlog jedinstvenog skupa poreznih pravila za poslovanje u Europi pod nazivom „Poslovanje u Europi: okvir za oporezivanje dobiti (BEFIT)”,</w:t>
      </w:r>
    </w:p>
    <w:p w:rsidR="00E4782E" w:rsidRPr="00CC46BB" w:rsidRDefault="00E4782E" w:rsidP="00E4782E">
      <w:pPr>
        <w:pStyle w:val="NormalHanging12a"/>
      </w:pPr>
      <w:r w:rsidRPr="00CC46BB">
        <w:t>V.</w:t>
      </w:r>
      <w:r w:rsidRPr="00CC46BB">
        <w:tab/>
        <w:t>budući da zakonodavni poticaj Komisije u području oporezivanja treba težiti jasnim prioritetima povezanima s borbom protiv poreznih prijevara i izbjegavanja plaćanja poreza, promicanjem administrativnog pojednostavljenja, smanjenjem birokracije i ublažavanjem troškova usklađivanja, posebno u pogledu malih i srednjih poduzeća;</w:t>
      </w:r>
    </w:p>
    <w:p w:rsidR="00E4782E" w:rsidRPr="00784120" w:rsidRDefault="00E4782E" w:rsidP="00E4782E">
      <w:pPr>
        <w:pStyle w:val="NormalHanging12a"/>
      </w:pPr>
      <w:r w:rsidRPr="00CC46BB">
        <w:t>1.</w:t>
      </w:r>
      <w:r w:rsidRPr="00CC46BB">
        <w:tab/>
        <w:t>podsjeća da, iako porezna politika ostaje odgovornost država članica, za dovršenje, poboljšanje i daljnji razvoj jedinstvenog tržišta potrebna je određena razina suradnje i koordinacije u području oporezivanja; osim toga, napominje da je nužno imati zajednički pristup poreznim politikama za rješavanje problema štetne porezne konkurencije i premještanja dobiti te za borbu protiv izbjegavanja plaćanja poreza i utaje poreza; ističe da takva suradnja zahtijeva uzajamno povjerenje i poštenje svih država članica;</w:t>
      </w:r>
    </w:p>
    <w:p w:rsidR="00E4782E" w:rsidRPr="00CC46BB" w:rsidRDefault="00E4782E" w:rsidP="00E4782E">
      <w:pPr>
        <w:pStyle w:val="NormalHanging12a"/>
      </w:pPr>
      <w:r w:rsidRPr="00CC46BB">
        <w:t>2</w:t>
      </w:r>
      <w:r w:rsidRPr="006210FF">
        <w:t>.</w:t>
      </w:r>
      <w:r w:rsidRPr="00CC46BB">
        <w:rPr>
          <w:b/>
          <w:i/>
        </w:rPr>
        <w:tab/>
      </w:r>
      <w:r w:rsidRPr="00CC46BB">
        <w:t>poziva Komisiju i Vijeće da pomognu trgovačkim društvima u poboljšanju ulagačke klime i da pojednostave oporezivanje dobiti trgovačkih društava te da ga učine održivijim i usmjere ga na poboljšanje konkurentnosti Europe;</w:t>
      </w:r>
    </w:p>
    <w:p w:rsidR="00E4782E" w:rsidRPr="00CC46BB" w:rsidRDefault="00E4782E" w:rsidP="00E4782E">
      <w:pPr>
        <w:pStyle w:val="NormalHanging12a"/>
      </w:pPr>
      <w:r w:rsidRPr="00CC46BB">
        <w:t>3</w:t>
      </w:r>
      <w:r w:rsidRPr="006210FF">
        <w:t>.</w:t>
      </w:r>
      <w:r w:rsidRPr="00CC46BB">
        <w:tab/>
        <w:t>ističe da su države članice EU-a u potpunosti odgovorne za pravilnu naplatu poreza i da imaju pravo odlučivati o vlastitim poreznim sustavima uz poštovanje jedinstvenog tržišta i prava oporezivanja drugih država članica; ističe da porezni sustavi koji dobro funkcioniraju i nacionalne porezne uprave imaju ključnu ulogu u naplati poreza te da su održivi porezni prihodi u javnim proračunima država članica važni;</w:t>
      </w:r>
    </w:p>
    <w:p w:rsidR="00E4782E" w:rsidRPr="00CC46BB" w:rsidRDefault="00E4782E" w:rsidP="00E4782E">
      <w:pPr>
        <w:pStyle w:val="NormalHanging12a"/>
      </w:pPr>
      <w:r w:rsidRPr="00CC46BB">
        <w:t>4.</w:t>
      </w:r>
      <w:r w:rsidRPr="00CC46BB">
        <w:tab/>
        <w:t>prima na znanje paket o pojednostavnjenju poreza za mala i srednja poduzeća i BEFIT-u koji je predložila Komisija; prima na znanje zaključke Europskog vijeća od 23. ožujka 2023. u kojima se poziva na pojednostavnjenje općeg regulatornog okruženja i smanjenje administrativnog opterećenja te komunikaciju Komisije od 16. ožujka 2023. u kojoj se naglašava da je porezni okvir EU-a ključan za podupiranje rasta i privatnih ulaganja, posebno uklanjanjem poreznih prepreka za prekogranična ulaganja te da je uloga EU-a u poreznim politikama usmjerena na rješavanje problema narušavanja jedinstvenog tržišta, osiguravanje njegovog dobrog funkcioniranja i sprečavanje njegove rascjepkanosti; naglašava potrebu za usvajanjem dobro osmišljenih rješenja na razini EU-a, uzimajući u obzir postojeće sustave u državama članicama i kojima se poduzećima, posebno malim i srednjim poduzećima, ne nameću dodatna, nerazmjerna i nepotrebna opterećenja;</w:t>
      </w:r>
    </w:p>
    <w:p w:rsidR="00E4782E" w:rsidRPr="00CC46BB" w:rsidRDefault="00E4782E" w:rsidP="00E4782E">
      <w:pPr>
        <w:widowControl/>
        <w:spacing w:after="240"/>
        <w:ind w:left="567" w:hanging="567"/>
      </w:pPr>
      <w:r w:rsidRPr="00CC46BB">
        <w:t>5.</w:t>
      </w:r>
      <w:r w:rsidRPr="00CC46BB">
        <w:tab/>
        <w:t>ističe da je od presudne važnosti boriti se protiv agresivnog poreznog planiranja</w:t>
      </w:r>
      <w:r w:rsidRPr="00CC46BB">
        <w:rPr>
          <w:rStyle w:val="FootnoteReference"/>
        </w:rPr>
        <w:footnoteReference w:id="28"/>
      </w:r>
      <w:r w:rsidRPr="00CC46BB">
        <w:t xml:space="preserve"> i utaje poreza te istodobno promicati fiskalnu pravednost, transparentnost i sigurnost; ističe da </w:t>
      </w:r>
      <w:r w:rsidRPr="00CC46BB">
        <w:lastRenderedPageBreak/>
        <w:t>će se rješavanjem pitanja utaje poreza, izbjegavanja plaćanja poreza i agresivnog poreznog planiranja osigurati dodatni porezni prihodi koji će nacionalnim vladama pomoći da zadrže poreze na razinama kojima se podupiru održivi gospodarski rast te fiskalna privlačnost i konkurentnost EU-a;</w:t>
      </w:r>
    </w:p>
    <w:p w:rsidR="00E4782E" w:rsidRPr="00CC46BB" w:rsidRDefault="00E4782E" w:rsidP="00E4782E">
      <w:pPr>
        <w:pStyle w:val="NormalHanging12a"/>
      </w:pPr>
      <w:r w:rsidRPr="00CC46BB">
        <w:t>6.</w:t>
      </w:r>
      <w:r w:rsidRPr="00CC46BB">
        <w:tab/>
        <w:t>poziva Komisiju da podsjeti države članice na provedbu preporuka u okviru europskog semestra i procjenu nacionalnih planova za oporavak i otpornost u pogledu agresivnog poreznog planiranja;</w:t>
      </w:r>
    </w:p>
    <w:p w:rsidR="00E4782E" w:rsidRPr="00CC46BB" w:rsidRDefault="00E4782E" w:rsidP="00E4782E">
      <w:pPr>
        <w:pStyle w:val="NormalHanging12a"/>
      </w:pPr>
      <w:r w:rsidRPr="00CC46BB">
        <w:t>7.</w:t>
      </w:r>
      <w:r w:rsidRPr="00CC46BB">
        <w:tab/>
        <w:t>prepoznaje prijašnje mjere EU-a protiv utaje poreza i agresivnog poreznog planiranja u skladu s međunarodnim kretanjima na razini OECD-a i skupine G20; prima na znanje brojne porezne direktive od 2011. koje su dovele do pravednijeg, jednostavnijeg i učinkovitijeg oporezivanja trgovačkih društava u EU-u te do većeg broja poreznih obveza za trgovačka društva u EU-u</w:t>
      </w:r>
      <w:r w:rsidRPr="00CC46BB">
        <w:rPr>
          <w:rStyle w:val="FootnoteReference"/>
        </w:rPr>
        <w:footnoteReference w:id="29"/>
      </w:r>
      <w:r w:rsidRPr="00CC46BB">
        <w:t>; napominje da bi koristi od navedenih direktiva trebale nadmašiti njihove troškove te da ispunjavanje poreznih obveza za trgovačka društva unutar EU-a, posebno mala i srednja poduzeća, te relevantni troškovi ne bi trebali biti nerazmjerni; međutim, također napominje da su direktive blokirane u Vijeću, kao što su porez na financijske transakcije ili prijedlozi o zajedničkoj osnovici poreza na dobit i zajedničkoj konsolidiranoj osnovici poreza na dobit; u tom pogledu ističe da je Parlament 2018. donio zajedničko stajalište o Direktivi o zajedničkoj konsolidiranoj osnovici poreza na dobit</w:t>
      </w:r>
      <w:r w:rsidRPr="00CC46BB">
        <w:rPr>
          <w:rStyle w:val="FootnoteReference"/>
        </w:rPr>
        <w:footnoteReference w:id="30"/>
      </w:r>
      <w:r w:rsidRPr="00CC46BB">
        <w:t>;</w:t>
      </w:r>
    </w:p>
    <w:p w:rsidR="00E4782E" w:rsidRPr="00CC46BB" w:rsidRDefault="00E4782E" w:rsidP="00E4782E">
      <w:pPr>
        <w:pStyle w:val="NormalHanging12a"/>
      </w:pPr>
      <w:r w:rsidRPr="00CC46BB">
        <w:t>8.</w:t>
      </w:r>
      <w:r w:rsidRPr="00CC46BB">
        <w:tab/>
        <w:t>žali zbog činjenice da su u nekim slučajevima države članice provodile i primjenjivale porezne direktive na različite načine, što može narušiti ispravno funkcioniranje jedinstvenog tržišta i uzrokovati neusklađenosti poreznih osnovica, povećanje birokracije i veće troškove usklađivanja; poziva države članice da osiguraju potpuno prenošenje poreznih direktiva i ispunjavanje namjera koje su u njima utvrđene; u tom pogledu žali zbog činjenice da nacionalni porezni sustavi, porezne uprave i općenito razlike u široj javnoj upravi zemalja utječu na opterećenje povezano s usklađivanjem, posebno za mala i srednja poduzeća, jer se moraju nositi s do 27 različitih poreznih sustava, kao što je Komisija utvrdila u siječnju 2022.; poziva Komisiju da uputi dosljedne, pravedne i jasne preporuke o prenošenju direktiva u pojedinačne države članice, kao i o njihovoj učinkovitoj provedbi; poziva države članice i Europsku komisiju da na najbolji način iskoriste postojeće forume EU-a kako bi se osigurala dosljedna provedba poreznog prava EU-a u svim državama članicama;</w:t>
      </w:r>
    </w:p>
    <w:p w:rsidR="00E4782E" w:rsidRPr="00CC46BB" w:rsidRDefault="00E4782E" w:rsidP="00E4782E">
      <w:pPr>
        <w:pStyle w:val="NormalHanging12a"/>
      </w:pPr>
      <w:r w:rsidRPr="00CC46BB">
        <w:t>9.</w:t>
      </w:r>
      <w:r w:rsidRPr="00CC46BB">
        <w:tab/>
        <w:t>ističe da porezno okruženje, posebno u pogledu oporezivanja dobiti, utječe na odluke o ulaganjima te je stoga jedan od čimbenika koji utječu na otvaranje radnih mjesta, održivi gospodarski rast i konkurentnost;</w:t>
      </w:r>
    </w:p>
    <w:p w:rsidR="00E4782E" w:rsidRPr="00CC46BB" w:rsidRDefault="00E4782E" w:rsidP="00E87689">
      <w:pPr>
        <w:pStyle w:val="NormalHanging12a"/>
        <w:ind w:left="0" w:firstLine="0"/>
        <w:rPr>
          <w:b/>
          <w:i/>
        </w:rPr>
      </w:pPr>
      <w:r w:rsidRPr="00CC46BB">
        <w:rPr>
          <w:b/>
          <w:i/>
        </w:rPr>
        <w:t>Smanjenje opterećenja povezanog s usklađivanjem za poduzeća u EU-u, posebno mala i srednja poduzeća</w:t>
      </w:r>
    </w:p>
    <w:p w:rsidR="00E4782E" w:rsidRPr="00CC46BB" w:rsidRDefault="00E4782E" w:rsidP="00E4782E">
      <w:pPr>
        <w:pStyle w:val="NormalHanging12a"/>
      </w:pPr>
      <w:r w:rsidRPr="00CC46BB">
        <w:t>10.</w:t>
      </w:r>
      <w:r w:rsidRPr="00CC46BB">
        <w:tab/>
        <w:t xml:space="preserve">napominje da Komisija smatra da procijenjeni troškovi izvršenja poreznih obveza za </w:t>
      </w:r>
      <w:r w:rsidRPr="00CC46BB">
        <w:lastRenderedPageBreak/>
        <w:t>velika multinacionalna poduzeća iznose oko 2 % plaćenog poreza, dok za mala i srednja poduzeća oni iznose oko 30 % plaćenog poreza; žali zbog toga što su neke države članice razvile porezne sustave koji stvaraju razlike između multinacionalnih poduzeća te malih i srednjih poduzeća, čime su mala i srednja poduzeća stavljena u nepovoljan položaj u odnosu na konkurenciju; podsjeća da su mala i srednja poduzeća glavni pokretači gospodarskog rasta i otvaranja radnih mjesta; poziva Europsku komisiju da osmisli porezne politike koje će olakšati njihovu provedbu za manja poduzeća, smanjenjem troškova koje snose i smanjenjem njihove administrativne obveze u skladu s poreznim pravom;</w:t>
      </w:r>
    </w:p>
    <w:p w:rsidR="00E4782E" w:rsidRPr="00CC46BB" w:rsidRDefault="00E4782E" w:rsidP="00E4782E">
      <w:pPr>
        <w:pStyle w:val="NormalHanging12a"/>
      </w:pPr>
      <w:r w:rsidRPr="00CC46BB">
        <w:t>11.</w:t>
      </w:r>
      <w:r w:rsidRPr="00CC46BB">
        <w:tab/>
        <w:t>poziva Komisiju da na razini EU-a provede studiju o razini troškova ispunjavanja poreznih obveza za svaku zemlju i sveobuhvatnu procjenu utvrđenog scenarija; osim toga, poziva Komisiju da takvu procjenu poprati inicijativom za rješavanje problema visokih troškova usklađivanja i poboljšanje suradnje kako bi se smanji</w:t>
      </w:r>
      <w:r w:rsidR="00784120">
        <w:t>lo administrativno opterećenje;</w:t>
      </w:r>
      <w:bookmarkStart w:id="8" w:name="_GoBack"/>
      <w:bookmarkEnd w:id="8"/>
    </w:p>
    <w:p w:rsidR="00E4782E" w:rsidRPr="00CC46BB" w:rsidRDefault="00E4782E" w:rsidP="00E4782E">
      <w:pPr>
        <w:pStyle w:val="NormalHanging12a"/>
      </w:pPr>
      <w:r w:rsidRPr="00CC46BB">
        <w:t>12.</w:t>
      </w:r>
      <w:r w:rsidRPr="00CC46BB">
        <w:tab/>
        <w:t>primjećuje da su na jedinstvenom tržištu prekogranične aktivnosti za radnike i samozaposlene i dalje administrativno složene iz perspektive poreza i socijalnog osiguranja; nadalje primjećuje da je veća učestalost rada na daljinu pogoršala taj problem;</w:t>
      </w:r>
    </w:p>
    <w:p w:rsidR="00E4782E" w:rsidRPr="00CC46BB" w:rsidRDefault="00E4782E" w:rsidP="00E4782E">
      <w:pPr>
        <w:pStyle w:val="NormalHanging12a"/>
      </w:pPr>
      <w:r w:rsidRPr="00CC46BB">
        <w:t>13.</w:t>
      </w:r>
      <w:r w:rsidRPr="00CC46BB">
        <w:tab/>
        <w:t>poziva Komisiju da predstavi sveobuhvatnu ocjenu prethodnih mjera poduzetih u području oporezivanja dobiti od 2011. i da objavi temeljitu procjenu učinka najboljih opcija za smanjenje administrativnog opterećenja za poduzeća, posebno mala i srednja poduzeća, kako bi se utvrdile sve razlike u prenošenju u EU-u i utvrdila područja za pojednostavnjenje te osiguralo da poduzeća koja su već pod pritiskom imaju razuman vremenski okvir za provedbu politika; ističe zahtjev Europskog vijeća od 22. ožujka 2023. da Komisija provede provjere konkurentnosti novih zakonodavnih prijedloga, među ostalim o oporezivanju, te naglašava da bi podnošenje svakog novog prijedloga, ako je potrebno, trebalo doprinijeti neometanom funkcioniranju, integritetu i jednakim uvjetima jedinstvenog tržišta te ne stvara nerazmjerno opterećenje za trgovačka društva; poziva Komisiju da u novim zakonodavnim prijedlozima o oporezivanju također uzme u obzir kompatibilnost s rješenjima (uključujući digitalna rješenja) koja su već uvedena u pojedinačnim državama članicama i koja pomažu da se smanji opterećenje poduzeća;</w:t>
      </w:r>
    </w:p>
    <w:p w:rsidR="00E4782E" w:rsidRPr="00CC46BB" w:rsidRDefault="00E4782E" w:rsidP="00E4782E">
      <w:pPr>
        <w:pStyle w:val="NormalHanging12a"/>
      </w:pPr>
      <w:r w:rsidRPr="00CC46BB">
        <w:t>14.</w:t>
      </w:r>
      <w:r w:rsidRPr="00CC46BB">
        <w:tab/>
        <w:t xml:space="preserve">prima na znanje ishod Konferencije o budućnosti Europe od 9. svibnja 2022. i prijedloge o jačanju konkurentnosti EU-a i daljnjem produbljivanju jedinstvenog tržišta radi postizanja određene razine usklađenosti i koordinacije poreznih politika u državama članicama kako bi se spriječila utaja i izbjegavanje plaćanja poreza uz podupiranje gospodarskog uspjeha poduzeća; čeka prijedlog predsjednice Komisije </w:t>
      </w:r>
      <w:proofErr w:type="spellStart"/>
      <w:r w:rsidRPr="00CC46BB">
        <w:t>Ursule</w:t>
      </w:r>
      <w:proofErr w:type="spellEnd"/>
      <w:r w:rsidRPr="00CC46BB">
        <w:t xml:space="preserve"> von </w:t>
      </w:r>
      <w:proofErr w:type="spellStart"/>
      <w:r w:rsidRPr="00CC46BB">
        <w:t>der</w:t>
      </w:r>
      <w:proofErr w:type="spellEnd"/>
      <w:r w:rsidRPr="00CC46BB">
        <w:t xml:space="preserve"> </w:t>
      </w:r>
      <w:proofErr w:type="spellStart"/>
      <w:r w:rsidRPr="00CC46BB">
        <w:t>Leyen</w:t>
      </w:r>
      <w:proofErr w:type="spellEnd"/>
      <w:r w:rsidRPr="00CC46BB">
        <w:t xml:space="preserve"> od 19. listopada 2022. o uvođenju standardne provjere konkurentnosti u propisima EU-a; ističe da bi pri izradi novog poreznog prava trebalo uzeti u obzir održavanje konkurentnosti gospodarstva EU-a; očekuje da će konkurentnost u potpunosti poštovati postojeće radne i socijalne standarde EU-a;</w:t>
      </w:r>
    </w:p>
    <w:p w:rsidR="00E87689" w:rsidRPr="00CC46BB" w:rsidRDefault="00E4782E" w:rsidP="00E4782E">
      <w:pPr>
        <w:pStyle w:val="NormalHanging12a"/>
      </w:pPr>
      <w:r w:rsidRPr="00CC46BB">
        <w:t>15.</w:t>
      </w:r>
      <w:r w:rsidRPr="00CC46BB">
        <w:tab/>
        <w:t xml:space="preserve">pozdravlja plan </w:t>
      </w:r>
      <w:proofErr w:type="spellStart"/>
      <w:r w:rsidRPr="00CC46BB">
        <w:t>REPowerEU</w:t>
      </w:r>
      <w:proofErr w:type="spellEnd"/>
      <w:r w:rsidRPr="00CC46BB">
        <w:t xml:space="preserve"> i njegove prioritete te poziva države članice da prema prijedlogu Komisije razmotre uključivanje poreznih mjera u svoje izmijenjene nacionalne planove za oporavak i otpornost, kako bi se ubrzalo izvršenje sredstava, postigla veća konkurentnost i pomoglo malim i srednjim poduzećima, trgovačkim društvima i industrijskom sektoru u postizanju ciljeva tog programa;</w:t>
      </w:r>
    </w:p>
    <w:p w:rsidR="00E4782E" w:rsidRPr="00CC46BB" w:rsidRDefault="00E4782E" w:rsidP="00E4782E">
      <w:pPr>
        <w:pStyle w:val="NormalHanging12a"/>
      </w:pPr>
      <w:r w:rsidRPr="00CC46BB">
        <w:lastRenderedPageBreak/>
        <w:t>16.</w:t>
      </w:r>
      <w:r w:rsidRPr="00CC46BB">
        <w:tab/>
        <w:t>prima na znanje nastavak rasprave o poreznim poticajima nakon donošenja oglednih pravila drugog stupa kojima je osigurana minimalna razina učinkovitog oporezivanja dobiti poduzeća od 15 % i kao odgovor na američki Zakon o smanjenju inflacije; poziva Komisiju da analizira eksperimentiranje s poreznim olakšicama, posebno unutar revidiranog okvira državnih potpora EU-a; unatoč tome napominje da bi se sve odluke trebale donositi koordinirano kako bi se održalo funkcioniranje jedinstvenog tržišta, u skladu sa zakonima o tržišnom natjecanju te kako bi se izbjeglo međunarodno natjecanje u subvencioniranju; naglašava da bi se poreznim poticajima trebala privući stvarna ulaganja, uzimajući u obzir zabrinutost zbog starenja društva, pristojnih radnih i socijalnih standarda te zelene i digitalne tranzicije;</w:t>
      </w:r>
    </w:p>
    <w:p w:rsidR="00E4782E" w:rsidRPr="00CC46BB" w:rsidRDefault="00E4782E" w:rsidP="00E4782E">
      <w:pPr>
        <w:pStyle w:val="NormalHanging12a"/>
      </w:pPr>
      <w:r w:rsidRPr="00CC46BB">
        <w:t>17.</w:t>
      </w:r>
      <w:r w:rsidRPr="00CC46BB">
        <w:tab/>
        <w:t>napominje da bi se države članice mogle uključiti u politike potpunog troška za kapitalna ulaganja i da odredbe o kapitalnim odbitcima iznad troška amortizacije postanu trajne kako bi se poboljšala stvarna ulaganja, posebno ulaganja u istraživanja i razvoj, dostigli klimatski ciljevi te pomoglo europskoj konkurentnosti; smatra da potpuno smanjenje kapitalnih ulaganja zahtijeva koordiniranu provedbu, pažljivo osmišljavanje i znatnu dužnu upravnu pažnju kako bi se spriječilo da se ona koriste za dobivanje neopravdanih poreznih subvencija ili zloupotrebe poreza; stoga smatra da bi takve politike trebale biti usko povezane s redovitim praćenjem i analizama učinka prelijevanja;</w:t>
      </w:r>
    </w:p>
    <w:p w:rsidR="00E4782E" w:rsidRPr="00CC46BB" w:rsidRDefault="00E4782E" w:rsidP="00E4782E">
      <w:pPr>
        <w:pStyle w:val="NormalHanging12a"/>
      </w:pPr>
      <w:r w:rsidRPr="00CC46BB">
        <w:t>18.</w:t>
      </w:r>
      <w:r w:rsidRPr="00CC46BB">
        <w:tab/>
        <w:t>poziva države članice da s obzirom na visoke stope inflacije smanje opterećenje poduzeća, posebno malih i srednjih poduzeća, na primjer privremenim poreznim mjerama za ublažavanje povećanja troškova energije, te da dodatne prihode na temelju viših cijena energije iskoriste za pružanje izravne i ciljane pomoći kako bi se pomoglo najugroženijim građanima i srednjoj klasi te kako bi se rasteretili građani i poduzeća, posebno mala i srednja poduzeća koji su ozbiljno pogođeni krizom;</w:t>
      </w:r>
    </w:p>
    <w:p w:rsidR="00E4782E" w:rsidRPr="00CC46BB" w:rsidRDefault="00E4782E" w:rsidP="00E4782E">
      <w:pPr>
        <w:pStyle w:val="NormalHanging12a"/>
        <w:rPr>
          <w:b/>
          <w:i/>
        </w:rPr>
      </w:pPr>
      <w:r w:rsidRPr="00CC46BB">
        <w:rPr>
          <w:b/>
          <w:i/>
        </w:rPr>
        <w:t>Sporazum o drugom stupu</w:t>
      </w:r>
    </w:p>
    <w:p w:rsidR="00E4782E" w:rsidRPr="00CC46BB" w:rsidRDefault="00E4782E" w:rsidP="00E4782E">
      <w:pPr>
        <w:pStyle w:val="NormalHanging12a"/>
      </w:pPr>
      <w:r w:rsidRPr="00CC46BB">
        <w:t>19.</w:t>
      </w:r>
      <w:r w:rsidRPr="00CC46BB">
        <w:tab/>
        <w:t xml:space="preserve">pozdravlja činjenicu da je </w:t>
      </w:r>
      <w:proofErr w:type="spellStart"/>
      <w:r w:rsidRPr="00CC46BB">
        <w:t>dvostupno</w:t>
      </w:r>
      <w:proofErr w:type="spellEnd"/>
      <w:r w:rsidRPr="00CC46BB">
        <w:t xml:space="preserve"> rješenje postignuto na razini OECD-a i skupine G20 u sklopu </w:t>
      </w:r>
      <w:proofErr w:type="spellStart"/>
      <w:r w:rsidRPr="00CC46BB">
        <w:t>Uključivog</w:t>
      </w:r>
      <w:proofErr w:type="spellEnd"/>
      <w:r w:rsidRPr="00CC46BB">
        <w:t xml:space="preserve"> okvira o raspodjeli prava oporezivanja i primjeni minimalne efektivne porezne stope od najmanje 15 % na globalnu dobit multinacionalnih poduzeća i donošenje Direktive o drugom stupu kojom se međunarodni sporazum prenosi u pravo EU-a; poziva Komisiju da izvijesti Parlament o uspjehu postupka ratifikacije sporazuma o drugom stupu u trećim zemljama;</w:t>
      </w:r>
    </w:p>
    <w:p w:rsidR="00E4782E" w:rsidRPr="00CC46BB" w:rsidRDefault="00E4782E" w:rsidP="00E4782E">
      <w:pPr>
        <w:pStyle w:val="NormalHanging12a"/>
      </w:pPr>
      <w:r w:rsidRPr="00CC46BB">
        <w:t>20.</w:t>
      </w:r>
      <w:r w:rsidRPr="00CC46BB">
        <w:tab/>
        <w:t>primjećuje da, uz suočavanje s nestabilnim poslovnim okruženjem i sve većim brojem poreznih direktiva EU-a, poduzeća usmjeravaju svoje financijske i ljudske resurse na primjenu pravila drugog stupa te poštovanje smjernica OECD-a i daljnjih tumačenja pojedinačnih država članica; prima na znanje paket Komisije od 12. </w:t>
      </w:r>
      <w:r w:rsidR="0046210F">
        <w:t>rujna</w:t>
      </w:r>
      <w:r w:rsidRPr="00CC46BB">
        <w:t> 2023. o pojednostavnjenju poreza za mala i srednja poduzeća, BEFIT-u te transfernim cijenama; sa zanimanjem iščekuje početak pregovora o različitim predmetima i procjenu učinkovitosti i učinka pravila drugog stupa, posebno u okviru očekivanih ciljeva, analize troškova i koristi, borbe protiv utaje i izbjegavanja plaćanja poreza, štetne porezne konkurencije i većih poreznih prihoda;</w:t>
      </w:r>
    </w:p>
    <w:p w:rsidR="00E4782E" w:rsidRPr="00CC46BB" w:rsidRDefault="00E4782E" w:rsidP="00E4782E">
      <w:pPr>
        <w:pStyle w:val="NormalHanging12a"/>
      </w:pPr>
      <w:r w:rsidRPr="00CC46BB">
        <w:t>21.</w:t>
      </w:r>
      <w:r w:rsidRPr="00CC46BB">
        <w:rPr>
          <w:b/>
          <w:i/>
        </w:rPr>
        <w:tab/>
      </w:r>
      <w:r w:rsidRPr="00CC46BB">
        <w:t>primjećuje da su pravila prvog i drugog stupa primjenjiva samo na multinacionalna poduzeća s prometom većim od 20 milijardi EUR</w:t>
      </w:r>
      <w:r w:rsidRPr="00CC46BB">
        <w:rPr>
          <w:rStyle w:val="Heading1Char"/>
          <w:sz w:val="21"/>
          <w:shd w:val="clear" w:color="auto" w:fill="FFFFFF"/>
          <w:lang w:val="hr-HR"/>
        </w:rPr>
        <w:t xml:space="preserve"> </w:t>
      </w:r>
      <w:r w:rsidRPr="00CC46BB">
        <w:t xml:space="preserve">i s profitabilnošću većom od 10 % odnosno 750 milijuna EUR; napominje da je stoga većina poduzeća, posebno malih i srednjih poduzeća, izuzeta iz tog sporazuma; prima na znanje napore koje Komisija </w:t>
      </w:r>
      <w:r w:rsidRPr="00CC46BB">
        <w:lastRenderedPageBreak/>
        <w:t>ulaže u izgradnju BEFIT-a na temelju međunarodnog sporazuma o drugom stupu i Direktive EU-a o drugom stupu;</w:t>
      </w:r>
    </w:p>
    <w:p w:rsidR="00E4782E" w:rsidRPr="00CC46BB" w:rsidRDefault="00E4782E" w:rsidP="00E4782E">
      <w:pPr>
        <w:pStyle w:val="NormalHanging12a"/>
      </w:pPr>
      <w:r w:rsidRPr="00CC46BB">
        <w:t>22.</w:t>
      </w:r>
      <w:r w:rsidRPr="00CC46BB">
        <w:tab/>
        <w:t xml:space="preserve">shvaća da je sporazum o </w:t>
      </w:r>
      <w:proofErr w:type="spellStart"/>
      <w:r w:rsidRPr="00CC46BB">
        <w:t>Uključivom</w:t>
      </w:r>
      <w:proofErr w:type="spellEnd"/>
      <w:r w:rsidRPr="00CC46BB">
        <w:t xml:space="preserve"> okviru skupine G20 i OECD-a zamišljen kao paket s ciljem da se oba stupa istodobno primjenjuju; prima na znanje izjavu OECD-a i skupine G20 od 11. srpnja 2023. o </w:t>
      </w:r>
      <w:proofErr w:type="spellStart"/>
      <w:r w:rsidRPr="00CC46BB">
        <w:t>dvostupnom</w:t>
      </w:r>
      <w:proofErr w:type="spellEnd"/>
      <w:r w:rsidRPr="00CC46BB">
        <w:t xml:space="preserve"> rješenju za prevladavanje poreznih izazova koji proizlaze iz digitalizacije gospodarstva; žali zbog toga što prvi i drugi stup nemaju isti raspored; prima na znanje međunarodni scenarij prijenosa direktiva prvog stupa i drugog stupa;</w:t>
      </w:r>
    </w:p>
    <w:p w:rsidR="00E4782E" w:rsidRPr="00CC46BB" w:rsidRDefault="00E4782E" w:rsidP="00E4782E">
      <w:pPr>
        <w:pStyle w:val="NormalHanging12a"/>
      </w:pPr>
      <w:r w:rsidRPr="00CC46BB">
        <w:t>23.</w:t>
      </w:r>
      <w:r w:rsidRPr="00CC46BB">
        <w:tab/>
        <w:t>prima na znanje nedavnu reformu Skupine za Kodeks o postupanju u pogledu proširenja njezina područja primjene tijekom 2022.; poziva Komisiju, države članice i Skupinu za Kodeks o postupanju pri oporezivanju poslovanja da predstave procjenu prethodnih reformi; podsjeća na svoje stajalište od 7. listopada 2021. da se u procjenu uključe porezne mjere koje dovode do niskih razina oporezivanja u skladu sa drugim stupom;</w:t>
      </w:r>
    </w:p>
    <w:p w:rsidR="00E4782E" w:rsidRPr="00CC46BB" w:rsidRDefault="00E4782E" w:rsidP="00E4782E">
      <w:pPr>
        <w:pStyle w:val="NormalHanging12a"/>
      </w:pPr>
      <w:r w:rsidRPr="00CC46BB">
        <w:t>24.</w:t>
      </w:r>
      <w:r w:rsidRPr="00CC46BB">
        <w:tab/>
        <w:t xml:space="preserve">prima na znanje činjenicu da Komisija razmatra mogućnost uvođenja novih vlastitih sredstava koja se temelje na okviru BEFIT-a nakon donošenja, u skladu s </w:t>
      </w:r>
      <w:proofErr w:type="spellStart"/>
      <w:r w:rsidRPr="00CC46BB">
        <w:t>Međuinstitucijskim</w:t>
      </w:r>
      <w:proofErr w:type="spellEnd"/>
      <w:r w:rsidRPr="00CC46BB">
        <w:t xml:space="preserve"> Sporazumom od 16. prosinca 2020. između Europskog parlamenta, Vijeća Europske unije i Europske komisije o proračunskoj disciplini, suradnji u proračunskim pitanjima i dobrom financijskom upravljanju te novim vlastitim sredstvima, uključujući plan za uvođenje novih vlastitih sredstava (</w:t>
      </w:r>
      <w:proofErr w:type="spellStart"/>
      <w:r w:rsidRPr="00CC46BB">
        <w:t>međuinstitucijski</w:t>
      </w:r>
      <w:proofErr w:type="spellEnd"/>
      <w:r w:rsidRPr="00CC46BB">
        <w:t xml:space="preserve"> sporazum)</w:t>
      </w:r>
      <w:r w:rsidRPr="00CC46BB">
        <w:rPr>
          <w:rStyle w:val="FootnoteReference"/>
        </w:rPr>
        <w:footnoteReference w:id="31"/>
      </w:r>
      <w:r w:rsidRPr="00CC46BB">
        <w:t>; podsjeća da se Komisija obvezala predložiti digitalni namet ako se prvi stup ne provede tijekom aktualnog mandata; prima na znanje da je Komisija ponovno potvrdila da je BEFIT relevantan i u pogledu vlastitih sredstava;</w:t>
      </w:r>
    </w:p>
    <w:p w:rsidR="00E4782E" w:rsidRPr="00CC46BB" w:rsidRDefault="00E4782E" w:rsidP="00E4782E">
      <w:pPr>
        <w:pStyle w:val="NormalHanging12a"/>
      </w:pPr>
      <w:r w:rsidRPr="00CC46BB">
        <w:t>25.</w:t>
      </w:r>
      <w:r w:rsidRPr="00CC46BB">
        <w:tab/>
        <w:t>podsjeća da je Parlament već u više navrata, među ostalim u nedavno donesenoj Rezoluciji o vlastitim sredstvima: novi početak za financije EU-a, novi početak za Europu</w:t>
      </w:r>
      <w:r w:rsidRPr="00CC46BB">
        <w:rPr>
          <w:rStyle w:val="FootnoteReference"/>
        </w:rPr>
        <w:footnoteReference w:id="32"/>
      </w:r>
      <w:r w:rsidRPr="00CC46BB">
        <w:t xml:space="preserve">, izrazio potporu novim vlastitim sredstvima povezanima s oporezivanjem trgovačkih društava, kao što su zajednička konsolidirana osnovica poreza na dobit (CCCTB), porez na digitalne usluge i, u posljednje vrijeme, vlastita sredstva koja se temelje na prvom stupu, u kontekstu </w:t>
      </w:r>
      <w:proofErr w:type="spellStart"/>
      <w:r w:rsidRPr="00CC46BB">
        <w:t>Uključivog</w:t>
      </w:r>
      <w:proofErr w:type="spellEnd"/>
      <w:r w:rsidRPr="00CC46BB">
        <w:t xml:space="preserve"> okvira OECD-a za borbu protiv smanjenja porezne osnovice i premještanja dobiti; nadalje, podsjeća na svoj poziv na uvođenje poreza na financijske transakcije diljem EU-a i na procjenu daljnjih mogućnosti u obliku trošarina na otkup korporativnih dionica, kako je predloženo u Zakonu SAD-a o smanjenju inflacije, te na zajednički i standardizirani okvir poreza po odbitku;</w:t>
      </w:r>
    </w:p>
    <w:p w:rsidR="00E4782E" w:rsidRPr="00CC46BB" w:rsidRDefault="00E4782E" w:rsidP="00E4782E">
      <w:pPr>
        <w:pStyle w:val="NormalHanging12a"/>
      </w:pPr>
      <w:r w:rsidRPr="00CC46BB">
        <w:t>26.</w:t>
      </w:r>
      <w:r w:rsidRPr="00CC46BB">
        <w:tab/>
        <w:t>ističe da dobro osmišljena nova vlastita sredstva koja se temelje na porezu na dobit moraju biti u potpunosti usklađena s ciljem pojednostavljenog poreznog režima te da se njima može promicati fiskalna pravednost; poziva Komisiju da utvrdi sinergije između modernizacije poreznih pravila i potencijalnih vlastitih sredstava koja se temelje na porezima;</w:t>
      </w:r>
    </w:p>
    <w:p w:rsidR="00E4782E" w:rsidRPr="00CC46BB" w:rsidRDefault="00E4782E" w:rsidP="00E4782E">
      <w:pPr>
        <w:pStyle w:val="NormalHanging12a"/>
      </w:pPr>
      <w:r w:rsidRPr="00CC46BB">
        <w:t>27.</w:t>
      </w:r>
      <w:r w:rsidRPr="00CC46BB">
        <w:tab/>
        <w:t xml:space="preserve">prima na znanje prijedlog Komisije za prijelazna vlastita sredstva temeljena na statistici i povezana s korporativnim sektorom, koja bi se mogla provesti do moguće uspostave vlastitih sredstava povezanih s BEFIT-om; smatra da bi takva vlastita sredstva, </w:t>
      </w:r>
      <w:r w:rsidRPr="00CC46BB">
        <w:lastRenderedPageBreak/>
        <w:t>dosljedno osmišljena, trebala potaknuti države članice da ubrzaju pregovore o BEFIT-u;</w:t>
      </w:r>
    </w:p>
    <w:p w:rsidR="00E4782E" w:rsidRPr="00CC46BB" w:rsidRDefault="00E4782E" w:rsidP="00E4782E">
      <w:pPr>
        <w:pStyle w:val="NormalHanging12a"/>
      </w:pPr>
      <w:r w:rsidRPr="00CC46BB">
        <w:t>28.</w:t>
      </w:r>
      <w:r w:rsidRPr="00CC46BB">
        <w:tab/>
        <w:t xml:space="preserve">ponovno poziva države članice da što prije usvoje nova vlastita sredstva namijenjena pokrivanju otplate troškova zaduživanja u okviru instrumenta </w:t>
      </w:r>
      <w:proofErr w:type="spellStart"/>
      <w:r w:rsidRPr="00CC46BB">
        <w:rPr>
          <w:i/>
          <w:iCs/>
        </w:rPr>
        <w:t>Next</w:t>
      </w:r>
      <w:proofErr w:type="spellEnd"/>
      <w:r w:rsidRPr="00CC46BB">
        <w:rPr>
          <w:i/>
          <w:iCs/>
        </w:rPr>
        <w:t> </w:t>
      </w:r>
      <w:proofErr w:type="spellStart"/>
      <w:r w:rsidRPr="00CC46BB">
        <w:rPr>
          <w:i/>
          <w:iCs/>
        </w:rPr>
        <w:t>Generation</w:t>
      </w:r>
      <w:proofErr w:type="spellEnd"/>
      <w:r w:rsidRPr="00CC46BB">
        <w:rPr>
          <w:i/>
          <w:iCs/>
        </w:rPr>
        <w:t> EU</w:t>
      </w:r>
      <w:r w:rsidRPr="00CC46BB">
        <w:t xml:space="preserve"> i dostatnom financiranju njegovih politika i prioriteta;</w:t>
      </w:r>
    </w:p>
    <w:p w:rsidR="00E4782E" w:rsidRPr="00CC46BB" w:rsidRDefault="00E4782E" w:rsidP="00E87689">
      <w:pPr>
        <w:pStyle w:val="NormalHanging12a"/>
        <w:ind w:left="0" w:firstLine="0"/>
        <w:rPr>
          <w:b/>
          <w:i/>
        </w:rPr>
      </w:pPr>
      <w:r w:rsidRPr="00CC46BB">
        <w:rPr>
          <w:b/>
          <w:i/>
        </w:rPr>
        <w:t>Put prema usklađenijem i pojednostavnjenom sustavu oporezivanja dobiti poduzeća (BEFIT)</w:t>
      </w:r>
    </w:p>
    <w:p w:rsidR="00E4782E" w:rsidRPr="00CC46BB" w:rsidRDefault="00E4782E" w:rsidP="00E4782E">
      <w:pPr>
        <w:pStyle w:val="NormalHanging12a"/>
      </w:pPr>
      <w:r w:rsidRPr="00CC46BB">
        <w:t>29.</w:t>
      </w:r>
      <w:r w:rsidRPr="00CC46BB">
        <w:tab/>
        <w:t>prima na znanje da su BEFIT i paket pomoći za mala i srednja poduzeća komplementarni u pogledu oporezivanja i da im je cilj poboljšati pojednostavnjenje za poduzeća; poziva Komisiju da predloži mjere kako bi pomogla svim državama članicama da se usmjere prema pojednostavnjenom, učinkovitom i kompetitivnom poreznom sustavu radi smanjenja administrativnog opterećenja za poduzeća, posebno mala i srednja poduzeća; priznaje da su pojednostavnjenje postupaka povrata, odbitaka i sudskih sporova druga rješenja za smanjenje administrativnog opterećenja, posebno za mala i srednja poduzeća; u tom pogledu prima na znanje prijedlog Komisije iz lipnja 2023. o bržem i sigurnijem oslobođenju za preplaćeni porez po odbitku, čiji je cilj potaknuti prekogranična ulaganja i pomoći u sprečavanju zlouporabe poreza reformom postupaka poreza po odbitku te poziva na njegovo brzo donošenje i provedbu;</w:t>
      </w:r>
    </w:p>
    <w:p w:rsidR="00E4782E" w:rsidRPr="00CC46BB" w:rsidRDefault="00E4782E" w:rsidP="00E4782E">
      <w:pPr>
        <w:pStyle w:val="NormalHanging12a"/>
      </w:pPr>
      <w:r w:rsidRPr="00CC46BB">
        <w:t>30.</w:t>
      </w:r>
      <w:r w:rsidRPr="00CC46BB">
        <w:tab/>
        <w:t>napominje da je Kodeks o postupanju pri oporezivanju poslovanja od 1997. primarni instrument EU-a za sprečavanje štetnih poreznih mjera među trgovačkim društvima; naglašava da bi u okviru tog Kodeksa države članice trebale preispitati, mijenjati ili ukinuti svoje postojeće porezne mjere koje predstavljaju štetno porezno natjecanje te se suzdržati od uvođenja novih u budućnosti; u tom pogledu pozdravlja Zaključke Vijeća od 8. studenoga 2022. o reformi Kodeksa o postupanju pri oporezivanju poslovanja u pogledu područja primjene poreznih mjera koje se ispituju pri ispitivanju štetnih poreznih praksi u EU-u; poziva Skupinu za Kodeks o postupanju pri oporezivanju poslovanja da u potpunosti iskoristi svoj revidirani mandat;</w:t>
      </w:r>
    </w:p>
    <w:p w:rsidR="00E4782E" w:rsidRPr="00CC46BB" w:rsidRDefault="00E4782E" w:rsidP="00E4782E">
      <w:pPr>
        <w:pStyle w:val="NormalHanging12a"/>
      </w:pPr>
      <w:r w:rsidRPr="00CC46BB">
        <w:t>31.</w:t>
      </w:r>
      <w:r w:rsidRPr="00CC46BB">
        <w:tab/>
        <w:t>poziva Vijeće da bez daljnje odgode nastavi pregovore o prijedlogu „</w:t>
      </w:r>
      <w:proofErr w:type="spellStart"/>
      <w:r w:rsidRPr="00CC46BB">
        <w:t>Unshell</w:t>
      </w:r>
      <w:proofErr w:type="spellEnd"/>
      <w:r w:rsidRPr="00CC46BB">
        <w:t>”; podsjeća na prvotnu namjeru Komisije i stajalište Parlamenta od 17. siječnja 2023.</w:t>
      </w:r>
      <w:r w:rsidRPr="00CC46BB">
        <w:rPr>
          <w:rStyle w:val="FootnoteReference"/>
        </w:rPr>
        <w:footnoteReference w:id="33"/>
      </w:r>
      <w:r w:rsidRPr="00CC46BB">
        <w:t>;</w:t>
      </w:r>
    </w:p>
    <w:p w:rsidR="00E4782E" w:rsidRPr="00CC46BB" w:rsidRDefault="00E4782E" w:rsidP="00E4782E">
      <w:pPr>
        <w:pStyle w:val="NormalHanging12a"/>
      </w:pPr>
      <w:r w:rsidRPr="00CC46BB">
        <w:t>32.</w:t>
      </w:r>
      <w:r w:rsidRPr="00CC46BB">
        <w:tab/>
        <w:t>sa zanimanjem iščekuje učinke BEFIT-a i HOT-a o pojednostavnjenju složenog pravnog okvira za sustave oporezivanja dobiti poduzeća, što doprinosi privlačenju izravnih stranih ulaganja, poboljšanju konkurentnosti EU-a i smanjenju rizika od preseljenja poduzeća u treće zemlje; napominje Komunikaciju Komisije o oporezivanju poslovanja za 21. stoljeće u kojoj se navodi da „nepostojanje zajedničkog sustava poreza na dobit na jedinstvenom tržištu koči konkurentnost [...] čime se smanjuje njihova konkurentnost na tržištu u odnosu na tržišta trećih zemalja”; podsjeća da se jednostavnijim okvirom također smanjuju mogućnosti agresivnog poreznog planiranja;</w:t>
      </w:r>
    </w:p>
    <w:p w:rsidR="00E4782E" w:rsidRPr="00CC46BB" w:rsidRDefault="00E4782E" w:rsidP="00E4782E">
      <w:pPr>
        <w:pStyle w:val="NormalHanging12a"/>
      </w:pPr>
      <w:r w:rsidRPr="00CC46BB">
        <w:t>33.</w:t>
      </w:r>
      <w:r w:rsidRPr="00CC46BB">
        <w:tab/>
        <w:t xml:space="preserve">prima na znanje prijedlog Komisije o BEFIT-u radi osmišljavanja novog i jedinstvenog pravilnika EU-a o porezu na dobit i zajedničke porezne osnovice za oporezivanje dobiti za poduzeća; u tom kontekstu poziva Komisiju da osigura da se novim prijedlogom poduzećima pruži jasnoća i predvidljivost te da se njime olakšava prekogranična gospodarska aktivnost; naglašava da se u svakom takvom prijedlogu moraju uzeti u obzir postignuti sporazumi ili rasprave koje su u tijeku na globalnoj razini i kojima se </w:t>
      </w:r>
      <w:r w:rsidRPr="00CC46BB">
        <w:lastRenderedPageBreak/>
        <w:t>štite interesi EU-a; ponavlja da su sporazumi o okvirima poreza na dobit najučinkovitiji kada se postignu na globalnoj razini;</w:t>
      </w:r>
    </w:p>
    <w:p w:rsidR="00E4782E" w:rsidRPr="00CC46BB" w:rsidRDefault="00E4782E" w:rsidP="00E4782E">
      <w:pPr>
        <w:pStyle w:val="NormalHanging12a"/>
      </w:pPr>
      <w:r w:rsidRPr="00CC46BB">
        <w:t>34.</w:t>
      </w:r>
      <w:r w:rsidRPr="00CC46BB">
        <w:tab/>
        <w:t>shvaća da inicijativa o okviru BEFIT predstavlja priliku za suočavanje s troškovima povezanima s ispunjavanjem poreznih obveza i za smanjenje administrativnog opterećenja te da bi istodobno trebala pomoći u smanjenju agresivnog poreznog planiranja i u poticanju jednakih uvjeta za mala i srednja poduzeća; smatra da bi uklanjanje rupa u zakonu koje omogućuju utaju poreza, izbjegavanje plaćanja poreza i prijevare trebalo obuhvatiti zakonodavnim inicijativama u području oporezivanja; napominje da je za to potreban kontinuirani rad na okviru poreza na dobit kako bi ga se prilagodilo u tom pogledu;</w:t>
      </w:r>
    </w:p>
    <w:p w:rsidR="00E4782E" w:rsidRPr="00CC46BB" w:rsidRDefault="00E4782E" w:rsidP="00E4782E">
      <w:pPr>
        <w:pStyle w:val="NormalHanging12a"/>
      </w:pPr>
      <w:r w:rsidRPr="00CC46BB">
        <w:t>35.</w:t>
      </w:r>
      <w:r w:rsidRPr="00CC46BB">
        <w:tab/>
        <w:t xml:space="preserve">podsjeća da smatra da bi inicijativu BEFIT trebalo poduprijeti političkim procesom za izgradnju političke potpore promjenama; prima na znanje revidirano izvješće o procjeni učinka u kojem se pojašnjavaju pouke iz prethodnih inicijativa u području poreza na dobit i dodaju poveznice s OECD-ovim </w:t>
      </w:r>
      <w:proofErr w:type="spellStart"/>
      <w:r w:rsidRPr="00CC46BB">
        <w:t>dvostupnim</w:t>
      </w:r>
      <w:proofErr w:type="spellEnd"/>
      <w:r w:rsidRPr="00CC46BB">
        <w:t xml:space="preserve"> pristupom;</w:t>
      </w:r>
    </w:p>
    <w:p w:rsidR="00E4782E" w:rsidRPr="00CC46BB" w:rsidRDefault="00E4782E" w:rsidP="00E4782E">
      <w:pPr>
        <w:pStyle w:val="NormalHanging12a"/>
      </w:pPr>
      <w:r w:rsidRPr="00CC46BB">
        <w:t>36.</w:t>
      </w:r>
      <w:r w:rsidRPr="00CC46BB">
        <w:tab/>
        <w:t>pozdravlja predviđene ciljeve BEFIT-a, kako je navedeno u pozivu Komisije na očitovanje za procjenu učinka, da se poveća otpornost poduzeća smanjenjem složenosti prouzročene različitim skupovima nacionalnih poreznih pravila i troškova usklađivanja s kojima se suočavaju poduzeća iz EU-a u prekograničnom poslovanju, uklone prepreke za prekogranična ulaganja i jedinstveno tržište učini privlačnijim mjestom za međunarodna ulaganja, stvori okruženje pogodno za pošten i održiv rast otvarajući put administrativnom pojednostavnjenju te osigura održiv porezni prihod za proračun država članica, što je osobito važno u pogledu aktualno izazovne gospodarske klime i socijalnih izazova; smatra da provedba jedinstvenog poreznog pravilnika može pomoći u smanjenju mogućnosti izbjegavanja plaćanja poreza i štetnog poreznog natjecanja među državama članicama, uz istodobno pojednostavnjenje pravila o porezu na dobit u EU-u;</w:t>
      </w:r>
    </w:p>
    <w:p w:rsidR="00E4782E" w:rsidRPr="00CC46BB" w:rsidRDefault="00E4782E" w:rsidP="00E4782E">
      <w:pPr>
        <w:pStyle w:val="NormalHanging12a"/>
      </w:pPr>
      <w:r w:rsidRPr="00CC46BB">
        <w:t>37.</w:t>
      </w:r>
      <w:r w:rsidRPr="00CC46BB">
        <w:tab/>
        <w:t>ističe istaknutu ulogu poreznih uprava u osiguravanju provedbe reforme BEFIT-a; savjetuje da države članice u okviru budućeg programa „</w:t>
      </w:r>
      <w:proofErr w:type="spellStart"/>
      <w:r w:rsidRPr="00CC46BB">
        <w:t>Fiscalis</w:t>
      </w:r>
      <w:proofErr w:type="spellEnd"/>
      <w:r w:rsidRPr="00CC46BB">
        <w:t>” dodijele dostatna sredstva, uključujući osposobljavanje;</w:t>
      </w:r>
    </w:p>
    <w:p w:rsidR="00E4782E" w:rsidRPr="00CC46BB" w:rsidRDefault="00E4782E" w:rsidP="00E4782E">
      <w:pPr>
        <w:pStyle w:val="NormalHanging12a"/>
      </w:pPr>
      <w:r w:rsidRPr="00CC46BB">
        <w:t>38.</w:t>
      </w:r>
      <w:r w:rsidRPr="00CC46BB">
        <w:tab/>
        <w:t>podsjeća da su se u prethodnim pokušajima Unije da definira zajednički pravilnik razmatrala tri čimbenika: rad, imovina i prodaja; prima na znanje predanost Komisije da u okviru sveobuhvatnog preispitivanja prijelaznog pravila procijeni moguću izmjenu kako bi se uvela raspodjela na temelju formule za poreznu osnovicu BEFIT-a;</w:t>
      </w:r>
    </w:p>
    <w:p w:rsidR="00E4782E" w:rsidRPr="00CC46BB" w:rsidRDefault="00E4782E" w:rsidP="00E4782E">
      <w:pPr>
        <w:pStyle w:val="NormalHanging12a"/>
      </w:pPr>
      <w:r w:rsidRPr="00CC46BB">
        <w:t>39.</w:t>
      </w:r>
      <w:r w:rsidRPr="00CC46BB">
        <w:tab/>
        <w:t xml:space="preserve">napominje da se poduzeća koja posluju diljem EU-a moraju nositi s različitim poreznim zakonima i poreznim tijelima; ističe ideju o uspostavi jedinstvene kontaktne točke kojom bi se omogućilo podnošenje jedinstvene konsolidirane porezne prijave što bi moglo smanjiti administrativno opterećenje i porezne prepreke jedinstvenom tržištu; u tom pogledu poziva države članice da intenzivnije rade na uvođenju elektroničkog sustava za podnošenje zahtjeva od kojega bi porezni obveznici imali koristi; poziva Komisiju da procijeni hoće li zbog uvođenja jedinstvene kontaktne točke biti potrebno dodatno uskladiti osnovicu poreza na dobit i uspostaviti formule za pravednu i učinkovitu raspodjelu prava oporezivanja među državama članicama; poziva Komisiju da procijeni bi li se jedinstvena kontaktna točka mogla testirati za poslovne skupine koje posluju na jedinstvenom tržištu i primjenjuju pravila iz drugog stupa, pri čemu bi se nova pravila BEFIT-a naknadno uvrstila; u tom pogledu pozdravlja Komunikaciju </w:t>
      </w:r>
      <w:r w:rsidRPr="00CC46BB">
        <w:lastRenderedPageBreak/>
        <w:t>Komisije od 16. ožujka 2023. (COM(2023)0162), u kojoj je istaknuta korisnost jedinstvenih kontaktnih točaka za uklanjanje prepreka;</w:t>
      </w:r>
    </w:p>
    <w:p w:rsidR="00E4782E" w:rsidRPr="00CC46BB" w:rsidRDefault="00E4782E" w:rsidP="00E4782E">
      <w:pPr>
        <w:pStyle w:val="NormalHanging12a"/>
      </w:pPr>
      <w:r w:rsidRPr="00CC46BB">
        <w:t>40.</w:t>
      </w:r>
      <w:r w:rsidRPr="00CC46BB">
        <w:tab/>
        <w:t>smatra da bi sva vrlo velika poduzeća koja posluju u EU-u trebala biti obuhvaćena područjem primjene budućeg prijedloga BEFIT-a; poziva Komisiju da se pobrine za to da se ispune specifični zahtjevi malih i srednjih poduzeća, što će postići na način da okvir BEFIT bude neobavezan za mala i srednja poduzeća, osobito ona koja ne posluju prekogranično; pozdravlja, međutim, svaki prijedlog kojim će se manja poduzeća moći osloniti na dobrovoljan, pojednostavljen i usklađen okvir oporezivanja dobiti;</w:t>
      </w:r>
    </w:p>
    <w:p w:rsidR="00E4782E" w:rsidRPr="00CC46BB" w:rsidRDefault="00E4782E" w:rsidP="00E4782E">
      <w:pPr>
        <w:pStyle w:val="NormalHanging12a"/>
      </w:pPr>
      <w:r w:rsidRPr="00CC46BB">
        <w:t>41.</w:t>
      </w:r>
      <w:r w:rsidRPr="00CC46BB">
        <w:tab/>
        <w:t>naglašava da povlašteni porezni tretman duga u oporezivanju trgovačkih društava, kojim se omogućuju velikodušne porezne olakšice na isplate kamata, dok se troškovi financiranja vlasničkim kapitalom ne mogu odbiti na sličan način, ističe strukturne nedostatke s kojima se suočavaju poduzeća koja se oslanjaju na financiranje vlasničkim kapitalom koja su često mlađa i manja poduzeća s težim pristupom kreditima; prima na znanje da su se u prošlosti nezakonitim aktivnostima zloupotrebljavale olakšice za vlasnički kapital; prima na znanje prijedlog Komisije od 11. svibnja 2022. o rješavanju pitanja povlaštenog poreznog tretmana duga kao sredstva promicanja financiranja putem tržišta kapitala, a ne odvraćanja od financiranja zaduživanjem, uz istodobno priznavanje vlasništva država članica u pitanjima oporezivanja i odluku Vijeća od 6. prosinca 2022. da se obustavi ispitivanje tog prijedloga; poziva Vijeće da uz pomoć Komisije ponovno procijeni i po mogućnosti ponovno započne pregovore o tom prijedlogu; podržava uključivanje strogih odredbi protiv izbjegavanja plaćanja u prijedlog Komisije, uključujući one iz članka 5., te u tom pogledu poziva države članice da osiguraju visoku razinu zaštite od smanjenja porezne osnovice;</w:t>
      </w:r>
    </w:p>
    <w:p w:rsidR="00E4782E" w:rsidRPr="00CC46BB" w:rsidRDefault="00E4782E" w:rsidP="00E4782E">
      <w:pPr>
        <w:pStyle w:val="NormalHanging12a"/>
      </w:pPr>
      <w:r w:rsidRPr="00CC46BB">
        <w:t>42.</w:t>
      </w:r>
      <w:r w:rsidRPr="00CC46BB">
        <w:tab/>
        <w:t>smatra da bi se porezna sigurnost ojačala kad bi se države članice složile o tome koji porezni poticaji ne dovode do poremećaja; poziva Komisiju da ocijeni učinkovitost povlaštenih poreznih režima za patente i drugih režima intelektualnog vlasništva u skladu s novim pristupom utemeljenim na povezanosti koji je definiran u mjeri 5. Akcijskog plana za BEPS o štetnim poreznim praksama;</w:t>
      </w:r>
    </w:p>
    <w:p w:rsidR="00E4782E" w:rsidRPr="00CC46BB" w:rsidRDefault="00E4782E" w:rsidP="00E4782E">
      <w:pPr>
        <w:pStyle w:val="NormalHanging12a"/>
      </w:pPr>
      <w:r w:rsidRPr="00CC46BB">
        <w:t>43.</w:t>
      </w:r>
      <w:r w:rsidRPr="00CC46BB">
        <w:tab/>
        <w:t>poziva Komisiju i države članice da znatno povećaju proračune za istraživanje, razvoj i inovacije kako bi se na koordiniran način postigao cilj od 3 % BDP-a EU-a; ističe da usmjereni porezni poticaji za privatno istraživanje i razvoj (npr. porezni krediti, veće olakšice ili prilagođen raspored amortizacije) ako se primjenjuju na fiskalno odgovoran način, mogu pomoći u povećanju privatne potrošnje u te svrhe, što je često povezano s pozitivnim vanjskim učincima; naglašava da bi trebalo provoditi redovitu analizu takvih pozitivnih vanjskih učinaka te ih prilagoditi ili staviti izvan snage ako poticaji ne daju željeni rezultat, prima na znanje procjenu da su takvi poticaji učinkovitiji za mala i srednja poduzeća ako se temelje na rashodima</w:t>
      </w:r>
      <w:r w:rsidRPr="00CC46BB">
        <w:rPr>
          <w:rStyle w:val="FootnoteReference"/>
        </w:rPr>
        <w:footnoteReference w:id="34"/>
      </w:r>
      <w:r w:rsidRPr="00CC46BB">
        <w:t xml:space="preserve">; ističe da takvi porezni poticaji moraju biti strogo u skladu s postojećim zakonima i općim političkim prioritetima EU-a; podsjeća da je potrošnja poduzeća na istraživanje i razvoj iznosila samo 1,5 % BDP-a EU-a 2020., u odnosu na 2,6 % u Sjedinjenim Američkim Državama i Japanu, prema izvješću Europske investicijske banke o ulaganjima za 2022./2023.; napominje da bi taj manjak mogao smanjiti dugoročnu konkurentnost EU-a; u tom pogledu pozdravlja komunikaciju Komisije od 16. ožujka 2023. kojom se države članice potiču na pružanje </w:t>
      </w:r>
      <w:r w:rsidRPr="00CC46BB">
        <w:lastRenderedPageBreak/>
        <w:t>potpore istraživačkim i inovacijskim aktivnostima; poziva Komisiju da predstavi procjenu najdjelotvornijih i najučinkovitijih poreznih poticaja za privatno istraživanje i razvoj;</w:t>
      </w:r>
    </w:p>
    <w:p w:rsidR="00E4782E" w:rsidRPr="00CC46BB" w:rsidRDefault="00E4782E" w:rsidP="00E4782E">
      <w:pPr>
        <w:pStyle w:val="NormalHanging12a"/>
      </w:pPr>
      <w:r w:rsidRPr="00CC46BB">
        <w:t>44.</w:t>
      </w:r>
      <w:r w:rsidRPr="00CC46BB">
        <w:tab/>
        <w:t>poziva Komisiju da provede procjenu učinka upotrebe novih tehnologija za poboljšanje brzine, učinkovitosti, pouzdanosti, transparentnosti i otpornosti administrativnih postupaka povezanih s porezom; shvaća da bi nakon te procjene učinka mogao uslijediti prijedlog Komisije za jačanje suradnje među poreznim tijelima, na temelju utvrđenih najboljih praksi, kako bi se stvorilo povoljno okruženje za poduzeća, smanjila birokracija, troškovi usklađivanja i prekomjerno administrativno opterećenje;</w:t>
      </w:r>
    </w:p>
    <w:p w:rsidR="00E4782E" w:rsidRPr="00CC46BB" w:rsidRDefault="00E4782E" w:rsidP="00E4782E">
      <w:pPr>
        <w:pStyle w:val="NormalHanging12a"/>
        <w:jc w:val="center"/>
        <w:rPr>
          <w:rStyle w:val="BoldItalic"/>
          <w:b w:val="0"/>
          <w:i w:val="0"/>
        </w:rPr>
      </w:pPr>
      <w:r w:rsidRPr="00CC46BB">
        <w:rPr>
          <w:rStyle w:val="BoldItalic"/>
        </w:rPr>
        <w:t>°</w:t>
      </w:r>
    </w:p>
    <w:p w:rsidR="00E4782E" w:rsidRPr="00CC46BB" w:rsidRDefault="00E4782E" w:rsidP="00E4782E">
      <w:pPr>
        <w:pStyle w:val="NormalHanging12a"/>
        <w:jc w:val="center"/>
        <w:rPr>
          <w:rStyle w:val="BoldItalic"/>
          <w:b w:val="0"/>
          <w:i w:val="0"/>
        </w:rPr>
      </w:pPr>
      <w:r w:rsidRPr="00CC46BB">
        <w:rPr>
          <w:rStyle w:val="BoldItalic"/>
        </w:rPr>
        <w:t>°</w:t>
      </w:r>
      <w:r w:rsidRPr="00CC46BB">
        <w:rPr>
          <w:rStyle w:val="BoldItalic"/>
        </w:rPr>
        <w:tab/>
        <w:t>°</w:t>
      </w:r>
    </w:p>
    <w:p w:rsidR="00E4782E" w:rsidRPr="00CC46BB" w:rsidRDefault="00E4782E" w:rsidP="00E4782E">
      <w:pPr>
        <w:pStyle w:val="NormalHanging12a"/>
      </w:pPr>
      <w:r w:rsidRPr="00CC46BB">
        <w:t>45.</w:t>
      </w:r>
      <w:r w:rsidRPr="00CC46BB">
        <w:tab/>
        <w:t>nalaže svojoj predsjednici da ovu Rezoluciju proslijedi Vijeću i Komisiji.</w:t>
      </w:r>
    </w:p>
    <w:sectPr w:rsidR="00E4782E" w:rsidRPr="00CC46BB" w:rsidSect="00BA72F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2EA" w:rsidRPr="00BA72FA" w:rsidRDefault="002C72EA">
      <w:r w:rsidRPr="00BA72FA">
        <w:separator/>
      </w:r>
    </w:p>
  </w:endnote>
  <w:endnote w:type="continuationSeparator" w:id="0">
    <w:p w:rsidR="002C72EA" w:rsidRPr="00BA72FA" w:rsidRDefault="002C72EA">
      <w:r w:rsidRPr="00BA72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72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72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72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2EA" w:rsidRPr="00BA72FA" w:rsidRDefault="002C72EA">
      <w:r w:rsidRPr="00BA72FA">
        <w:separator/>
      </w:r>
    </w:p>
  </w:footnote>
  <w:footnote w:type="continuationSeparator" w:id="0">
    <w:p w:rsidR="002C72EA" w:rsidRPr="00BA72FA" w:rsidRDefault="002C72EA">
      <w:r w:rsidRPr="00BA72FA">
        <w:continuationSeparator/>
      </w:r>
    </w:p>
  </w:footnote>
  <w:footnote w:id="1">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hyperlink r:id="rId1" w:history="1">
        <w:r w:rsidRPr="00E87689">
          <w:rPr>
            <w:rStyle w:val="Hyperlink"/>
            <w:color w:val="auto"/>
            <w:sz w:val="24"/>
            <w:u w:val="none"/>
            <w:lang w:val="hr-HR"/>
          </w:rPr>
          <w:t>SL L 157, 26.6.2003., str. 49.</w:t>
        </w:r>
      </w:hyperlink>
    </w:p>
  </w:footnote>
  <w:footnote w:id="2">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hyperlink r:id="rId2" w:history="1">
        <w:r w:rsidRPr="00E87689">
          <w:rPr>
            <w:rStyle w:val="Hyperlink"/>
            <w:color w:val="auto"/>
            <w:sz w:val="24"/>
            <w:u w:val="none"/>
            <w:lang w:val="hr-HR"/>
          </w:rPr>
          <w:t>SL L 345, 29.12.2011., str. 8.</w:t>
        </w:r>
      </w:hyperlink>
    </w:p>
  </w:footnote>
  <w:footnote w:id="3">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hyperlink r:id="rId3" w:history="1">
        <w:r w:rsidRPr="00E87689">
          <w:rPr>
            <w:rStyle w:val="Hyperlink"/>
            <w:color w:val="auto"/>
            <w:sz w:val="24"/>
            <w:u w:val="none"/>
            <w:lang w:val="hr-HR"/>
          </w:rPr>
          <w:t>SL L 193, 19.7.2016., str. 1.</w:t>
        </w:r>
      </w:hyperlink>
    </w:p>
  </w:footnote>
  <w:footnote w:id="4">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hyperlink r:id="rId4" w:history="1">
        <w:r w:rsidRPr="00E87689">
          <w:rPr>
            <w:rStyle w:val="Hyperlink"/>
            <w:color w:val="auto"/>
            <w:sz w:val="24"/>
            <w:u w:val="none"/>
            <w:lang w:val="hr-HR"/>
          </w:rPr>
          <w:t>SL L 144, 7.6.2017., str. 1.</w:t>
        </w:r>
      </w:hyperlink>
    </w:p>
  </w:footnote>
  <w:footnote w:id="5">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hyperlink r:id="rId5" w:history="1">
        <w:r w:rsidRPr="00E87689">
          <w:rPr>
            <w:rStyle w:val="Hyperlink"/>
            <w:color w:val="auto"/>
            <w:sz w:val="24"/>
            <w:u w:val="none"/>
            <w:lang w:val="hr-HR"/>
          </w:rPr>
          <w:t>SL L 64, 11.3.2011., str. 1.</w:t>
        </w:r>
      </w:hyperlink>
    </w:p>
  </w:footnote>
  <w:footnote w:id="6">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hyperlink r:id="rId6" w:history="1">
        <w:r w:rsidRPr="00E87689">
          <w:rPr>
            <w:rStyle w:val="Hyperlink"/>
            <w:color w:val="auto"/>
            <w:sz w:val="24"/>
            <w:u w:val="none"/>
            <w:lang w:val="hr-HR"/>
          </w:rPr>
          <w:t>SL L 359, 16.12.2014., str. 1.</w:t>
        </w:r>
      </w:hyperlink>
    </w:p>
  </w:footnote>
  <w:footnote w:id="7">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"https://eur-lex.europa.</w:instrText>
      </w:r>
      <w:r w:rsidR="00784120" w:rsidRPr="00784120">
        <w:rPr>
          <w:lang w:val="hr-HR"/>
        </w:rPr>
        <w:instrText xml:space="preserve">eu/legal-content/HR/TXT/PDF/?uri=CELEX:32015L2376" </w:instrText>
      </w:r>
      <w:r w:rsidR="00784120">
        <w:fldChar w:fldCharType="separate"/>
      </w:r>
      <w:r w:rsidRPr="00E87689">
        <w:rPr>
          <w:rStyle w:val="Hyperlink"/>
          <w:color w:val="auto"/>
          <w:sz w:val="24"/>
          <w:u w:val="none"/>
          <w:lang w:val="hr-HR"/>
        </w:rPr>
        <w:t>SL L 332, 18.12.2015., str. 1.</w:t>
      </w:r>
      <w:r w:rsidR="00784120">
        <w:rPr>
          <w:rStyle w:val="Hyperlink"/>
          <w:color w:val="auto"/>
          <w:sz w:val="24"/>
          <w:u w:val="none"/>
          <w:lang w:val="hr-HR"/>
        </w:rPr>
        <w:fldChar w:fldCharType="end"/>
      </w:r>
    </w:p>
  </w:footnote>
  <w:footnote w:id="8">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"https://eur-lex.europa.eu/legal-content/HR/TXT/PDF/?uri=CELEX:32016L0881" </w:instrText>
      </w:r>
      <w:r w:rsidR="00784120">
        <w:fldChar w:fldCharType="separate"/>
      </w:r>
      <w:r w:rsidRPr="00E87689">
        <w:rPr>
          <w:rStyle w:val="Hyperlink"/>
          <w:color w:val="auto"/>
          <w:sz w:val="24"/>
          <w:u w:val="none"/>
          <w:lang w:val="hr-HR"/>
        </w:rPr>
        <w:t>SL L 146, 3.6.2016., str. 8.</w:t>
      </w:r>
      <w:r w:rsidR="00784120">
        <w:rPr>
          <w:rStyle w:val="Hyperlink"/>
          <w:color w:val="auto"/>
          <w:sz w:val="24"/>
          <w:u w:val="none"/>
          <w:lang w:val="hr-HR"/>
        </w:rPr>
        <w:fldChar w:fldCharType="end"/>
      </w:r>
    </w:p>
  </w:footnote>
  <w:footnote w:id="9">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"https://eur-lex.europa.eu/legal-con</w:instrText>
      </w:r>
      <w:r w:rsidR="00784120" w:rsidRPr="00784120">
        <w:rPr>
          <w:lang w:val="hr-HR"/>
        </w:rPr>
        <w:instrText xml:space="preserve">tent/HR/TXT/PDF/?uri=CELEX:32016L2258" </w:instrText>
      </w:r>
      <w:r w:rsidR="00784120">
        <w:fldChar w:fldCharType="separate"/>
      </w:r>
      <w:r w:rsidRPr="00E87689">
        <w:rPr>
          <w:rStyle w:val="Hyperlink"/>
          <w:color w:val="auto"/>
          <w:sz w:val="24"/>
          <w:u w:val="none"/>
          <w:lang w:val="hr-HR"/>
        </w:rPr>
        <w:t>SL L 342, 16.12.2016., str. 1.</w:t>
      </w:r>
      <w:r w:rsidR="00784120">
        <w:rPr>
          <w:rStyle w:val="Hyperlink"/>
          <w:color w:val="auto"/>
          <w:sz w:val="24"/>
          <w:u w:val="none"/>
          <w:lang w:val="hr-HR"/>
        </w:rPr>
        <w:fldChar w:fldCharType="end"/>
      </w:r>
    </w:p>
  </w:footnote>
  <w:footnote w:id="10">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"https://eur-lex.europa.eu/legal-content/HR/TXT/PDF/?uri=CELEX:32018L0822" </w:instrText>
      </w:r>
      <w:r w:rsidR="00784120">
        <w:fldChar w:fldCharType="separate"/>
      </w:r>
      <w:r w:rsidRPr="00E87689">
        <w:rPr>
          <w:rStyle w:val="Hyperlink"/>
          <w:color w:val="auto"/>
          <w:sz w:val="24"/>
          <w:u w:val="none"/>
          <w:lang w:val="hr-HR"/>
        </w:rPr>
        <w:t>SL L 139, 5.6.2018., str. 1.</w:t>
      </w:r>
      <w:r w:rsidR="00784120">
        <w:rPr>
          <w:rStyle w:val="Hyperlink"/>
          <w:color w:val="auto"/>
          <w:sz w:val="24"/>
          <w:u w:val="none"/>
          <w:lang w:val="hr-HR"/>
        </w:rPr>
        <w:fldChar w:fldCharType="end"/>
      </w:r>
    </w:p>
  </w:footnote>
  <w:footnote w:id="11">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"https://eur-lex.europa.eu/legal-content/HR/TXT/PDF/?uri=CELEX:32021L0514" </w:instrText>
      </w:r>
      <w:r w:rsidR="00784120">
        <w:fldChar w:fldCharType="separate"/>
      </w:r>
      <w:r w:rsidRPr="00E87689">
        <w:rPr>
          <w:rStyle w:val="Hyperlink"/>
          <w:color w:val="auto"/>
          <w:sz w:val="24"/>
          <w:u w:val="none"/>
          <w:lang w:val="hr-HR"/>
        </w:rPr>
        <w:t>SL L 104, 25.3.2021., str. 1.</w:t>
      </w:r>
      <w:r w:rsidR="00784120">
        <w:rPr>
          <w:rStyle w:val="Hyperlink"/>
          <w:color w:val="auto"/>
          <w:sz w:val="24"/>
          <w:u w:val="none"/>
          <w:lang w:val="hr-HR"/>
        </w:rPr>
        <w:fldChar w:fldCharType="end"/>
      </w:r>
    </w:p>
  </w:footnote>
  <w:footnote w:id="12">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"https://eur-lex.europa.eu/legal-content/HR/TXT/PDF/?uri=CELEX:32017L1852" </w:instrText>
      </w:r>
      <w:r w:rsidR="00784120">
        <w:fldChar w:fldCharType="separate"/>
      </w:r>
      <w:r w:rsidRPr="00E87689">
        <w:rPr>
          <w:rStyle w:val="Hyperlink"/>
          <w:color w:val="auto"/>
          <w:sz w:val="24"/>
          <w:u w:val="none"/>
          <w:lang w:val="hr-HR"/>
        </w:rPr>
        <w:t>SL L 265, 14.10.2017., str. 1.</w:t>
      </w:r>
      <w:r w:rsidR="00784120">
        <w:rPr>
          <w:rStyle w:val="Hyperlink"/>
          <w:color w:val="auto"/>
          <w:sz w:val="24"/>
          <w:u w:val="none"/>
          <w:lang w:val="hr-HR"/>
        </w:rPr>
        <w:fldChar w:fldCharType="end"/>
      </w:r>
    </w:p>
  </w:footnote>
  <w:footnote w:id="13">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w:instrText>
      </w:r>
      <w:r w:rsidR="00784120" w:rsidRPr="00784120">
        <w:rPr>
          <w:lang w:val="hr-HR"/>
        </w:rPr>
        <w:instrText xml:space="preserve">"https://eur-lex.europa.eu/legal-content/HR/TXT/PDF/?uri=CELEX:32021L2101" </w:instrText>
      </w:r>
      <w:r w:rsidR="00784120">
        <w:fldChar w:fldCharType="separate"/>
      </w:r>
      <w:r w:rsidRPr="00E87689">
        <w:rPr>
          <w:rStyle w:val="Hyperlink"/>
          <w:color w:val="auto"/>
          <w:sz w:val="24"/>
          <w:u w:val="none"/>
          <w:lang w:val="hr-HR"/>
        </w:rPr>
        <w:t>SL L 429, 1.12.2021., str. 1.</w:t>
      </w:r>
      <w:r w:rsidR="00784120">
        <w:rPr>
          <w:rStyle w:val="Hyperlink"/>
          <w:color w:val="auto"/>
          <w:sz w:val="24"/>
          <w:u w:val="none"/>
          <w:lang w:val="hr-HR"/>
        </w:rPr>
        <w:fldChar w:fldCharType="end"/>
      </w:r>
    </w:p>
  </w:footnote>
  <w:footnote w:id="14">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"https://eur-lex.europa.eu/legal-content/HR/TXT/PDF/?uri=CELEX:32022L2523" </w:instrText>
      </w:r>
      <w:r w:rsidR="00784120">
        <w:fldChar w:fldCharType="separate"/>
      </w:r>
      <w:r w:rsidRPr="00E87689">
        <w:rPr>
          <w:rStyle w:val="Hyperlink"/>
          <w:color w:val="auto"/>
          <w:sz w:val="24"/>
          <w:u w:val="none"/>
          <w:lang w:val="hr-HR"/>
        </w:rPr>
        <w:t>SL L 328, 22.12.2022., str. 1.</w:t>
      </w:r>
      <w:r w:rsidR="00784120">
        <w:rPr>
          <w:rStyle w:val="Hyperlink"/>
          <w:color w:val="auto"/>
          <w:sz w:val="24"/>
          <w:u w:val="none"/>
          <w:lang w:val="hr-HR"/>
        </w:rPr>
        <w:fldChar w:fldCharType="end"/>
      </w:r>
    </w:p>
  </w:footnote>
  <w:footnote w:id="15">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"https://ec</w:instrText>
      </w:r>
      <w:r w:rsidR="00784120" w:rsidRPr="00784120">
        <w:rPr>
          <w:lang w:val="hr-HR"/>
        </w:rPr>
        <w:instrText xml:space="preserve">.europa.eu/commission/presscorner/detail/hr/IP_19_225" </w:instrText>
      </w:r>
      <w:r w:rsidR="00784120">
        <w:fldChar w:fldCharType="separate"/>
      </w:r>
      <w:r w:rsidRPr="00E87689">
        <w:rPr>
          <w:rStyle w:val="Hyperlink"/>
          <w:sz w:val="24"/>
          <w:lang w:val="hr-HR"/>
        </w:rPr>
        <w:t>https://ec.europa.eu/commission/presscorner/detail/hr/IP_19_225</w:t>
      </w:r>
      <w:r w:rsidR="00784120">
        <w:rPr>
          <w:rStyle w:val="Hyperlink"/>
          <w:sz w:val="24"/>
          <w:lang w:val="hr-HR"/>
        </w:rPr>
        <w:fldChar w:fldCharType="end"/>
      </w:r>
    </w:p>
  </w:footnote>
  <w:footnote w:id="16">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"https://ec.europa.eu/commission/presscorner/detail/hr/ip_21_7025" </w:instrText>
      </w:r>
      <w:r w:rsidR="00784120">
        <w:fldChar w:fldCharType="separate"/>
      </w:r>
      <w:r w:rsidRPr="00E87689">
        <w:rPr>
          <w:rStyle w:val="Hyperlink"/>
          <w:sz w:val="24"/>
          <w:lang w:val="hr-HR"/>
        </w:rPr>
        <w:t>https://ec.europa.eu/commission/p</w:t>
      </w:r>
      <w:r w:rsidR="00E87689" w:rsidRPr="00E87689">
        <w:rPr>
          <w:rStyle w:val="Hyperlink"/>
          <w:sz w:val="24"/>
          <w:lang w:val="hr-HR"/>
        </w:rPr>
        <w:t>resscorner/detail/hr/ip_21_7025</w:t>
      </w:r>
      <w:r w:rsidR="00784120">
        <w:rPr>
          <w:rStyle w:val="Hyperlink"/>
          <w:sz w:val="24"/>
          <w:lang w:val="hr-HR"/>
        </w:rPr>
        <w:fldChar w:fldCharType="end"/>
      </w:r>
    </w:p>
  </w:footnote>
  <w:footnote w:id="17">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"https://eur-lex.europa.eu/legal-content/HR/TXT/?uri=OJ:C:2022:479:TOC" </w:instrText>
      </w:r>
      <w:r w:rsidR="00784120">
        <w:fldChar w:fldCharType="separate"/>
      </w:r>
      <w:r w:rsidRPr="00E87689">
        <w:rPr>
          <w:rStyle w:val="Hyperlink"/>
          <w:color w:val="auto"/>
          <w:sz w:val="24"/>
          <w:u w:val="none"/>
          <w:lang w:val="hr-HR"/>
        </w:rPr>
        <w:t>SL C 479, 16.12.2022., str. 89.</w:t>
      </w:r>
      <w:r w:rsidR="00784120">
        <w:rPr>
          <w:rStyle w:val="Hyperlink"/>
          <w:color w:val="auto"/>
          <w:sz w:val="24"/>
          <w:u w:val="none"/>
          <w:lang w:val="hr-HR"/>
        </w:rPr>
        <w:fldChar w:fldCharType="end"/>
      </w:r>
    </w:p>
  </w:footnote>
  <w:footnote w:id="18">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"https://ec.europa.eu/commission/presscorner/detail/hr/ip_23_3328" </w:instrText>
      </w:r>
      <w:r w:rsidR="00784120">
        <w:fldChar w:fldCharType="separate"/>
      </w:r>
      <w:r w:rsidRPr="00E87689">
        <w:rPr>
          <w:rStyle w:val="Hyperlink"/>
          <w:sz w:val="24"/>
          <w:lang w:val="hr-HR"/>
        </w:rPr>
        <w:t>https://ec.europa.eu/commission/p</w:t>
      </w:r>
      <w:r w:rsidR="00E87689" w:rsidRPr="00E87689">
        <w:rPr>
          <w:rStyle w:val="Hyperlink"/>
          <w:sz w:val="24"/>
          <w:lang w:val="hr-HR"/>
        </w:rPr>
        <w:t>resscorner/detail/hr/ip_23_3328</w:t>
      </w:r>
      <w:r w:rsidR="00784120">
        <w:rPr>
          <w:rStyle w:val="Hyperlink"/>
          <w:sz w:val="24"/>
          <w:lang w:val="hr-HR"/>
        </w:rPr>
        <w:fldChar w:fldCharType="end"/>
      </w:r>
    </w:p>
  </w:footnote>
  <w:footnote w:id="19">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"https://eur-lex.europa.eu/legal-content/HR/TXT/?uri=celex:52022IP0141" </w:instrText>
      </w:r>
      <w:r w:rsidR="00784120">
        <w:fldChar w:fldCharType="separate"/>
      </w:r>
      <w:r w:rsidRPr="00E87689">
        <w:rPr>
          <w:rStyle w:val="Hyperlink"/>
          <w:color w:val="auto"/>
          <w:sz w:val="24"/>
          <w:u w:val="none"/>
          <w:lang w:val="hr-HR"/>
        </w:rPr>
        <w:t>SL C 465, 6.12.2022., str. 109.</w:t>
      </w:r>
      <w:r w:rsidR="00784120">
        <w:rPr>
          <w:rStyle w:val="Hyperlink"/>
          <w:color w:val="auto"/>
          <w:sz w:val="24"/>
          <w:u w:val="none"/>
          <w:lang w:val="hr-HR"/>
        </w:rPr>
        <w:fldChar w:fldCharType="end"/>
      </w:r>
    </w:p>
  </w:footnote>
  <w:footnote w:id="20">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"https://taxation-customs.ec.europa.eu/taxation-1/economic-analysis-taxation/annual-report-taxation_en" </w:instrText>
      </w:r>
      <w:r w:rsidR="00784120">
        <w:fldChar w:fldCharType="separate"/>
      </w:r>
      <w:r w:rsidRPr="00E87689">
        <w:rPr>
          <w:rStyle w:val="Hyperlink"/>
          <w:sz w:val="24"/>
          <w:lang w:val="hr-HR"/>
        </w:rPr>
        <w:t>https://taxation-customs.ec.europa.eu/taxation-1/economic-analysis-tax</w:t>
      </w:r>
      <w:r w:rsidR="00E87689" w:rsidRPr="00E87689">
        <w:rPr>
          <w:rStyle w:val="Hyperlink"/>
          <w:sz w:val="24"/>
          <w:lang w:val="hr-HR"/>
        </w:rPr>
        <w:t>ation/annual-report-taxation_en</w:t>
      </w:r>
      <w:r w:rsidR="00784120">
        <w:rPr>
          <w:rStyle w:val="Hyperlink"/>
          <w:sz w:val="24"/>
          <w:lang w:val="hr-HR"/>
        </w:rPr>
        <w:fldChar w:fldCharType="end"/>
      </w:r>
    </w:p>
  </w:footnote>
  <w:footnote w:id="21">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"https://eur-lex.europ</w:instrText>
      </w:r>
      <w:r w:rsidR="00784120" w:rsidRPr="00784120">
        <w:rPr>
          <w:lang w:val="hr-HR"/>
        </w:rPr>
        <w:instrText xml:space="preserve">a.eu/legal-content/HR/TXT/PDF/?uri=CELEX:52021IP0416" </w:instrText>
      </w:r>
      <w:r w:rsidR="00784120">
        <w:fldChar w:fldCharType="separate"/>
      </w:r>
      <w:r w:rsidRPr="00E87689">
        <w:rPr>
          <w:rStyle w:val="Hyperlink"/>
          <w:color w:val="auto"/>
          <w:sz w:val="24"/>
          <w:u w:val="none"/>
          <w:lang w:val="hr-HR"/>
        </w:rPr>
        <w:t>SL C 132, 24.3.2022., str. 167.</w:t>
      </w:r>
      <w:r w:rsidR="00784120">
        <w:rPr>
          <w:rStyle w:val="Hyperlink"/>
          <w:color w:val="auto"/>
          <w:sz w:val="24"/>
          <w:u w:val="none"/>
          <w:lang w:val="hr-HR"/>
        </w:rPr>
        <w:fldChar w:fldCharType="end"/>
      </w:r>
    </w:p>
  </w:footnote>
  <w:footnote w:id="22">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"https://eur-lex.europa.eu/legal-content/HR/TXT/PDF/?uri=CELEX:52022IP0023" </w:instrText>
      </w:r>
      <w:r w:rsidR="00784120">
        <w:fldChar w:fldCharType="separate"/>
      </w:r>
      <w:r w:rsidRPr="00E87689">
        <w:rPr>
          <w:rStyle w:val="Hyperlink"/>
          <w:color w:val="auto"/>
          <w:sz w:val="24"/>
          <w:u w:val="none"/>
          <w:lang w:val="hr-HR"/>
        </w:rPr>
        <w:t>SL C 342, 6.9.2022., str. 14.</w:t>
      </w:r>
      <w:r w:rsidR="00784120">
        <w:rPr>
          <w:rStyle w:val="Hyperlink"/>
          <w:color w:val="auto"/>
          <w:sz w:val="24"/>
          <w:u w:val="none"/>
          <w:lang w:val="hr-HR"/>
        </w:rPr>
        <w:fldChar w:fldCharType="end"/>
      </w:r>
    </w:p>
  </w:footnote>
  <w:footnote w:id="23">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"https://eur-lex.europa.eu/leg</w:instrText>
      </w:r>
      <w:r w:rsidR="00784120" w:rsidRPr="00784120">
        <w:rPr>
          <w:lang w:val="hr-HR"/>
        </w:rPr>
        <w:instrText xml:space="preserve">al-content/HR/TXT/PDF/?uri=CELEX:52022IP0082" </w:instrText>
      </w:r>
      <w:r w:rsidR="00784120">
        <w:fldChar w:fldCharType="separate"/>
      </w:r>
      <w:r w:rsidRPr="00E87689">
        <w:rPr>
          <w:rStyle w:val="Hyperlink"/>
          <w:color w:val="auto"/>
          <w:sz w:val="24"/>
          <w:u w:val="none"/>
          <w:lang w:val="hr-HR"/>
        </w:rPr>
        <w:t>SL C 347, 9.9.2022., str. 211.</w:t>
      </w:r>
      <w:r w:rsidR="00784120">
        <w:rPr>
          <w:rStyle w:val="Hyperlink"/>
          <w:color w:val="auto"/>
          <w:sz w:val="24"/>
          <w:u w:val="none"/>
          <w:lang w:val="hr-HR"/>
        </w:rPr>
        <w:fldChar w:fldCharType="end"/>
      </w:r>
    </w:p>
  </w:footnote>
  <w:footnote w:id="24">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Pr="00E87689">
        <w:rPr>
          <w:sz w:val="24"/>
          <w:lang w:val="hr-HR"/>
        </w:rPr>
        <w:t xml:space="preserve">Europski parlament, </w:t>
      </w:r>
      <w:r w:rsidR="00784120">
        <w:fldChar w:fldCharType="begin"/>
      </w:r>
      <w:r w:rsidR="00784120" w:rsidRPr="00784120">
        <w:rPr>
          <w:lang w:val="hr-HR"/>
        </w:rPr>
        <w:instrText xml:space="preserve"> HYPERLINK "https://www.europarl.europa.eu/doceo/document/A-9-2022-0011_HR.html" </w:instrText>
      </w:r>
      <w:r w:rsidR="00784120">
        <w:fldChar w:fldCharType="separate"/>
      </w:r>
      <w:r w:rsidRPr="00E87689">
        <w:rPr>
          <w:rStyle w:val="Hyperlink"/>
          <w:i/>
          <w:color w:val="auto"/>
          <w:sz w:val="24"/>
          <w:u w:val="none"/>
          <w:lang w:val="hr-HR"/>
        </w:rPr>
        <w:t>Izvješće o europskom okviru za porez po odbitku</w:t>
      </w:r>
      <w:r w:rsidR="00784120">
        <w:rPr>
          <w:rStyle w:val="Hyperlink"/>
          <w:i/>
          <w:color w:val="auto"/>
          <w:sz w:val="24"/>
          <w:u w:val="none"/>
          <w:lang w:val="hr-HR"/>
        </w:rPr>
        <w:fldChar w:fldCharType="end"/>
      </w:r>
      <w:r w:rsidRPr="00E87689">
        <w:rPr>
          <w:i/>
          <w:sz w:val="24"/>
          <w:lang w:val="hr-HR"/>
        </w:rPr>
        <w:t xml:space="preserve">, </w:t>
      </w:r>
      <w:r w:rsidR="00E87689">
        <w:rPr>
          <w:sz w:val="24"/>
          <w:lang w:val="hr-HR"/>
        </w:rPr>
        <w:t>veljača 2022.</w:t>
      </w:r>
    </w:p>
  </w:footnote>
  <w:footnote w:id="25">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w:instrText>
      </w:r>
      <w:r w:rsidR="00784120" w:rsidRPr="00784120">
        <w:rPr>
          <w:lang w:val="hr-HR"/>
        </w:rPr>
        <w:instrText xml:space="preserve">PERLINK "https://eur-lex.europa.eu/legal-content/HR/TXT/PDF/?uri=CELEX:52022IP0335" </w:instrText>
      </w:r>
      <w:r w:rsidR="00784120">
        <w:fldChar w:fldCharType="separate"/>
      </w:r>
      <w:r w:rsidRPr="00E87689">
        <w:rPr>
          <w:rStyle w:val="Hyperlink"/>
          <w:color w:val="auto"/>
          <w:sz w:val="24"/>
          <w:u w:val="none"/>
          <w:lang w:val="hr-HR"/>
        </w:rPr>
        <w:t>SL C 132, 14.4.2023., str. 15.</w:t>
      </w:r>
      <w:r w:rsidR="00784120">
        <w:rPr>
          <w:rStyle w:val="Hyperlink"/>
          <w:color w:val="auto"/>
          <w:sz w:val="24"/>
          <w:u w:val="none"/>
          <w:lang w:val="hr-HR"/>
        </w:rPr>
        <w:fldChar w:fldCharType="end"/>
      </w:r>
    </w:p>
  </w:footnote>
  <w:footnote w:id="26">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Pr="00E87689">
        <w:rPr>
          <w:sz w:val="24"/>
          <w:lang w:val="hr-HR"/>
        </w:rPr>
        <w:t>„Studija o strukturama i pokazateljima agresivnog poreznog planiranja – konačno izvješće” (Dokument o oporezivanju br. 61., 27. siječnja 2016.), „Utjecaj poreznog planiranja na efektivne porezne stope okrenute prema budućnosti” (Dokument za oporezivanje br. 64., 25. listopada 2016.) i „Pokazatelji agresivnog poreznog planiranja – konačno izvješće”(Dokument o oporezivanju br. 71, 7. ožujka 2018.).</w:t>
      </w:r>
    </w:p>
  </w:footnote>
  <w:footnote w:id="27">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Pr="00E87689">
        <w:rPr>
          <w:sz w:val="24"/>
          <w:lang w:val="hr-HR"/>
        </w:rPr>
        <w:t xml:space="preserve">Europska komisija, </w:t>
      </w:r>
      <w:r w:rsidRPr="00E87689">
        <w:rPr>
          <w:i/>
          <w:sz w:val="24"/>
          <w:lang w:val="hr-HR"/>
        </w:rPr>
        <w:t>Procjena učinka priložena prijedlogu Direktive Vijeća o utvrđivanju pravila za povlašteni porezni tretman duga u oporezivanju trgovačkih društava i o ograničavanju mogućnosti odbitka kamata za potrebe poreza na dobit</w:t>
      </w:r>
      <w:r w:rsidRPr="00E87689">
        <w:rPr>
          <w:sz w:val="24"/>
          <w:lang w:val="hr-HR"/>
        </w:rPr>
        <w:t xml:space="preserve"> (SWD(2022)</w:t>
      </w:r>
      <w:r w:rsidR="00E87689">
        <w:rPr>
          <w:sz w:val="24"/>
          <w:lang w:val="hr-HR"/>
        </w:rPr>
        <w:t>0145).</w:t>
      </w:r>
    </w:p>
  </w:footnote>
  <w:footnote w:id="28">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Pr="00E87689">
        <w:rPr>
          <w:sz w:val="24"/>
          <w:lang w:val="hr-HR"/>
        </w:rPr>
        <w:t xml:space="preserve">OECD, </w:t>
      </w:r>
      <w:r w:rsidR="00784120">
        <w:fldChar w:fldCharType="begin"/>
      </w:r>
      <w:r w:rsidR="00784120" w:rsidRPr="00784120">
        <w:rPr>
          <w:lang w:val="hr-HR"/>
        </w:rPr>
        <w:instrText xml:space="preserve"> HYPERLINK "https://www.oecd.org/tax/aggressive/" </w:instrText>
      </w:r>
      <w:r w:rsidR="00784120">
        <w:fldChar w:fldCharType="separate"/>
      </w:r>
      <w:r w:rsidRPr="00E87689">
        <w:rPr>
          <w:rStyle w:val="Hyperlink"/>
          <w:color w:val="auto"/>
          <w:sz w:val="24"/>
          <w:u w:val="none"/>
          <w:lang w:val="hr-HR"/>
        </w:rPr>
        <w:t>agresivno porezno planiranje</w:t>
      </w:r>
      <w:r w:rsidR="00784120">
        <w:rPr>
          <w:rStyle w:val="Hyperlink"/>
          <w:color w:val="auto"/>
          <w:sz w:val="24"/>
          <w:u w:val="none"/>
          <w:lang w:val="hr-HR"/>
        </w:rPr>
        <w:fldChar w:fldCharType="end"/>
      </w:r>
      <w:r w:rsidRPr="00E87689">
        <w:rPr>
          <w:sz w:val="24"/>
          <w:lang w:val="hr-HR"/>
        </w:rPr>
        <w:t>.</w:t>
      </w:r>
    </w:p>
  </w:footnote>
  <w:footnote w:id="29">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Pr="00E87689">
        <w:rPr>
          <w:sz w:val="24"/>
          <w:lang w:val="hr-HR"/>
        </w:rPr>
        <w:t xml:space="preserve">Vidjeti posebno Direktive o suzbijanju izbjegavanja poreza (ATAD I </w:t>
      </w:r>
      <w:proofErr w:type="spellStart"/>
      <w:r w:rsidRPr="00E87689">
        <w:rPr>
          <w:sz w:val="24"/>
          <w:lang w:val="hr-HR"/>
        </w:rPr>
        <w:t>i</w:t>
      </w:r>
      <w:proofErr w:type="spellEnd"/>
      <w:r w:rsidRPr="00E87689">
        <w:rPr>
          <w:sz w:val="24"/>
          <w:lang w:val="hr-HR"/>
        </w:rPr>
        <w:t xml:space="preserve"> ATAD II), izmjene Direktive o administrativnoj suradnji u području oporezivanja (DAC 1 do DAC 7), reviziju Direktive o matičnim društvima i društvima kćerima, Direktivu o rješavanju sporova u EU-u, Direktivu o javnom izvješćivanju po zemljama ili Direktivu o drugom stupu.</w:t>
      </w:r>
    </w:p>
  </w:footnote>
  <w:footnote w:id="30">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Pr="00E87689">
        <w:rPr>
          <w:sz w:val="24"/>
          <w:lang w:val="hr-HR"/>
        </w:rPr>
        <w:t xml:space="preserve">Usvojeni tekstovi, </w:t>
      </w:r>
      <w:r w:rsidR="00784120">
        <w:fldChar w:fldCharType="begin"/>
      </w:r>
      <w:r w:rsidR="00784120" w:rsidRPr="00784120">
        <w:rPr>
          <w:lang w:val="hr-HR"/>
        </w:rPr>
        <w:instrText xml:space="preserve"> HYPERLINK "https://www.eu</w:instrText>
      </w:r>
      <w:r w:rsidR="00784120" w:rsidRPr="00784120">
        <w:rPr>
          <w:lang w:val="hr-HR"/>
        </w:rPr>
        <w:instrText xml:space="preserve">roparl.europa.eu/doceo/document/TA-8-2018-0087_HR.html" </w:instrText>
      </w:r>
      <w:r w:rsidR="00784120">
        <w:fldChar w:fldCharType="separate"/>
      </w:r>
      <w:r w:rsidRPr="00E87689">
        <w:rPr>
          <w:rStyle w:val="Hyperlink"/>
          <w:color w:val="auto"/>
          <w:sz w:val="24"/>
          <w:u w:val="none"/>
          <w:lang w:val="hr-HR"/>
        </w:rPr>
        <w:t>P8_TA(2018)0087</w:t>
      </w:r>
      <w:r w:rsidR="00784120">
        <w:rPr>
          <w:rStyle w:val="Hyperlink"/>
          <w:color w:val="auto"/>
          <w:sz w:val="24"/>
          <w:u w:val="none"/>
          <w:lang w:val="hr-HR"/>
        </w:rPr>
        <w:fldChar w:fldCharType="end"/>
      </w:r>
      <w:r w:rsidRPr="00E87689">
        <w:rPr>
          <w:sz w:val="24"/>
          <w:lang w:val="hr-HR"/>
        </w:rPr>
        <w:t>.</w:t>
      </w:r>
    </w:p>
  </w:footnote>
  <w:footnote w:id="31">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00784120">
        <w:fldChar w:fldCharType="begin"/>
      </w:r>
      <w:r w:rsidR="00784120" w:rsidRPr="00784120">
        <w:rPr>
          <w:lang w:val="hr-HR"/>
        </w:rPr>
        <w:instrText xml:space="preserve"> HYPERLINK "https://eur-lex.europa.eu/legal-content/HR/TXT/HTML/?uri=CELEX:32020Q1222(01)&amp;from=EN" </w:instrText>
      </w:r>
      <w:r w:rsidR="00784120">
        <w:fldChar w:fldCharType="separate"/>
      </w:r>
      <w:r w:rsidRPr="00E87689">
        <w:rPr>
          <w:rStyle w:val="Hyperlink"/>
          <w:color w:val="auto"/>
          <w:sz w:val="24"/>
          <w:u w:val="none"/>
          <w:lang w:val="hr-HR"/>
        </w:rPr>
        <w:t>SL L 433</w:t>
      </w:r>
      <w:r w:rsidR="00A44B35" w:rsidRPr="00A44B35">
        <w:rPr>
          <w:rStyle w:val="Hyperlink"/>
          <w:color w:val="auto"/>
          <w:sz w:val="24"/>
          <w:u w:val="none"/>
          <w:lang w:val="hr-HR"/>
        </w:rPr>
        <w:t> </w:t>
      </w:r>
      <w:r w:rsidRPr="00E87689">
        <w:rPr>
          <w:rStyle w:val="Hyperlink"/>
          <w:color w:val="auto"/>
          <w:sz w:val="24"/>
          <w:u w:val="none"/>
          <w:lang w:val="hr-HR"/>
        </w:rPr>
        <w:t>I, 22.12.2020., str. 28.</w:t>
      </w:r>
      <w:r w:rsidR="00784120">
        <w:rPr>
          <w:rStyle w:val="Hyperlink"/>
          <w:color w:val="auto"/>
          <w:sz w:val="24"/>
          <w:u w:val="none"/>
          <w:lang w:val="hr-HR"/>
        </w:rPr>
        <w:fldChar w:fldCharType="end"/>
      </w:r>
    </w:p>
  </w:footnote>
  <w:footnote w:id="32">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Pr="00E87689">
        <w:rPr>
          <w:sz w:val="24"/>
          <w:lang w:val="hr-HR"/>
        </w:rPr>
        <w:t>Usvojeni tekstovi, P9_TA(2023)0195.</w:t>
      </w:r>
    </w:p>
  </w:footnote>
  <w:footnote w:id="33">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Pr="00E87689">
        <w:rPr>
          <w:sz w:val="24"/>
          <w:lang w:val="hr-HR"/>
        </w:rPr>
        <w:t xml:space="preserve">Usvojeni tekstovi, </w:t>
      </w:r>
      <w:r w:rsidR="00784120">
        <w:fldChar w:fldCharType="begin"/>
      </w:r>
      <w:r w:rsidR="00784120" w:rsidRPr="00784120">
        <w:rPr>
          <w:lang w:val="hr-HR"/>
        </w:rPr>
        <w:instrText xml:space="preserve"> HYPERLINK "https://www.europarl.europa.eu/doceo/document/TA-9-2023-0004_HR.html" </w:instrText>
      </w:r>
      <w:r w:rsidR="00784120">
        <w:fldChar w:fldCharType="separate"/>
      </w:r>
      <w:r w:rsidRPr="00E87689">
        <w:rPr>
          <w:rStyle w:val="Hyperlink"/>
          <w:color w:val="auto"/>
          <w:sz w:val="24"/>
          <w:u w:val="none"/>
          <w:lang w:val="hr-HR"/>
        </w:rPr>
        <w:t>P9_TA(2023)0004</w:t>
      </w:r>
      <w:r w:rsidR="00784120">
        <w:rPr>
          <w:rStyle w:val="Hyperlink"/>
          <w:color w:val="auto"/>
          <w:sz w:val="24"/>
          <w:u w:val="none"/>
          <w:lang w:val="hr-HR"/>
        </w:rPr>
        <w:fldChar w:fldCharType="end"/>
      </w:r>
      <w:r w:rsidRPr="00E87689">
        <w:rPr>
          <w:sz w:val="24"/>
          <w:lang w:val="hr-HR"/>
        </w:rPr>
        <w:t>.</w:t>
      </w:r>
    </w:p>
  </w:footnote>
  <w:footnote w:id="34">
    <w:p w:rsidR="00E4782E" w:rsidRPr="00E87689" w:rsidRDefault="00E4782E" w:rsidP="00BA72FA">
      <w:pPr>
        <w:pStyle w:val="FootnoteText"/>
        <w:ind w:left="567" w:hanging="567"/>
        <w:rPr>
          <w:sz w:val="24"/>
          <w:lang w:val="hr-HR"/>
        </w:rPr>
      </w:pPr>
      <w:r w:rsidRPr="00E87689">
        <w:rPr>
          <w:rStyle w:val="FootnoteReference"/>
          <w:sz w:val="24"/>
          <w:lang w:val="hr-HR"/>
        </w:rPr>
        <w:footnoteRef/>
      </w:r>
      <w:r w:rsidR="00BA72FA" w:rsidRPr="00E87689">
        <w:rPr>
          <w:sz w:val="24"/>
          <w:lang w:val="hr-HR"/>
        </w:rPr>
        <w:t xml:space="preserve"> </w:t>
      </w:r>
      <w:r w:rsidR="00BA72FA" w:rsidRPr="00E87689">
        <w:rPr>
          <w:sz w:val="24"/>
          <w:lang w:val="hr-HR"/>
        </w:rPr>
        <w:tab/>
      </w:r>
      <w:r w:rsidRPr="00E87689">
        <w:rPr>
          <w:sz w:val="24"/>
          <w:lang w:val="hr-HR"/>
        </w:rPr>
        <w:t>Pododbor za porezna pitanja, saslušanje na temu „Uloga poreznih poticaja i oslobođenja u okviru reforme oporezivanja trgovačkih društava i u promicanju konkurentnosti europskih gospodarstava”, 11. srpnja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72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72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72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HR"/>
    <w:docVar w:name="dvnumam" w:val="0"/>
    <w:docVar w:name="dvpe" w:val="736.738"/>
    <w:docVar w:name="dvrapporteur" w:val="Izvjestiteljica: "/>
    <w:docVar w:name="dvtitre" w:val="Rezolucija Europskog parlamenta od .... 2023. o daljnjoj reformi pravila o oporezivanju trgovačkih društava(2022/2146(INI))"/>
  </w:docVars>
  <w:rsids>
    <w:rsidRoot w:val="002C72EA"/>
    <w:rsid w:val="00002272"/>
    <w:rsid w:val="00064002"/>
    <w:rsid w:val="000677B9"/>
    <w:rsid w:val="000831BA"/>
    <w:rsid w:val="000A42CC"/>
    <w:rsid w:val="000E7DD9"/>
    <w:rsid w:val="0010095E"/>
    <w:rsid w:val="00125B37"/>
    <w:rsid w:val="00187494"/>
    <w:rsid w:val="001F0964"/>
    <w:rsid w:val="001F32AE"/>
    <w:rsid w:val="002767FF"/>
    <w:rsid w:val="002B18FE"/>
    <w:rsid w:val="002B5493"/>
    <w:rsid w:val="002C72EA"/>
    <w:rsid w:val="00343214"/>
    <w:rsid w:val="00361C00"/>
    <w:rsid w:val="00395FA1"/>
    <w:rsid w:val="003E15D4"/>
    <w:rsid w:val="00411CCE"/>
    <w:rsid w:val="0041666E"/>
    <w:rsid w:val="00421060"/>
    <w:rsid w:val="0046210F"/>
    <w:rsid w:val="00471C19"/>
    <w:rsid w:val="004867E3"/>
    <w:rsid w:val="00494A28"/>
    <w:rsid w:val="004C0004"/>
    <w:rsid w:val="004C5D52"/>
    <w:rsid w:val="0050519A"/>
    <w:rsid w:val="005072A1"/>
    <w:rsid w:val="00514517"/>
    <w:rsid w:val="00545827"/>
    <w:rsid w:val="00560270"/>
    <w:rsid w:val="005C2568"/>
    <w:rsid w:val="006037C0"/>
    <w:rsid w:val="006210FF"/>
    <w:rsid w:val="006631B6"/>
    <w:rsid w:val="00680577"/>
    <w:rsid w:val="006F74FA"/>
    <w:rsid w:val="00731ADD"/>
    <w:rsid w:val="00734777"/>
    <w:rsid w:val="00745504"/>
    <w:rsid w:val="00747932"/>
    <w:rsid w:val="00751A4A"/>
    <w:rsid w:val="00756632"/>
    <w:rsid w:val="00762C74"/>
    <w:rsid w:val="0078412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4B35"/>
    <w:rsid w:val="00A4678D"/>
    <w:rsid w:val="00A778C7"/>
    <w:rsid w:val="00AB441E"/>
    <w:rsid w:val="00AB6293"/>
    <w:rsid w:val="00AE0928"/>
    <w:rsid w:val="00AF3B82"/>
    <w:rsid w:val="00B12E95"/>
    <w:rsid w:val="00B22876"/>
    <w:rsid w:val="00B558F0"/>
    <w:rsid w:val="00BA72FA"/>
    <w:rsid w:val="00BD48FE"/>
    <w:rsid w:val="00BD7BD8"/>
    <w:rsid w:val="00BE6ADC"/>
    <w:rsid w:val="00C05BFE"/>
    <w:rsid w:val="00C23CD4"/>
    <w:rsid w:val="00C61C0C"/>
    <w:rsid w:val="00C941CB"/>
    <w:rsid w:val="00CC2357"/>
    <w:rsid w:val="00CC46BB"/>
    <w:rsid w:val="00CF071A"/>
    <w:rsid w:val="00D058B8"/>
    <w:rsid w:val="00D56C11"/>
    <w:rsid w:val="00D834A0"/>
    <w:rsid w:val="00D872DF"/>
    <w:rsid w:val="00D91E21"/>
    <w:rsid w:val="00DA7FCD"/>
    <w:rsid w:val="00E365E1"/>
    <w:rsid w:val="00E4782E"/>
    <w:rsid w:val="00E820A4"/>
    <w:rsid w:val="00E8768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E43B07"/>
  <w15:chartTrackingRefBased/>
  <w15:docId w15:val="{136C5E78-8A3B-410B-87A7-FDC0E795C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4782E"/>
    <w:rPr>
      <w:b/>
      <w:kern w:val="28"/>
      <w:sz w:val="28"/>
      <w:lang w:val="fr-FR" w:eastAsia="fr-FR"/>
    </w:rPr>
  </w:style>
  <w:style w:type="paragraph" w:customStyle="1" w:styleId="NormalHanging12a">
    <w:name w:val="NormalHanging12a"/>
    <w:basedOn w:val="Normal"/>
    <w:rsid w:val="00E4782E"/>
    <w:pPr>
      <w:spacing w:after="240"/>
      <w:ind w:left="567" w:hanging="567"/>
    </w:pPr>
  </w:style>
  <w:style w:type="paragraph" w:customStyle="1" w:styleId="EPComma">
    <w:name w:val="EPComma"/>
    <w:basedOn w:val="Normal"/>
    <w:rsid w:val="00E4782E"/>
    <w:pPr>
      <w:spacing w:before="480" w:after="240"/>
    </w:pPr>
  </w:style>
  <w:style w:type="character" w:customStyle="1" w:styleId="BoldItalic">
    <w:name w:val="BoldItalic"/>
    <w:basedOn w:val="DefaultParagraphFont"/>
    <w:uiPriority w:val="1"/>
    <w:qFormat/>
    <w:rsid w:val="00E4782E"/>
    <w:rPr>
      <w:rFonts w:ascii="Times New Roman" w:hAnsi="Times New Roman" w:cs="Times New Roman" w:hint="default"/>
      <w:b/>
      <w:bCs w:val="0"/>
      <w:i/>
      <w:iCs w:val="0"/>
      <w:sz w:val="24"/>
    </w:rPr>
  </w:style>
  <w:style w:type="character" w:styleId="Hyperlink">
    <w:name w:val="Hyperlink"/>
    <w:basedOn w:val="DefaultParagraphFont"/>
    <w:uiPriority w:val="99"/>
    <w:rsid w:val="00E4782E"/>
    <w:rPr>
      <w:color w:val="0563C1" w:themeColor="hyperlink"/>
      <w:u w:val="single"/>
    </w:rPr>
  </w:style>
  <w:style w:type="character" w:styleId="FollowedHyperlink">
    <w:name w:val="FollowedHyperlink"/>
    <w:basedOn w:val="DefaultParagraphFont"/>
    <w:rsid w:val="00E87689"/>
    <w:rPr>
      <w:color w:val="954F72" w:themeColor="followedHyperlink"/>
      <w:u w:val="single"/>
    </w:rPr>
  </w:style>
  <w:style w:type="paragraph" w:styleId="BalloonText">
    <w:name w:val="Balloon Text"/>
    <w:basedOn w:val="Normal"/>
    <w:link w:val="BalloonTextChar"/>
    <w:rsid w:val="00745504"/>
    <w:rPr>
      <w:rFonts w:ascii="Segoe UI" w:hAnsi="Segoe UI" w:cs="Segoe UI"/>
      <w:sz w:val="18"/>
      <w:szCs w:val="18"/>
    </w:rPr>
  </w:style>
  <w:style w:type="character" w:customStyle="1" w:styleId="BalloonTextChar">
    <w:name w:val="Balloon Text Char"/>
    <w:basedOn w:val="DefaultParagraphFont"/>
    <w:link w:val="BalloonText"/>
    <w:rsid w:val="00745504"/>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HR/TXT/PDF/?uri=CELEX:32016L1164" TargetMode="External"/><Relationship Id="rId2" Type="http://schemas.openxmlformats.org/officeDocument/2006/relationships/hyperlink" Target="https://eur-lex.europa.eu/legal-content/HR/TXT/PDF/?uri=CELEX:32011L0096" TargetMode="External"/><Relationship Id="rId1" Type="http://schemas.openxmlformats.org/officeDocument/2006/relationships/hyperlink" Target="https://eur-lex.europa.eu/legal-content/HR/TXT/PDF/?uri=CELEX:32003L0049" TargetMode="External"/><Relationship Id="rId6" Type="http://schemas.openxmlformats.org/officeDocument/2006/relationships/hyperlink" Target="https://eur-lex.europa.eu/legal-content/HR/TXT/PDF/?uri=CELEX:32014L0107" TargetMode="External"/><Relationship Id="rId5" Type="http://schemas.openxmlformats.org/officeDocument/2006/relationships/hyperlink" Target="https://eur-lex.europa.eu/legal-content/HR/TXT/PDF/?uri=CELEX:32011L0016" TargetMode="External"/><Relationship Id="rId4" Type="http://schemas.openxmlformats.org/officeDocument/2006/relationships/hyperlink" Target="https://eur-lex.europa.eu/legal-content/HR/TXT/PDF/?uri=CELEX:32017L09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0934D-18BF-4AA3-AB7C-9C232EF04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6334</Words>
  <Characters>38800</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2024-04-15T12:22:00Z</dcterms:created>
  <dcterms:modified xsi:type="dcterms:W3CDTF">2024-04-15T12:22:00Z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P9_TA(2023)0460_</vt:lpwstr>
  </property>
  <property fmtid="{D5CDD505-2E9C-101B-9397-08002B2CF9AE}" pid="4" name="&lt;Type&gt;">
    <vt:lpwstr>RR</vt:lpwstr>
  </property>
</Properties>
</file>