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71DD" w:rsidTr="0010095E">
        <w:trPr>
          <w:trHeight w:hRule="exact" w:val="1418"/>
        </w:trPr>
        <w:tc>
          <w:tcPr>
            <w:tcW w:w="6804" w:type="dxa"/>
            <w:shd w:val="clear" w:color="auto" w:fill="auto"/>
            <w:vAlign w:val="center"/>
          </w:tcPr>
          <w:p w:rsidR="00751A4A" w:rsidRPr="009F71DD" w:rsidRDefault="00973F2A" w:rsidP="0010095E">
            <w:pPr>
              <w:pStyle w:val="EPName"/>
            </w:pPr>
            <w:r w:rsidRPr="009F71DD">
              <w:t>Parlament Europejski</w:t>
            </w:r>
          </w:p>
          <w:p w:rsidR="00751A4A" w:rsidRPr="009F71DD" w:rsidRDefault="00817416" w:rsidP="00756632">
            <w:pPr>
              <w:pStyle w:val="EPTerm"/>
              <w:rPr>
                <w:rStyle w:val="HideTWBExt"/>
                <w:noProof w:val="0"/>
                <w:vanish w:val="0"/>
                <w:color w:val="auto"/>
              </w:rPr>
            </w:pPr>
            <w:r w:rsidRPr="009F71DD">
              <w:t>2019-2024</w:t>
            </w:r>
          </w:p>
        </w:tc>
        <w:tc>
          <w:tcPr>
            <w:tcW w:w="2268" w:type="dxa"/>
            <w:shd w:val="clear" w:color="auto" w:fill="auto"/>
          </w:tcPr>
          <w:p w:rsidR="00751A4A" w:rsidRPr="009F71DD" w:rsidRDefault="00187494" w:rsidP="0010095E">
            <w:pPr>
              <w:pStyle w:val="EPLogo"/>
            </w:pPr>
            <w:r w:rsidRPr="009F71DD">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71DD" w:rsidRDefault="00D058B8" w:rsidP="004C5D52">
      <w:pPr>
        <w:pStyle w:val="LineTop"/>
      </w:pPr>
    </w:p>
    <w:p w:rsidR="00680577" w:rsidRPr="009F71DD" w:rsidRDefault="00973F2A" w:rsidP="00680577">
      <w:pPr>
        <w:pStyle w:val="EPBodyTA1"/>
      </w:pPr>
      <w:r w:rsidRPr="009F71DD">
        <w:t>TEKSTY PRZYJĘTE</w:t>
      </w:r>
    </w:p>
    <w:p w:rsidR="00D058B8" w:rsidRPr="009F71DD" w:rsidRDefault="00D058B8" w:rsidP="00D058B8">
      <w:pPr>
        <w:pStyle w:val="LineBottom"/>
      </w:pPr>
    </w:p>
    <w:p w:rsidR="00973F2A" w:rsidRPr="009F71DD" w:rsidRDefault="00973F2A" w:rsidP="00973F2A">
      <w:pPr>
        <w:pStyle w:val="ATHeading1"/>
      </w:pPr>
      <w:bookmarkStart w:id="0" w:name="TANumber"/>
      <w:r w:rsidRPr="009F71DD">
        <w:t>P9_TA(2023)0</w:t>
      </w:r>
      <w:bookmarkEnd w:id="0"/>
      <w:r w:rsidR="00B543FC">
        <w:t>460</w:t>
      </w:r>
    </w:p>
    <w:p w:rsidR="00973F2A" w:rsidRPr="000E4D5C" w:rsidRDefault="000E4D5C" w:rsidP="00973F2A">
      <w:pPr>
        <w:pStyle w:val="ATHeading2"/>
      </w:pPr>
      <w:r w:rsidRPr="000E4D5C">
        <w:t>Dalsza reforma przepis</w:t>
      </w:r>
      <w:r w:rsidRPr="000E4D5C">
        <w:rPr>
          <w:rFonts w:hint="eastAsia"/>
        </w:rPr>
        <w:t>ó</w:t>
      </w:r>
      <w:r w:rsidRPr="000E4D5C">
        <w:t>w dotycz</w:t>
      </w:r>
      <w:r w:rsidRPr="000E4D5C">
        <w:rPr>
          <w:rFonts w:hint="eastAsia"/>
        </w:rPr>
        <w:t>ą</w:t>
      </w:r>
      <w:r w:rsidRPr="000E4D5C">
        <w:t>cych opodatkowania os</w:t>
      </w:r>
      <w:r w:rsidRPr="000E4D5C">
        <w:rPr>
          <w:rFonts w:hint="eastAsia"/>
        </w:rPr>
        <w:t>ó</w:t>
      </w:r>
      <w:r w:rsidRPr="000E4D5C">
        <w:t>b prawnych</w:t>
      </w:r>
    </w:p>
    <w:p w:rsidR="00973F2A" w:rsidRPr="009F71DD" w:rsidRDefault="00973F2A" w:rsidP="00973F2A">
      <w:pPr>
        <w:rPr>
          <w:i/>
          <w:vanish/>
        </w:rPr>
      </w:pPr>
      <w:r w:rsidRPr="009F71DD">
        <w:rPr>
          <w:i/>
        </w:rPr>
        <w:fldChar w:fldCharType="begin"/>
      </w:r>
      <w:r w:rsidRPr="009F71DD">
        <w:rPr>
          <w:i/>
        </w:rPr>
        <w:instrText xml:space="preserve"> TC"(</w:instrText>
      </w:r>
      <w:bookmarkStart w:id="1" w:name="DocNumber"/>
      <w:r w:rsidRPr="009F71DD">
        <w:rPr>
          <w:i/>
        </w:rPr>
        <w:instrText>A9-0359/2023</w:instrText>
      </w:r>
      <w:bookmarkEnd w:id="1"/>
      <w:r w:rsidRPr="009F71DD">
        <w:rPr>
          <w:i/>
        </w:rPr>
        <w:instrText xml:space="preserve"> - Sprawozdawca: Isabel Benjumea Benjumea)"\l3 \n&gt; \* MERGEFORMAT </w:instrText>
      </w:r>
      <w:r w:rsidRPr="009F71DD">
        <w:rPr>
          <w:i/>
        </w:rPr>
        <w:fldChar w:fldCharType="end"/>
      </w:r>
    </w:p>
    <w:p w:rsidR="00973F2A" w:rsidRPr="009F71DD" w:rsidRDefault="00973F2A" w:rsidP="00973F2A">
      <w:pPr>
        <w:rPr>
          <w:vanish/>
        </w:rPr>
      </w:pPr>
      <w:bookmarkStart w:id="2" w:name="Commission"/>
      <w:r w:rsidRPr="009F71DD">
        <w:rPr>
          <w:vanish/>
        </w:rPr>
        <w:t>Komisja Gospodarcza i Monetarna</w:t>
      </w:r>
      <w:bookmarkEnd w:id="2"/>
    </w:p>
    <w:p w:rsidR="00973F2A" w:rsidRPr="009F71DD" w:rsidRDefault="00973F2A" w:rsidP="00973F2A">
      <w:pPr>
        <w:rPr>
          <w:vanish/>
        </w:rPr>
      </w:pPr>
      <w:bookmarkStart w:id="3" w:name="PE"/>
      <w:r w:rsidRPr="009F71DD">
        <w:rPr>
          <w:vanish/>
        </w:rPr>
        <w:t>PE736.738</w:t>
      </w:r>
      <w:bookmarkEnd w:id="3"/>
    </w:p>
    <w:p w:rsidR="00973F2A" w:rsidRPr="009F71DD" w:rsidRDefault="00973F2A" w:rsidP="00973F2A">
      <w:pPr>
        <w:pStyle w:val="ATHeading3"/>
      </w:pPr>
      <w:bookmarkStart w:id="4" w:name="Sujet"/>
      <w:r w:rsidRPr="009F71DD">
        <w:t xml:space="preserve">Rezolucja Parlamentu Europejskiego z dnia </w:t>
      </w:r>
      <w:r w:rsidR="000E4D5C">
        <w:t>12</w:t>
      </w:r>
      <w:r w:rsidR="00EC7936">
        <w:t xml:space="preserve"> grudnia</w:t>
      </w:r>
      <w:r w:rsidRPr="009F71DD">
        <w:t xml:space="preserve"> 2023 r. w sprawie dalszej reformy przepisów dotyczących opodatkowania osób prawnych</w:t>
      </w:r>
      <w:bookmarkEnd w:id="4"/>
      <w:r w:rsidRPr="009F71DD">
        <w:t xml:space="preserve"> </w:t>
      </w:r>
      <w:bookmarkStart w:id="5" w:name="References"/>
      <w:r w:rsidRPr="009F71DD">
        <w:t>(2022/2146(INI))</w:t>
      </w:r>
      <w:bookmarkEnd w:id="5"/>
    </w:p>
    <w:p w:rsidR="00973F2A" w:rsidRPr="009F71DD" w:rsidRDefault="00973F2A" w:rsidP="00973F2A"/>
    <w:p w:rsidR="006B4625" w:rsidRPr="009F71DD" w:rsidRDefault="006B4625" w:rsidP="006B4625">
      <w:pPr>
        <w:pStyle w:val="EPComma"/>
      </w:pPr>
      <w:bookmarkStart w:id="6" w:name="TextBodyBegin"/>
      <w:bookmarkEnd w:id="6"/>
      <w:r w:rsidRPr="009F71DD">
        <w:rPr>
          <w:i/>
        </w:rPr>
        <w:t>Parlament Europejski</w:t>
      </w:r>
      <w:r w:rsidRPr="009F71DD">
        <w:t>,</w:t>
      </w:r>
    </w:p>
    <w:p w:rsidR="006B4625" w:rsidRPr="009F71DD" w:rsidRDefault="006B4625" w:rsidP="006B4625">
      <w:pPr>
        <w:pStyle w:val="NormalHanging12a"/>
      </w:pPr>
      <w:r w:rsidRPr="009F71DD">
        <w:t>–</w:t>
      </w:r>
      <w:r w:rsidRPr="009F71DD">
        <w:tab/>
        <w:t>uwzględniając dyrektywę Rady 2003/49/WE z dnia 3 czerwca 2003 r. w sprawie wspólnego systemu opodatkowania stosowanego do odsetek oraz należności licencyjnych między powiązanymi spółkami różnych państw członkowskich</w:t>
      </w:r>
      <w:r w:rsidRPr="009F71DD">
        <w:rPr>
          <w:rStyle w:val="FootnoteReference"/>
        </w:rPr>
        <w:footnoteReference w:id="1"/>
      </w:r>
      <w:r w:rsidRPr="009F71DD">
        <w:t xml:space="preserve"> (dyrektywa w sprawie odsetek i należności licencyjnych),</w:t>
      </w:r>
    </w:p>
    <w:p w:rsidR="006B4625" w:rsidRPr="009F71DD" w:rsidRDefault="006B4625" w:rsidP="006B4625">
      <w:pPr>
        <w:pStyle w:val="NormalHanging12a"/>
      </w:pPr>
      <w:r w:rsidRPr="009F71DD">
        <w:t>–</w:t>
      </w:r>
      <w:r w:rsidRPr="009F71DD">
        <w:tab/>
        <w:t>uwzględniając dyrektywę Rady 2011/96/UE z dnia 30 listopada 2011 r. w sprawie wspólnego systemu opodatkowania mającego zastosowanie w przypadku spółek dominujących i spółek zależnych różnych państw członkowskich</w:t>
      </w:r>
      <w:r w:rsidRPr="009F71DD">
        <w:rPr>
          <w:rStyle w:val="FootnoteReference"/>
        </w:rPr>
        <w:footnoteReference w:id="2"/>
      </w:r>
      <w:r w:rsidRPr="009F71DD">
        <w:t xml:space="preserve"> (dyrektywa w sprawie spółek dominujących i spółek zależnych),</w:t>
      </w:r>
    </w:p>
    <w:p w:rsidR="006B4625" w:rsidRPr="009F71DD" w:rsidRDefault="006B4625" w:rsidP="006B4625">
      <w:pPr>
        <w:pStyle w:val="NormalHanging12a"/>
      </w:pPr>
      <w:r w:rsidRPr="009F71DD">
        <w:t>–</w:t>
      </w:r>
      <w:r w:rsidRPr="009F71DD">
        <w:tab/>
        <w:t>uwzględniając dyrektywę Rady (UE) 2016/1164 z dnia 12 lipca 2016 r. ustanawiającą przepisy mające na celu przeciwdziałanie praktykom unikania opodatkowania, które mają bezpośredni wpływ na funkcjonowanie rynku wewnętrznego</w:t>
      </w:r>
      <w:r w:rsidRPr="009F71DD">
        <w:rPr>
          <w:rStyle w:val="FootnoteReference"/>
        </w:rPr>
        <w:footnoteReference w:id="3"/>
      </w:r>
      <w:r w:rsidRPr="009F71DD">
        <w:t xml:space="preserve"> (dyrektywa w sprawie przeciwdziałania unikaniu opodatkowania I lub dyrektywa ATAD I) oraz dyrektywę Rady (UE) 2017/952 z dnia 29 maja 2017 r. zmieniającą dyrektywę (UE) 2016/1164 w zakresie rozbieżności w kwalifikacji struktur hybrydowych dotyczących państw trzecich</w:t>
      </w:r>
      <w:r w:rsidRPr="009F71DD">
        <w:rPr>
          <w:rStyle w:val="FootnoteReference"/>
        </w:rPr>
        <w:footnoteReference w:id="4"/>
      </w:r>
      <w:r w:rsidRPr="009F71DD">
        <w:t xml:space="preserve"> (ATAD II),</w:t>
      </w:r>
    </w:p>
    <w:p w:rsidR="006B4625" w:rsidRPr="009F71DD" w:rsidRDefault="006B4625" w:rsidP="006B4625">
      <w:pPr>
        <w:pStyle w:val="NormalHanging12a"/>
      </w:pPr>
      <w:r w:rsidRPr="009F71DD">
        <w:t>–</w:t>
      </w:r>
      <w:r w:rsidRPr="009F71DD">
        <w:tab/>
        <w:t>uwzględniając dyrektywę Rady 2011/16/UE z dnia 15 lutego 2011 r. w sprawie współpracy administracyjnej w dziedzinie opodatkowania i uchylającą dyrektywę 77/799/EWG</w:t>
      </w:r>
      <w:r w:rsidRPr="009F71DD">
        <w:rPr>
          <w:rStyle w:val="FootnoteReference"/>
        </w:rPr>
        <w:footnoteReference w:id="5"/>
      </w:r>
      <w:r w:rsidRPr="009F71DD">
        <w:t xml:space="preserve"> (dyrektywa w sprawie współpracy administracyjnej w dziedzinie opodatkowania lub DAC 1), dyrektywę Rady 2014/107/UE z dnia 9 grudnia 2014 r. zmieniającą dyrektywę 2011/16/UE w zakresie obowiązkowej automatycznej wymiany informacji w dziedzinie opodatkowania</w:t>
      </w:r>
      <w:r w:rsidRPr="009F71DD">
        <w:rPr>
          <w:rStyle w:val="FootnoteReference"/>
        </w:rPr>
        <w:footnoteReference w:id="6"/>
      </w:r>
      <w:r w:rsidRPr="009F71DD">
        <w:t xml:space="preserve"> (DAC 2), dyrektywę Rady (UE) 2015/2376 z </w:t>
      </w:r>
      <w:r w:rsidRPr="009F71DD">
        <w:lastRenderedPageBreak/>
        <w:t>dnia 8 grudnia 2015 r. zmieniającą dyrektywę 2011/16/UE w zakresie obowiązkowej automatycznej wymiany informacji w dziedzinie opodatkowania</w:t>
      </w:r>
      <w:r w:rsidRPr="009F71DD">
        <w:rPr>
          <w:rStyle w:val="FootnoteReference"/>
        </w:rPr>
        <w:footnoteReference w:id="7"/>
      </w:r>
      <w:r w:rsidRPr="009F71DD">
        <w:t xml:space="preserve"> (DAC 3), dyrektywę Rady (UE) 2016/881 z dnia 25 maja 2016 r. zmieniającą dyrektywę 2011/16/UE w zakresie obowiązkowej automatycznej wymiany informacji w dziedzinie opodatkowania</w:t>
      </w:r>
      <w:r w:rsidRPr="009F71DD">
        <w:rPr>
          <w:rStyle w:val="FootnoteReference"/>
        </w:rPr>
        <w:footnoteReference w:id="8"/>
      </w:r>
      <w:r w:rsidRPr="009F71DD">
        <w:t xml:space="preserve"> (DAC 4), dyrektywę Rady (UE) 2016/2258 z dnia 6 grudnia 2016 r. zmieniającą dyrektywę 2011/16/UE </w:t>
      </w:r>
      <w:proofErr w:type="gramStart"/>
      <w:r w:rsidRPr="009F71DD">
        <w:t>w</w:t>
      </w:r>
      <w:proofErr w:type="gramEnd"/>
      <w:r w:rsidRPr="009F71DD">
        <w:t xml:space="preserve"> odniesieniu do dostępu organów podatkowych do informacji dotyczących przeciwdziałania praniu pieniędzy</w:t>
      </w:r>
      <w:r w:rsidRPr="009F71DD">
        <w:rPr>
          <w:rStyle w:val="FootnoteReference"/>
        </w:rPr>
        <w:footnoteReference w:id="9"/>
      </w:r>
      <w:r w:rsidRPr="009F71DD">
        <w:t>(DAC 5), dyrektywę Rady (UE) 2018/822 z dnia 25 maja 2018 r. zmieniającą dyrektywę 2011/16/UE w zakresie obowiązkowej automatycznej wymiany informacji w dziedzinie opodatkowania w odniesieniu do podlegających zgłoszeniu uzgodnień transgranicznych</w:t>
      </w:r>
      <w:r w:rsidRPr="009F71DD">
        <w:rPr>
          <w:rStyle w:val="FootnoteReference"/>
        </w:rPr>
        <w:footnoteReference w:id="10"/>
      </w:r>
      <w:r w:rsidRPr="009F71DD">
        <w:t xml:space="preserve"> (DAC 6) oraz dyrektywę Rady (UE) 2021/514 z dnia 22 marca 2021 r. zmieniającą dyrektywę 2011/16/UE w sprawie współpracy administracyjnej w dziedzinie opodatkowania</w:t>
      </w:r>
      <w:r w:rsidRPr="009F71DD">
        <w:rPr>
          <w:rStyle w:val="FootnoteReference"/>
        </w:rPr>
        <w:footnoteReference w:id="11"/>
      </w:r>
      <w:r w:rsidRPr="009F71DD">
        <w:t xml:space="preserve"> (DAC 7),</w:t>
      </w:r>
    </w:p>
    <w:p w:rsidR="006B4625" w:rsidRPr="009F71DD" w:rsidRDefault="006B4625" w:rsidP="006B4625">
      <w:pPr>
        <w:pStyle w:val="NormalHanging12a"/>
      </w:pPr>
      <w:r w:rsidRPr="009F71DD">
        <w:t>–</w:t>
      </w:r>
      <w:r w:rsidRPr="009F71DD">
        <w:tab/>
        <w:t>uwzględniając dyrektywę Rady (UE) 2017/1852 z dnia 10 października 2017 r. w sprawie mechanizmów rozstrzygania sporów dotyczących podwójnego opodatkowania w Unii Europejskiej</w:t>
      </w:r>
      <w:r w:rsidRPr="009F71DD">
        <w:rPr>
          <w:rStyle w:val="FootnoteReference"/>
        </w:rPr>
        <w:footnoteReference w:id="12"/>
      </w:r>
      <w:r w:rsidRPr="009F71DD">
        <w:t xml:space="preserve"> (dyrektywa UE w sprawie rozstrzygania sporów),</w:t>
      </w:r>
    </w:p>
    <w:p w:rsidR="006B4625" w:rsidRPr="009F71DD" w:rsidRDefault="006B4625" w:rsidP="006B4625">
      <w:pPr>
        <w:pStyle w:val="NormalHanging12a"/>
      </w:pPr>
      <w:r w:rsidRPr="009F71DD">
        <w:t>–</w:t>
      </w:r>
      <w:r w:rsidRPr="009F71DD">
        <w:tab/>
        <w:t>uwzględniając dyrektywę Parlamentu Europejskiego i Rady (UE) 2021/2101 z dnia 24 listopada 2021 r. zmieniającą dyrektywę 2013/34/UE w odniesieniu do ujawniania informacji o podatku dochodowym przez niektóre jednostki i oddziały</w:t>
      </w:r>
      <w:r w:rsidRPr="009F71DD">
        <w:rPr>
          <w:rStyle w:val="FootnoteReference"/>
        </w:rPr>
        <w:footnoteReference w:id="13"/>
      </w:r>
      <w:r w:rsidRPr="009F71DD">
        <w:t xml:space="preserve"> (dyrektywa w sprawie publicznej sprawozdawczości w podziale na kraje),</w:t>
      </w:r>
    </w:p>
    <w:p w:rsidR="006B4625" w:rsidRPr="009F71DD" w:rsidRDefault="006B4625" w:rsidP="006B4625">
      <w:pPr>
        <w:pStyle w:val="NormalHanging12a"/>
      </w:pPr>
      <w:r w:rsidRPr="009F71DD">
        <w:t>–</w:t>
      </w:r>
      <w:r w:rsidRPr="009F71DD">
        <w:tab/>
        <w:t>uwzględniając dyrektywę Rady (UE) 2022/2523 z dnia 14 grudnia 2022 r. w sprawie zapewnienia globalnego minimalnego poziomu opodatkowania międzynarodowych grup przedsiębiorstw oraz dużych grup krajowych w Unii</w:t>
      </w:r>
      <w:r w:rsidRPr="009F71DD">
        <w:rPr>
          <w:rStyle w:val="FootnoteReference"/>
        </w:rPr>
        <w:footnoteReference w:id="14"/>
      </w:r>
      <w:r w:rsidRPr="009F71DD">
        <w:t xml:space="preserve"> (dyrektywa w sprawie filaru drugiego),</w:t>
      </w:r>
    </w:p>
    <w:p w:rsidR="006B4625" w:rsidRPr="009F71DD" w:rsidRDefault="006B4625" w:rsidP="006B4625">
      <w:pPr>
        <w:pStyle w:val="NormalHanging12a"/>
      </w:pPr>
      <w:r w:rsidRPr="009F71DD">
        <w:t>–</w:t>
      </w:r>
      <w:r w:rsidRPr="009F71DD">
        <w:tab/>
        <w:t>uwzględniając wnioski Komisji oczekujące na przyjęcie, w szczególności wnioski dotyczące dyrektyw w sprawie wspólnej podstawy opodatkowania osób prawnych (COM</w:t>
      </w:r>
      <w:proofErr w:type="gramStart"/>
      <w:r w:rsidRPr="009F71DD">
        <w:t>(2016)0685), wspólnej</w:t>
      </w:r>
      <w:proofErr w:type="gramEnd"/>
      <w:r w:rsidRPr="009F71DD">
        <w:t xml:space="preserve"> skonsolidowanej podstawy opodatkowania osób prawnych (COM(2016)0683) oraz pakietu dotyczącego opodatkowania gospodarki cyfrowej (COM(2018)0147) i (COM(2018)0148), a także stanowiska Parlamentu w sprawie tych wniosków,</w:t>
      </w:r>
    </w:p>
    <w:p w:rsidR="006B4625" w:rsidRPr="009F71DD" w:rsidRDefault="006B4625" w:rsidP="006B4625">
      <w:pPr>
        <w:widowControl/>
        <w:spacing w:after="240"/>
        <w:ind w:left="567" w:hanging="567"/>
      </w:pPr>
      <w:r w:rsidRPr="009F71DD">
        <w:t>–</w:t>
      </w:r>
      <w:r w:rsidRPr="009F71DD">
        <w:tab/>
        <w:t>uwzględniając komunikat Komisji z 15 stycznia 2019 r. pt. „W kierunku skuteczniejszego i bardziej demokratycznego procesu podejmowania decyzji w dziedzinie polityki podatkowej UE”</w:t>
      </w:r>
      <w:r w:rsidRPr="009F71DD">
        <w:rPr>
          <w:rStyle w:val="FootnoteReference"/>
        </w:rPr>
        <w:footnoteReference w:id="15"/>
      </w:r>
      <w:r w:rsidRPr="009F71DD">
        <w:t>,</w:t>
      </w:r>
    </w:p>
    <w:p w:rsidR="006B4625" w:rsidRPr="009F71DD" w:rsidRDefault="006B4625" w:rsidP="006B4625">
      <w:pPr>
        <w:pStyle w:val="NormalHanging12a"/>
      </w:pPr>
      <w:r w:rsidRPr="009F71DD">
        <w:t>–</w:t>
      </w:r>
      <w:r w:rsidRPr="009F71DD">
        <w:tab/>
        <w:t xml:space="preserve">uwzględniając komunikat Komisji z 15 lipca 2020 r. pt. „Plan działania na rzecz sprawiedliwego i prostego opodatkowania wspierającego odbudowę gospodarczą” </w:t>
      </w:r>
      <w:r w:rsidRPr="009F71DD">
        <w:lastRenderedPageBreak/>
        <w:t>(COM(2020)0312),</w:t>
      </w:r>
    </w:p>
    <w:p w:rsidR="006B4625" w:rsidRPr="009F71DD" w:rsidRDefault="006B4625" w:rsidP="006B4625">
      <w:pPr>
        <w:pStyle w:val="NormalHanging12a"/>
      </w:pPr>
      <w:r w:rsidRPr="009F71DD">
        <w:t>–</w:t>
      </w:r>
      <w:r w:rsidRPr="009F71DD">
        <w:tab/>
        <w:t>uwzględniając komunikat Komisji z 18 maja 2021 r. pt. „Opodatkowanie działalności gospodarczej w XXI wieku” (COM(2021)0251),</w:t>
      </w:r>
    </w:p>
    <w:p w:rsidR="006B4625" w:rsidRPr="009F71DD" w:rsidRDefault="006B4625" w:rsidP="006B4625">
      <w:pPr>
        <w:pStyle w:val="NormalHanging12a"/>
      </w:pPr>
      <w:r w:rsidRPr="009F71DD">
        <w:t>–</w:t>
      </w:r>
      <w:r w:rsidRPr="009F71DD">
        <w:rPr>
          <w:b/>
          <w:i/>
        </w:rPr>
        <w:tab/>
      </w:r>
      <w:r w:rsidRPr="009F71DD">
        <w:t>uwzględniając komunikat Komisji z 22 grudnia 2021 r. zatytułowany „Kolejna generacja zasobów własnych dla budżetu UE”</w:t>
      </w:r>
      <w:r w:rsidRPr="009F71DD">
        <w:rPr>
          <w:rStyle w:val="FootnoteReference"/>
        </w:rPr>
        <w:footnoteReference w:id="16"/>
      </w:r>
      <w:r w:rsidRPr="009F71DD">
        <w:t>,</w:t>
      </w:r>
    </w:p>
    <w:p w:rsidR="006B4625" w:rsidRPr="009F71DD" w:rsidRDefault="006B4625" w:rsidP="006B4625">
      <w:pPr>
        <w:pStyle w:val="NormalHanging12a"/>
      </w:pPr>
      <w:r w:rsidRPr="009F71DD">
        <w:t>–</w:t>
      </w:r>
      <w:r w:rsidRPr="009F71DD">
        <w:tab/>
        <w:t>uwzględniając wniosek Komisji z 22 grudnia 2021 r. dotyczący dyrektywy Rady w sprawie zapewnienia globalnego minimalnego poziomu opodatkowania grup wielonarodowych w Unii (COM</w:t>
      </w:r>
      <w:proofErr w:type="gramStart"/>
      <w:r w:rsidRPr="009F71DD">
        <w:t>(2021)0823), a</w:t>
      </w:r>
      <w:proofErr w:type="gramEnd"/>
      <w:r w:rsidRPr="009F71DD">
        <w:t xml:space="preserve"> także stanowisko Parlamentu w sprawie tego wniosku</w:t>
      </w:r>
      <w:r w:rsidRPr="009F71DD">
        <w:rPr>
          <w:rStyle w:val="FootnoteReference"/>
        </w:rPr>
        <w:footnoteReference w:id="17"/>
      </w:r>
      <w:r w:rsidRPr="009F71DD">
        <w:t>,</w:t>
      </w:r>
    </w:p>
    <w:p w:rsidR="006B4625" w:rsidRPr="009F71DD" w:rsidRDefault="006B4625" w:rsidP="006B4625">
      <w:pPr>
        <w:widowControl/>
        <w:spacing w:after="240"/>
        <w:ind w:left="567" w:hanging="567"/>
        <w:rPr>
          <w:vertAlign w:val="superscript"/>
        </w:rPr>
      </w:pPr>
      <w:r w:rsidRPr="009F71DD">
        <w:t>–</w:t>
      </w:r>
      <w:r w:rsidRPr="009F71DD">
        <w:tab/>
        <w:t>uwzględniając komunikat Komisji z 20 czerwca 2023 r. pt. „Dostosowany pakiet dotyczący kolejnej generacji zasobów własnych”</w:t>
      </w:r>
      <w:r w:rsidRPr="009F71DD">
        <w:rPr>
          <w:rStyle w:val="FootnoteReference"/>
        </w:rPr>
        <w:footnoteReference w:id="18"/>
      </w:r>
      <w:r w:rsidRPr="009F71DD">
        <w:t>,</w:t>
      </w:r>
    </w:p>
    <w:p w:rsidR="006B4625" w:rsidRPr="009F71DD" w:rsidRDefault="006B4625" w:rsidP="006B4625">
      <w:pPr>
        <w:pStyle w:val="NormalHanging12a"/>
      </w:pPr>
      <w:r w:rsidRPr="009F71DD">
        <w:t>–</w:t>
      </w:r>
      <w:r w:rsidRPr="009F71DD">
        <w:tab/>
        <w:t>uwzględniając konkluzje Rady do Spraw Gospodarczych i Finansowych z 6 grudnia 2022 r.,</w:t>
      </w:r>
    </w:p>
    <w:p w:rsidR="006B4625" w:rsidRPr="009F71DD" w:rsidRDefault="006B4625" w:rsidP="006B4625">
      <w:pPr>
        <w:pStyle w:val="NormalHanging12a"/>
      </w:pPr>
      <w:r w:rsidRPr="009F71DD">
        <w:t>–</w:t>
      </w:r>
      <w:r w:rsidRPr="009F71DD">
        <w:tab/>
        <w:t>uwzględniając badanie Komisji ze stycznia 2022 r. pt. „Koszty przestrzegania przepisów podatkowych przez MŚP – aktualizacja i uzupełnienie: sprawozdanie końcowe”,</w:t>
      </w:r>
    </w:p>
    <w:p w:rsidR="006B4625" w:rsidRPr="009F71DD" w:rsidRDefault="006B4625" w:rsidP="006B4625">
      <w:pPr>
        <w:pStyle w:val="NormalHanging12a"/>
      </w:pPr>
      <w:r w:rsidRPr="009F71DD">
        <w:t>–</w:t>
      </w:r>
      <w:r w:rsidRPr="009F71DD">
        <w:tab/>
        <w:t>uwzględniając sprawozdanie z wyników końcowych Konferencji w sprawie przyszłości Europy oraz rezolucję Parlamentu Europejskiego z dnia 4 maja 2022 r. w sprawie działań następczych w związku z konkluzjami Konferencji w sprawie przyszłości Europy</w:t>
      </w:r>
      <w:r w:rsidRPr="009F71DD">
        <w:rPr>
          <w:rStyle w:val="FootnoteReference"/>
        </w:rPr>
        <w:footnoteReference w:id="19"/>
      </w:r>
      <w:r w:rsidRPr="009F71DD">
        <w:t>,</w:t>
      </w:r>
    </w:p>
    <w:p w:rsidR="006B4625" w:rsidRPr="009F71DD" w:rsidRDefault="006B4625" w:rsidP="006B4625">
      <w:pPr>
        <w:pStyle w:val="NormalHanging12a"/>
      </w:pPr>
      <w:r w:rsidRPr="009F71DD">
        <w:t>–</w:t>
      </w:r>
      <w:r w:rsidRPr="009F71DD">
        <w:tab/>
        <w:t>uwzględniając wniosek Komisji z 11 maja 2022 r. dotyczący dyrektywy Rady w sprawie ustanowienia przepisów dotyczących ulgi służącej przeciwdziałaniu zjawisku uprzywilejowania finansowania dłużnego w stosunku do kapitałowego oraz w sprawie ograniczenia możliwości odliczania odsetek do celów związanych z podatkiem dochodowym od osób prawnych (COM(2022)0216),</w:t>
      </w:r>
    </w:p>
    <w:p w:rsidR="006B4625" w:rsidRPr="009F71DD" w:rsidRDefault="006B4625" w:rsidP="006B4625">
      <w:pPr>
        <w:pStyle w:val="NormalHanging12a"/>
      </w:pPr>
      <w:r w:rsidRPr="009F71DD">
        <w:t>–</w:t>
      </w:r>
      <w:r w:rsidRPr="009F71DD">
        <w:tab/>
        <w:t>uwzględniając rozporządzenie Rady (UE) 2022/1854 z dnia 6 października 2022 r. w sprawie interwencji w sytuacji nadzwyczajnej w celu rozwiązania problemu wysokich cen energii,</w:t>
      </w:r>
    </w:p>
    <w:p w:rsidR="006B4625" w:rsidRPr="009F71DD" w:rsidRDefault="006B4625" w:rsidP="006B4625">
      <w:pPr>
        <w:pStyle w:val="NormalHanging12a"/>
      </w:pPr>
      <w:r w:rsidRPr="009F71DD">
        <w:t>–</w:t>
      </w:r>
      <w:r w:rsidRPr="009F71DD">
        <w:tab/>
        <w:t>uwzględniając wystosowane przez Komisję zaproszenie do zgłaszania uwag dotyczących oceny skutków z dnia 13 października 2022 r. w odniesieniu do wniosku dotyczącego dyrektywy Rady w sprawie Działalności gospodarczej w Europie: Ramy opodatkowania dochodu (BEFIT),</w:t>
      </w:r>
    </w:p>
    <w:p w:rsidR="006B4625" w:rsidRPr="009F71DD" w:rsidRDefault="006B4625" w:rsidP="006B4625">
      <w:pPr>
        <w:pStyle w:val="NormalHanging12a"/>
      </w:pPr>
      <w:r w:rsidRPr="009F71DD">
        <w:t>–</w:t>
      </w:r>
      <w:r w:rsidRPr="009F71DD">
        <w:tab/>
        <w:t xml:space="preserve">uwzględniając wystąpienie przewodniczącej Komisji Ursuli von der Leyen na posiedzeniu plenarnym Parlamentu Europejskiego w dniu 19 października 2022 r. w sprawie przygotowań do posiedzenia Rady Europejskiej w dniach 20–21 października </w:t>
      </w:r>
      <w:r w:rsidRPr="009F71DD">
        <w:lastRenderedPageBreak/>
        <w:t>2022 r.,</w:t>
      </w:r>
    </w:p>
    <w:p w:rsidR="006B4625" w:rsidRPr="009F71DD" w:rsidRDefault="006B4625" w:rsidP="006B4625">
      <w:pPr>
        <w:pStyle w:val="NormalHanging12a"/>
        <w:rPr>
          <w:b/>
          <w:i/>
        </w:rPr>
      </w:pPr>
      <w:r w:rsidRPr="009F71DD">
        <w:t>–</w:t>
      </w:r>
      <w:r w:rsidRPr="009F71DD">
        <w:tab/>
        <w:t>uwzględniając orędzie o stanie Unii przewodniczącej Komisji Ursuli von der Leyen wygłoszone na posiedzeniu plenarnym Parlamentu Europejskiego we wrześniu 2022 r.,</w:t>
      </w:r>
    </w:p>
    <w:p w:rsidR="006B4625" w:rsidRPr="009F71DD" w:rsidRDefault="006B4625" w:rsidP="006B4625">
      <w:pPr>
        <w:pStyle w:val="NormalHanging12a"/>
      </w:pPr>
      <w:r w:rsidRPr="009F71DD">
        <w:t>–</w:t>
      </w:r>
      <w:r w:rsidRPr="009F71DD">
        <w:tab/>
        <w:t>uwzględniając sprawozdania krajowe Komisji za 2023 r. w ramach europejskiego semestru,</w:t>
      </w:r>
    </w:p>
    <w:p w:rsidR="006B4625" w:rsidRPr="009F71DD" w:rsidRDefault="006B4625" w:rsidP="006B4625">
      <w:pPr>
        <w:pStyle w:val="NormalHanging12a"/>
      </w:pPr>
      <w:r w:rsidRPr="009F71DD">
        <w:t>–</w:t>
      </w:r>
      <w:r w:rsidRPr="009F71DD">
        <w:tab/>
        <w:t>uwzględniając komunikat Komisji z dnia 16 marca 2023 r. pt. „Długoterminowa konkurencyjność UE: perspektywa na przyszłość po 2030 r.” (COM(2023)0168),</w:t>
      </w:r>
    </w:p>
    <w:p w:rsidR="006B4625" w:rsidRPr="009F71DD" w:rsidRDefault="006B4625" w:rsidP="006B4625">
      <w:pPr>
        <w:pStyle w:val="NormalHanging12a"/>
        <w:rPr>
          <w:vertAlign w:val="superscript"/>
        </w:rPr>
      </w:pPr>
      <w:r w:rsidRPr="009F71DD">
        <w:t>–</w:t>
      </w:r>
      <w:r w:rsidRPr="009F71DD">
        <w:tab/>
        <w:t>uwzględniając sprawozdanie roczne Komisji w sprawie opodatkowania za rok 2023</w:t>
      </w:r>
      <w:r w:rsidRPr="009F71DD">
        <w:rPr>
          <w:rStyle w:val="FootnoteReference"/>
        </w:rPr>
        <w:footnoteReference w:id="20"/>
      </w:r>
      <w:r w:rsidRPr="009F71DD">
        <w:t>,</w:t>
      </w:r>
    </w:p>
    <w:p w:rsidR="006B4625" w:rsidRPr="009F71DD" w:rsidRDefault="006B4625" w:rsidP="006B4625">
      <w:pPr>
        <w:pStyle w:val="NormalHanging12a"/>
      </w:pPr>
      <w:r w:rsidRPr="009F71DD">
        <w:t>–</w:t>
      </w:r>
      <w:r w:rsidRPr="009F71DD">
        <w:tab/>
        <w:t>uwzględniając konkluzje Rady Europejskiej z dnia 23 marca 2023 r.,</w:t>
      </w:r>
    </w:p>
    <w:p w:rsidR="006B4625" w:rsidRPr="009F71DD" w:rsidRDefault="006B4625" w:rsidP="006B4625">
      <w:pPr>
        <w:pStyle w:val="NormalHanging12a"/>
      </w:pPr>
      <w:r w:rsidRPr="009F71DD">
        <w:t>–</w:t>
      </w:r>
      <w:r w:rsidRPr="009F71DD">
        <w:tab/>
        <w:t>uwzględniając swoją rezolucję z dnia 7 października 2021 r. w sprawie reformy polityki UE dotyczącej szkodliwych praktyk podatkowych</w:t>
      </w:r>
      <w:r w:rsidRPr="009F71DD">
        <w:rPr>
          <w:vertAlign w:val="superscript"/>
        </w:rPr>
        <w:footnoteReference w:id="21"/>
      </w:r>
      <w:r w:rsidRPr="009F71DD">
        <w:t xml:space="preserve"> (w tym reformy Grupy ds. Kodeksu Postępowania),</w:t>
      </w:r>
    </w:p>
    <w:p w:rsidR="006B4625" w:rsidRPr="009F71DD" w:rsidRDefault="006B4625" w:rsidP="006B4625">
      <w:pPr>
        <w:pStyle w:val="NormalHanging12a"/>
      </w:pPr>
      <w:r w:rsidRPr="009F71DD">
        <w:t>–</w:t>
      </w:r>
      <w:r w:rsidRPr="009F71DD">
        <w:tab/>
        <w:t>uwzględniając swoją rezolucję z dnia 15 lutego 2022 r. w sprawie wpływu krajowych reform podatkowych na gospodarkę UE</w:t>
      </w:r>
      <w:r w:rsidRPr="009F71DD">
        <w:rPr>
          <w:vertAlign w:val="superscript"/>
        </w:rPr>
        <w:footnoteReference w:id="22"/>
      </w:r>
      <w:r w:rsidRPr="009F71DD">
        <w:t>,</w:t>
      </w:r>
    </w:p>
    <w:p w:rsidR="006B4625" w:rsidRPr="009F71DD" w:rsidRDefault="006B4625" w:rsidP="006B4625">
      <w:pPr>
        <w:pStyle w:val="NormalHanging12a"/>
      </w:pPr>
      <w:r w:rsidRPr="009F71DD">
        <w:t>–</w:t>
      </w:r>
      <w:r w:rsidRPr="009F71DD">
        <w:tab/>
        <w:t>uwzględniając swoją rezolucję z dnia 10 marca 2022 r. zawierającą zalecenia dla Komisji w sprawie sprawiedliwego i prostszego opodatkowania wspierającego strategię odbudowy gospodarczej (działania następcze PE w związku z lipcowym planem działania Komisji i jej 25 inicjatywami w dziedzinie VAT, opodatkowania przedsiębiorstw i opodatkowania osób fizycznych)</w:t>
      </w:r>
      <w:r w:rsidRPr="009F71DD">
        <w:rPr>
          <w:vertAlign w:val="superscript"/>
        </w:rPr>
        <w:footnoteReference w:id="23"/>
      </w:r>
      <w:r w:rsidRPr="009F71DD">
        <w:t>,</w:t>
      </w:r>
    </w:p>
    <w:p w:rsidR="006B4625" w:rsidRPr="009F71DD" w:rsidRDefault="006B4625" w:rsidP="006B4625">
      <w:pPr>
        <w:widowControl/>
        <w:spacing w:after="240"/>
        <w:ind w:left="567" w:hanging="567"/>
        <w:rPr>
          <w:vertAlign w:val="superscript"/>
        </w:rPr>
      </w:pPr>
      <w:r w:rsidRPr="009F71DD">
        <w:t>–</w:t>
      </w:r>
      <w:r w:rsidRPr="009F71DD">
        <w:tab/>
        <w:t>uwzględniając swoją rezolucję z dnia 10 marca 2022 r. w sprawie europejskich ram podatku u źródła</w:t>
      </w:r>
      <w:r w:rsidRPr="009F71DD">
        <w:rPr>
          <w:rStyle w:val="FootnoteReference"/>
        </w:rPr>
        <w:footnoteReference w:id="24"/>
      </w:r>
      <w:r w:rsidRPr="009F71DD">
        <w:t>,</w:t>
      </w:r>
      <w:r w:rsidRPr="009F71DD">
        <w:rPr>
          <w:vertAlign w:val="superscript"/>
        </w:rPr>
        <w:t xml:space="preserve"> </w:t>
      </w:r>
    </w:p>
    <w:p w:rsidR="006B4625" w:rsidRPr="009F71DD" w:rsidRDefault="006B4625" w:rsidP="006B4625">
      <w:pPr>
        <w:pStyle w:val="NormalHanging12a"/>
      </w:pPr>
      <w:r w:rsidRPr="009F71DD">
        <w:t>–</w:t>
      </w:r>
      <w:r w:rsidRPr="009F71DD">
        <w:tab/>
        <w:t>uwzględniając swoją rezolucję z dnia 4 października 2022 r. pt. „Wpływ nowych technologii na opodatkowanie: technologie kryptograficzne i łańcuch bloków”</w:t>
      </w:r>
      <w:r w:rsidRPr="009F71DD">
        <w:rPr>
          <w:rStyle w:val="FootnoteReference"/>
        </w:rPr>
        <w:footnoteReference w:id="25"/>
      </w:r>
      <w:r w:rsidRPr="009F71DD">
        <w:t>,</w:t>
      </w:r>
    </w:p>
    <w:p w:rsidR="006B4625" w:rsidRPr="009F71DD" w:rsidRDefault="006B4625" w:rsidP="006B4625">
      <w:pPr>
        <w:pStyle w:val="NormalHanging12a"/>
      </w:pPr>
      <w:r w:rsidRPr="009F71DD">
        <w:t>–</w:t>
      </w:r>
      <w:r w:rsidRPr="009F71DD">
        <w:tab/>
        <w:t>uwzględniając plan działania Organizacji Współpracy Gospodarczej i Rozwoju (OECD) z dnia 19 lipca 2013 r. w sprawie erozji bazy podatkowej i przenoszenia zysków (BEPS),</w:t>
      </w:r>
    </w:p>
    <w:p w:rsidR="006B4625" w:rsidRPr="009F71DD" w:rsidRDefault="006B4625" w:rsidP="006B4625">
      <w:pPr>
        <w:pStyle w:val="NormalHanging12a"/>
      </w:pPr>
      <w:r w:rsidRPr="009F71DD">
        <w:t>–</w:t>
      </w:r>
      <w:r w:rsidRPr="009F71DD">
        <w:tab/>
        <w:t xml:space="preserve">uwzględniając badania Komisji dotyczące wskaźników agresywnego planowania </w:t>
      </w:r>
      <w:r w:rsidRPr="009F71DD">
        <w:lastRenderedPageBreak/>
        <w:t>podatkowego</w:t>
      </w:r>
      <w:r w:rsidRPr="009F71DD">
        <w:rPr>
          <w:rStyle w:val="FootnoteReference"/>
        </w:rPr>
        <w:footnoteReference w:id="26"/>
      </w:r>
      <w:r w:rsidRPr="009F71DD">
        <w:t>,</w:t>
      </w:r>
      <w:r w:rsidRPr="009F71DD">
        <w:rPr>
          <w:vertAlign w:val="superscript"/>
        </w:rPr>
        <w:t xml:space="preserve"> </w:t>
      </w:r>
      <w:r w:rsidRPr="009F71DD">
        <w:t xml:space="preserve"> </w:t>
      </w:r>
    </w:p>
    <w:p w:rsidR="006B4625" w:rsidRPr="009F71DD" w:rsidRDefault="006B4625" w:rsidP="006B4625">
      <w:pPr>
        <w:pStyle w:val="NormalHanging12a"/>
      </w:pPr>
      <w:r w:rsidRPr="009F71DD">
        <w:t>–</w:t>
      </w:r>
      <w:r w:rsidRPr="009F71DD">
        <w:tab/>
        <w:t>uwzględniając ostateczne sprawozdania OECD/G-20 w sprawie BEPS z października 2015 r.,</w:t>
      </w:r>
    </w:p>
    <w:p w:rsidR="006B4625" w:rsidRPr="009F71DD" w:rsidRDefault="006B4625" w:rsidP="006B4625">
      <w:pPr>
        <w:pStyle w:val="NormalHanging12a"/>
      </w:pPr>
      <w:r w:rsidRPr="009F71DD">
        <w:t>–</w:t>
      </w:r>
      <w:r w:rsidRPr="009F71DD">
        <w:tab/>
        <w:t>uwzględniając otwarte ramy grupy Organizacji Współpracy Gospodarczej i Rozwoju (OECD</w:t>
      </w:r>
      <w:proofErr w:type="gramStart"/>
      <w:r w:rsidRPr="009F71DD">
        <w:t>)/G-</w:t>
      </w:r>
      <w:proofErr w:type="gramEnd"/>
      <w:r w:rsidRPr="009F71DD">
        <w:t>20 w sprawie erozji bazy podatkowej i przenoszenia zysków (BEPS) z dnia 8 października 2021 r. pt. „Dwufilarowe rozwiązanie w celu sprostania wyzwaniom podatkowym wynikającym z cyfryzacji gospodarki”, do których dołączyło i na które zgodziło się na dzień 16 grudnia 2022 r. 138 ze 141 członków,</w:t>
      </w:r>
    </w:p>
    <w:p w:rsidR="006B4625" w:rsidRPr="009F71DD" w:rsidRDefault="006B4625" w:rsidP="006B4625">
      <w:pPr>
        <w:pStyle w:val="NormalHanging12a"/>
      </w:pPr>
      <w:r w:rsidRPr="009F71DD">
        <w:t>–</w:t>
      </w:r>
      <w:r w:rsidRPr="009F71DD">
        <w:tab/>
        <w:t>uwzględniając sprawozdania na temat planów dotyczących filarów I i II przyjęte na szczeblu otwartych ram OECD/G-20 dnia 14 października 2020 r., a także wyniki analizy ekonomicznej i oceny skutków OECD z dnia 12 października 2020 r. pt. „Wyzwania podatkowe wynikające z cyfryzacji – Ocena skutków gospodarczych”,</w:t>
      </w:r>
    </w:p>
    <w:p w:rsidR="006B4625" w:rsidRPr="009F71DD" w:rsidRDefault="006B4625" w:rsidP="006B4625">
      <w:pPr>
        <w:pStyle w:val="NormalHanging12a"/>
      </w:pPr>
      <w:r w:rsidRPr="009F71DD">
        <w:t>–</w:t>
      </w:r>
      <w:r w:rsidRPr="009F71DD">
        <w:tab/>
        <w:t>uwzględniając modelowe zasady filaru II otwartych ram OECD/G-20 w sprawie BEPS z dnia 20 grudnia 2021 r. dotyczące wdrażania na szczeblu krajowym globalnego minimalnego podatku w wysokości 15 %,</w:t>
      </w:r>
    </w:p>
    <w:p w:rsidR="006B4625" w:rsidRPr="009F71DD" w:rsidRDefault="006B4625" w:rsidP="006B4625">
      <w:pPr>
        <w:pStyle w:val="NormalHanging12a"/>
      </w:pPr>
      <w:r w:rsidRPr="009F71DD">
        <w:t>–</w:t>
      </w:r>
      <w:r w:rsidRPr="009F71DD">
        <w:tab/>
        <w:t>uwzględniając oświadczenie otwartych ram OECD/G20 w sprawie erozji bazy podatkowej i przenoszenia zysków (BEPS) pt. „Two-Pillar Solution to Address the Tax Challenges Arising from the Digitalisation of the Economy” [Dwufilarowe rozwiązanie w celu sprostania wyzwaniom podatkowym wynikającym z cyfryzacji gospodarki], które poparło 137 ze 141 członków (stan na 4 listopada 2021 r.),</w:t>
      </w:r>
    </w:p>
    <w:p w:rsidR="006B4625" w:rsidRPr="009F71DD" w:rsidRDefault="006B4625" w:rsidP="006B4625">
      <w:pPr>
        <w:pStyle w:val="NormalHanging12a"/>
      </w:pPr>
      <w:r w:rsidRPr="009F71DD">
        <w:t xml:space="preserve">– </w:t>
      </w:r>
      <w:r w:rsidRPr="009F71DD">
        <w:tab/>
        <w:t>uw</w:t>
      </w:r>
      <w:r w:rsidR="00F3408A">
        <w:t>zględniając wniosek Komisji z 19</w:t>
      </w:r>
      <w:r w:rsidRPr="009F71DD">
        <w:t> czerwca 2023 r. dotyczący dyrektywy Rady w sprawie szybszego i bezpieczniejszego mechanizmu ulg w nadmiernym podatku u źródła (COM(2023)0324),</w:t>
      </w:r>
    </w:p>
    <w:p w:rsidR="006B4625" w:rsidRPr="009F71DD" w:rsidRDefault="006B4625" w:rsidP="006B4625">
      <w:pPr>
        <w:pStyle w:val="NormalHanging12a"/>
      </w:pPr>
      <w:r w:rsidRPr="009F71DD">
        <w:t>–</w:t>
      </w:r>
      <w:r w:rsidRPr="009F71DD">
        <w:tab/>
        <w:t>uwzględniając ustawę prawa publicznego Stanów Zjednoczonych 117-169 z dnia 16 sierpnia 2022 r., znaną jako ustawa o obniżeniu inflacji,</w:t>
      </w:r>
    </w:p>
    <w:p w:rsidR="006B4625" w:rsidRPr="009F71DD" w:rsidRDefault="006B4625" w:rsidP="006B4625">
      <w:pPr>
        <w:pStyle w:val="NormalHanging12a"/>
      </w:pPr>
      <w:r w:rsidRPr="009F71DD">
        <w:t>–</w:t>
      </w:r>
      <w:r w:rsidRPr="009F71DD">
        <w:tab/>
        <w:t>uwzględniając art. 54 Regulaminu,</w:t>
      </w:r>
    </w:p>
    <w:p w:rsidR="006B4625" w:rsidRPr="009F71DD" w:rsidRDefault="006B4625" w:rsidP="006B4625">
      <w:pPr>
        <w:pStyle w:val="NormalHanging12a"/>
      </w:pPr>
      <w:r w:rsidRPr="009F71DD">
        <w:t>–</w:t>
      </w:r>
      <w:r w:rsidRPr="009F71DD">
        <w:tab/>
        <w:t>uwzględniając pismo Komisji Budżetowej,</w:t>
      </w:r>
    </w:p>
    <w:p w:rsidR="006B4625" w:rsidRPr="009F71DD" w:rsidRDefault="006B4625" w:rsidP="006B4625">
      <w:pPr>
        <w:pStyle w:val="NormalHanging12a"/>
      </w:pPr>
      <w:r w:rsidRPr="009F71DD">
        <w:t>–</w:t>
      </w:r>
      <w:r w:rsidRPr="009F71DD">
        <w:tab/>
        <w:t>uwzględniając sprawozdanie Komisji Gospodarczej i Monetarnej (A9-0359/2023),</w:t>
      </w:r>
    </w:p>
    <w:p w:rsidR="006B4625" w:rsidRPr="009F71DD" w:rsidRDefault="006B4625" w:rsidP="006B4625">
      <w:pPr>
        <w:pStyle w:val="NormalHanging12a"/>
      </w:pPr>
      <w:r w:rsidRPr="009F71DD">
        <w:t>A.</w:t>
      </w:r>
      <w:r w:rsidRPr="009F71DD">
        <w:tab/>
      </w:r>
      <w:proofErr w:type="gramStart"/>
      <w:r w:rsidRPr="009F71DD">
        <w:t>mając</w:t>
      </w:r>
      <w:proofErr w:type="gramEnd"/>
      <w:r w:rsidRPr="009F71DD">
        <w:t xml:space="preserve"> na uwadze, że państwa członkowskie mogą swobodnie decydować o własnej polityce gospodarczej, w szczególności o własnej polityce podatkowej, co gwarantują traktaty UE, a zwłaszcza zapisana w nich zasada jednomyślności; mając na uwadze, że sprawnie funkcjonujący system podatkowy leży w interesie państw członkowskich, </w:t>
      </w:r>
      <w:r w:rsidRPr="009F71DD">
        <w:lastRenderedPageBreak/>
        <w:t>gdyż zapewnia odpowiednią ściągalność podatków; mając na uwadze, że choć polityka podatkowa w dużej mierze pozostaje w gestii państw członkowskich, jednolity rynek wymaga koordynacji i współpracy między państwami członkowskimi i na szczeblu UE w ustalaniu polityki podatkowej, aby wspierać dalszą integrację jednolitego rynku oraz uniknąć zakłóceń gospodarczych i szkodliwej konkurencji podatkowej;</w:t>
      </w:r>
    </w:p>
    <w:p w:rsidR="006B4625" w:rsidRPr="009F71DD" w:rsidRDefault="006B4625" w:rsidP="006B4625">
      <w:pPr>
        <w:pStyle w:val="NormalHanging12a"/>
      </w:pPr>
      <w:r w:rsidRPr="009F71DD">
        <w:t>B.</w:t>
      </w:r>
      <w:r w:rsidRPr="009F71DD">
        <w:tab/>
        <w:t>mając na uwadze, że na mocy traktatów polityka podatkowa należy do kompetencji krajowych, a suwerenność podatkowa stanowi podstawową zasadę porządku prawnego UE; mając na uwadze, że zapisana w traktatach jednomyślność musi być zrównoważona bardzo wysokim poziomem odpowiedzialności państw członkowskich i musi być zgodna z zasadą lojalnej współpracy opartą na art. 4 ust. 3 T</w:t>
      </w:r>
      <w:r w:rsidR="000E4D5C">
        <w:t xml:space="preserve">raktatu o </w:t>
      </w:r>
      <w:r w:rsidRPr="009F71DD">
        <w:t>U</w:t>
      </w:r>
      <w:r w:rsidR="000E4D5C">
        <w:t xml:space="preserve">nii </w:t>
      </w:r>
      <w:r w:rsidRPr="009F71DD">
        <w:t>E</w:t>
      </w:r>
      <w:r w:rsidR="000E4D5C">
        <w:t>uropejskiej</w:t>
      </w:r>
      <w:r w:rsidRPr="009F71DD">
        <w:t>; mając na uwadze, że te pierwotne ramy prawne umożliwiają wysoki poziom koordynacji ustawodawczej i współpracy administracyjnej między państwami członkowskimi; mając na uwadze, że taka koordynacja i współpraca jest niezbędna dla zachowania integralności jednolitego rynku oraz uczciwej i przejrzystej konkurencji podatkowej;</w:t>
      </w:r>
    </w:p>
    <w:p w:rsidR="006B4625" w:rsidRPr="009F71DD" w:rsidRDefault="006B4625" w:rsidP="006B4625">
      <w:pPr>
        <w:pStyle w:val="NormalHanging12a"/>
      </w:pPr>
      <w:r w:rsidRPr="009F71DD">
        <w:t>C.</w:t>
      </w:r>
      <w:r w:rsidRPr="009F71DD">
        <w:tab/>
      </w:r>
      <w:proofErr w:type="gramStart"/>
      <w:r w:rsidRPr="009F71DD">
        <w:t>mając</w:t>
      </w:r>
      <w:proofErr w:type="gramEnd"/>
      <w:r w:rsidRPr="009F71DD">
        <w:t xml:space="preserve"> na uwadze, że koncepcja sprawiedliwego i efektywnego systemu podatkowego nie musi koniecznie wiązać się z wyższym ogólnym poziomem opodatkowania;</w:t>
      </w:r>
    </w:p>
    <w:p w:rsidR="006B4625" w:rsidRPr="009F71DD" w:rsidRDefault="006B4625" w:rsidP="006B4625">
      <w:pPr>
        <w:pStyle w:val="NormalHanging12a"/>
      </w:pPr>
      <w:r w:rsidRPr="009F71DD">
        <w:t>D.</w:t>
      </w:r>
      <w:r w:rsidRPr="009F71DD">
        <w:tab/>
      </w:r>
      <w:proofErr w:type="gramStart"/>
      <w:r w:rsidRPr="009F71DD">
        <w:t>mając</w:t>
      </w:r>
      <w:proofErr w:type="gramEnd"/>
      <w:r w:rsidRPr="009F71DD">
        <w:t xml:space="preserve"> na uwadze, że obywatele europejscy z trudem wiążą koniec z końcem, a oprócz gospodarstw domowych o niskich dochodach coraz częściej dotyka to klasy średniej, a wiele przedsiębiorstw zmaga się z różnego rodzaju wyzwaniami; mając na uwadze, że inne przedsiębiorstwa, zwłaszcza w sektorze energetycznym, osiągnęły nieoczekiwane zyski;</w:t>
      </w:r>
    </w:p>
    <w:p w:rsidR="006B4625" w:rsidRPr="009F71DD" w:rsidRDefault="006B4625" w:rsidP="006B4625">
      <w:pPr>
        <w:pStyle w:val="NormalHanging12a"/>
      </w:pPr>
      <w:r w:rsidRPr="009F71DD">
        <w:t>E.</w:t>
      </w:r>
      <w:r w:rsidRPr="009F71DD">
        <w:tab/>
      </w:r>
      <w:proofErr w:type="gramStart"/>
      <w:r w:rsidRPr="009F71DD">
        <w:t>mając</w:t>
      </w:r>
      <w:proofErr w:type="gramEnd"/>
      <w:r w:rsidRPr="009F71DD">
        <w:t xml:space="preserve"> na uwadze, że według stanu na 4 listopada 2021 r. 137 ze 141 członków otwartych ram OECD/G20 w sprawie BEPS, w tym wszystkie państwa członkowskie UE, wyraziło zgodę na reformę międzynarodowego systemu podatkowego w drodze dwufilarowego rozwiązania, aby sprostać wyzwaniom podatkowym wynikającym z cyfryzacji gospodarki, w tym wdrożyć wielostronnie uzgodnione ograniczenia w zakresie przenoszenia zysków;</w:t>
      </w:r>
    </w:p>
    <w:p w:rsidR="006B4625" w:rsidRPr="009F71DD" w:rsidRDefault="006B4625" w:rsidP="006B4625">
      <w:pPr>
        <w:pStyle w:val="NormalHanging12a"/>
      </w:pPr>
      <w:r w:rsidRPr="009F71DD">
        <w:t>F.</w:t>
      </w:r>
      <w:r w:rsidRPr="009F71DD">
        <w:tab/>
        <w:t xml:space="preserve">mając na uwadze, że – jak </w:t>
      </w:r>
      <w:proofErr w:type="gramStart"/>
      <w:r w:rsidRPr="009F71DD">
        <w:t>wskazano w że</w:t>
      </w:r>
      <w:proofErr w:type="gramEnd"/>
      <w:r w:rsidRPr="009F71DD">
        <w:t xml:space="preserve"> sprawozdaniu Komisji ze stycznia 2022 r. pt. „Tax compliance costs for SMEs: An update and a complement” [Koszty przestrzegania przepisów podatkowych przez MŚP – aktualizacja i uzupełnienie] – MŚP stanowią 99,8 % przedsiębiorstw w sektorze działalności niefinansowej Unii Europejskiej (UE-27+1), tworzą dwie trzecie wszystkich miejsc pracy w UE-28 (66,6 %) i generują nieco poniżej trzech piątych (56,8 %) wartości dodanej w sektorze działalności niefinansowej;</w:t>
      </w:r>
    </w:p>
    <w:p w:rsidR="006B4625" w:rsidRPr="009F71DD" w:rsidRDefault="006B4625" w:rsidP="006B4625">
      <w:pPr>
        <w:pStyle w:val="NormalHanging12a"/>
      </w:pPr>
      <w:r w:rsidRPr="009F71DD">
        <w:t>G.</w:t>
      </w:r>
      <w:r w:rsidRPr="009F71DD">
        <w:tab/>
        <w:t>mając na uwadze, że jeżeli chodzi o plan przeciwdziałania BEPS, udało się osiągnąć konsensus w ramach otwartych ram OECD/G-20 w zakresie BEPS, skupiających ponad 139 krajów i jurysdykcji, w wielu kwestiach dotyczących walki z unikaniem opodatkowania i agresywnym planowaniem podatkowym;</w:t>
      </w:r>
    </w:p>
    <w:p w:rsidR="006B4625" w:rsidRPr="009F71DD" w:rsidRDefault="006B4625" w:rsidP="006B4625">
      <w:pPr>
        <w:pStyle w:val="NormalHanging12a"/>
      </w:pPr>
      <w:r w:rsidRPr="009F71DD">
        <w:t>H.</w:t>
      </w:r>
      <w:r w:rsidRPr="009F71DD">
        <w:tab/>
      </w:r>
      <w:proofErr w:type="gramStart"/>
      <w:r w:rsidRPr="009F71DD">
        <w:t>mając</w:t>
      </w:r>
      <w:proofErr w:type="gramEnd"/>
      <w:r w:rsidRPr="009F71DD">
        <w:t xml:space="preserve"> na uwadze, że agresywne planowanie podatkowe może mieć wpływ na przestrzeganie przepisów podatkowych przez podatników oraz na konkurencyjność przedsiębiorstw i stabilność dochodów podatkowych; mając na uwadze, że agresywne planowanie podatkowe i szkodliwa konkurencja podatkowa mogą mieć negatywny wpływ na funkcjonowanie jednolitego rynku;</w:t>
      </w:r>
    </w:p>
    <w:p w:rsidR="006B4625" w:rsidRPr="009F71DD" w:rsidRDefault="006B4625" w:rsidP="006B4625">
      <w:pPr>
        <w:pStyle w:val="NormalHanging12a"/>
      </w:pPr>
      <w:r w:rsidRPr="009F71DD">
        <w:lastRenderedPageBreak/>
        <w:t>I.</w:t>
      </w:r>
      <w:r w:rsidRPr="009F71DD">
        <w:tab/>
      </w:r>
      <w:proofErr w:type="gramStart"/>
      <w:r w:rsidRPr="009F71DD">
        <w:t>mając</w:t>
      </w:r>
      <w:proofErr w:type="gramEnd"/>
      <w:r w:rsidRPr="009F71DD">
        <w:t xml:space="preserve"> na uwadze, że UE dała przykład innym, transponując umowy międzynarodowe do dyrektyw usprawniających koordynację działań i walkę UE z oszustwami podatkowymi, unikaniem opodatkowania i agresywnym planowaniem podatkowym; mając na uwadze, że państwa członkowskie wykazały się różnym podejściem do planu OECD w zakresie przeciwdziałania BEPS;</w:t>
      </w:r>
    </w:p>
    <w:p w:rsidR="006B4625" w:rsidRPr="009F71DD" w:rsidRDefault="006B4625" w:rsidP="006B4625">
      <w:pPr>
        <w:pStyle w:val="NormalHanging12a"/>
      </w:pPr>
      <w:r w:rsidRPr="009F71DD">
        <w:t>J.</w:t>
      </w:r>
      <w:r w:rsidRPr="009F71DD">
        <w:tab/>
        <w:t>mając na uwadze, że Grupa ds. Kodeksu Postępowania (opodatkowanie działalności gospodarczej) kontynuowała prace nad identyfikacją i ograniczaniem szkodliwych środków podatkowych państw członkowskich; mając na uwadze, że 8 listopada 2022 r. ministrowie finansów postanowili wzmocnić kodeks postępowania; mając na uwadze, że niektóre przedsiębiorstwa wydają się dostosowywać do nowych przepisów podatkowych i mogą stosować systemy agresywnego planowania podatkowego; mając na uwadze, że ostateczny pakiet BEPS dotyczący reformy międzynarodowego systemu podatkowego w celu przeciwdziałania unikaniu opodatkowania został zatwierdzony przez kraje uczestniczące OECD/G-20 w 2015 r.;</w:t>
      </w:r>
    </w:p>
    <w:p w:rsidR="006B4625" w:rsidRPr="009F71DD" w:rsidRDefault="006B4625" w:rsidP="006B4625">
      <w:pPr>
        <w:pStyle w:val="NormalHanging12a"/>
      </w:pPr>
      <w:r w:rsidRPr="009F71DD">
        <w:t>K.</w:t>
      </w:r>
      <w:r w:rsidRPr="009F71DD">
        <w:tab/>
        <w:t>mając na uwadze, że nominalna stawka podatku dochodowego od osób prawnych zmniejszyła się z 35 % w 1995 r. do 21,2 % w 2023 r.;</w:t>
      </w:r>
    </w:p>
    <w:p w:rsidR="006B4625" w:rsidRPr="009F71DD" w:rsidRDefault="006B4625" w:rsidP="006B4625">
      <w:pPr>
        <w:pStyle w:val="NormalHanging12a"/>
      </w:pPr>
      <w:r w:rsidRPr="009F71DD">
        <w:t>L.</w:t>
      </w:r>
      <w:r w:rsidRPr="009F71DD">
        <w:tab/>
      </w:r>
      <w:proofErr w:type="gramStart"/>
      <w:r w:rsidRPr="009F71DD">
        <w:t>mając</w:t>
      </w:r>
      <w:proofErr w:type="gramEnd"/>
      <w:r w:rsidRPr="009F71DD">
        <w:t xml:space="preserve"> na uwadze, że według stanu na czerwiec 2023 r. 143 jurysdykcje, w tym wszystkie państwa członkowskie UE, zgodziły się na reformę międzynarodowego systemu podatkowego za pomocą rozwiązania dwufilarowego;</w:t>
      </w:r>
    </w:p>
    <w:p w:rsidR="006B4625" w:rsidRPr="009F71DD" w:rsidRDefault="006B4625" w:rsidP="006B4625">
      <w:pPr>
        <w:pStyle w:val="NormalHanging12a"/>
      </w:pPr>
      <w:r w:rsidRPr="009F71DD">
        <w:t>M.</w:t>
      </w:r>
      <w:r w:rsidRPr="009F71DD">
        <w:tab/>
        <w:t>mając na uwadze, że prawnie wiążące porozumienie międzyinstytucjonalne z 16 grudnia 2020 r. przewiduje wdrożenie planu działania w zakresie nowych zasobów; mając na uwadze, że nowe zasoby własne zaproponowane przez Komisję w grudniu 2021 r. mają pokryć część spłaty pożyczek w ramach instrumentu Next Generation EU; mając na uwadze, że w czerwcu 2023 r. Komisja zaproponowała zasoby własne związane z sektorem przedsiębiorstw;</w:t>
      </w:r>
    </w:p>
    <w:p w:rsidR="006B4625" w:rsidRPr="009F71DD" w:rsidRDefault="006B4625" w:rsidP="006B4625">
      <w:pPr>
        <w:pStyle w:val="NormalHanging12a"/>
      </w:pPr>
      <w:r w:rsidRPr="009F71DD">
        <w:t>N.</w:t>
      </w:r>
      <w:r w:rsidRPr="009F71DD">
        <w:tab/>
        <w:t xml:space="preserve">mając na uwadze, że rozdrobnienie, złożoność i nieodpowiednia cyfryzacja polityki podatkowej przyczyniają się do powstawania różnych przeszkód dla przedsiębiorstw, w tym dla pracowników MŚP, osób samozatrudnionych i obywateli na jednolitym rynku, w tym niepewności prawa, biurokracji, ryzyka podwójnego opodatkowania i trudności w ubieganiu się o zwrot podatku; mając na uwadze, że przeszkody te zniechęcają do prowadzenia transgranicznej działalności gospodarczej na jednolitym rynku; mając na uwadze, że przezwyciężenie tych przeszkód wymaga wielostronnej współpracy między państwami członkowskimi oraz pilnego wdrożenia przez państwa członkowskie rozwiązań cyfrowych, które upraszczają i obniżają koszty wypełniania obowiązków podatkowych przez przedsiębiorców; mając na uwadze, że rozdrobnienie polityki </w:t>
      </w:r>
      <w:proofErr w:type="gramStart"/>
      <w:r w:rsidRPr="009F71DD">
        <w:t>stwarza</w:t>
      </w:r>
      <w:proofErr w:type="gramEnd"/>
      <w:r w:rsidRPr="009F71DD">
        <w:t xml:space="preserve"> również zagrożenia dla organów podatkowych, takie jak podwójne nieopodatkowanie i możliwości arbitrażu (planowanie podatkowe); mając na uwadze, że niektóre państwa członkowskie opracowały systemy, które powodowałyby niższe opodatkowanie niż krajowa stawka nominalna i które mogą stawiać MŚP w niekorzystnej sytuacji konkurencyjnej;</w:t>
      </w:r>
    </w:p>
    <w:p w:rsidR="006B4625" w:rsidRPr="009F71DD" w:rsidRDefault="006B4625" w:rsidP="006B4625">
      <w:pPr>
        <w:pStyle w:val="NormalHanging12a"/>
      </w:pPr>
      <w:r w:rsidRPr="009F71DD">
        <w:t>O.</w:t>
      </w:r>
      <w:r w:rsidRPr="009F71DD">
        <w:tab/>
      </w:r>
      <w:proofErr w:type="gramStart"/>
      <w:r w:rsidRPr="009F71DD">
        <w:t>mając</w:t>
      </w:r>
      <w:proofErr w:type="gramEnd"/>
      <w:r w:rsidRPr="009F71DD">
        <w:t xml:space="preserve"> na uwadze, że państwa członkowskie nadal tracą dochody podatkowe z powodu szkodliwych praktyk podatkowych, a szacunki dotyczące wysokości dochodów utraconych z powodu szkodliwych praktyk podatkowych wahają się od 36–37 mld EUR do 160–190 mld EUR rocznie; mając na uwadze, że rozdrobnienie polityki może zwiększać koszty egzekwowania przepisów przez organy podatkowe;</w:t>
      </w:r>
    </w:p>
    <w:p w:rsidR="006B4625" w:rsidRPr="009F71DD" w:rsidRDefault="006B4625" w:rsidP="006B4625">
      <w:pPr>
        <w:pStyle w:val="NormalHanging12a"/>
      </w:pPr>
      <w:r w:rsidRPr="009F71DD">
        <w:lastRenderedPageBreak/>
        <w:t>P.</w:t>
      </w:r>
      <w:r w:rsidRPr="009F71DD">
        <w:tab/>
        <w:t>mając na uwadze, że składka solidarnościowa miała zastosowanie do nieoczekiwanych zysków niektórych przedsiębiorstw z sektora energetycznego;</w:t>
      </w:r>
    </w:p>
    <w:p w:rsidR="006B4625" w:rsidRPr="009F71DD" w:rsidRDefault="006B4625" w:rsidP="006B4625">
      <w:pPr>
        <w:pStyle w:val="NormalHanging12a"/>
      </w:pPr>
      <w:r w:rsidRPr="009F71DD">
        <w:t>Q.</w:t>
      </w:r>
      <w:r w:rsidRPr="009F71DD">
        <w:tab/>
      </w:r>
      <w:proofErr w:type="gramStart"/>
      <w:r w:rsidRPr="009F71DD">
        <w:t>mając</w:t>
      </w:r>
      <w:proofErr w:type="gramEnd"/>
      <w:r w:rsidRPr="009F71DD">
        <w:t xml:space="preserve"> na uwadze, że w społecznej gospodarce rynkowej UE odpowiednie poziomy opodatkowania oraz proste i jasne przepisy podatkowe nie powinny zakłócać procesu podejmowania decyzji przez podmioty gospodarcze; mając na uwadze, że rozsądna polityka podatkowa powinna wspierać tworzenie miejsc pracy i wzrost gospodarczy oraz zwiększać konkurencyjność UE i jej państw członkowskich;</w:t>
      </w:r>
    </w:p>
    <w:p w:rsidR="006B4625" w:rsidRPr="009F71DD" w:rsidRDefault="006B4625" w:rsidP="006B4625">
      <w:pPr>
        <w:pStyle w:val="NormalHanging12a"/>
      </w:pPr>
      <w:r w:rsidRPr="009F71DD">
        <w:t>R.</w:t>
      </w:r>
      <w:r w:rsidRPr="009F71DD">
        <w:tab/>
        <w:t>mając na uwadze, że rozdrobnienie polityki podatkowej należy ograniczyć za pomocą zwiększonej koordynacji i współpracy oraz jasnego zobowiązania państw członkowskich do szybkiej i kompetentnej transpozycji dyrektyw w dziedzinie opodatkowania;</w:t>
      </w:r>
    </w:p>
    <w:p w:rsidR="006B4625" w:rsidRPr="009F71DD" w:rsidRDefault="006B4625" w:rsidP="006B4625">
      <w:pPr>
        <w:widowControl/>
        <w:spacing w:after="240"/>
        <w:ind w:left="567" w:hanging="567"/>
      </w:pPr>
      <w:r w:rsidRPr="009F71DD">
        <w:t>S.</w:t>
      </w:r>
      <w:r w:rsidRPr="009F71DD">
        <w:tab/>
        <w:t>mając na uwadze, że większość systemów opodatkowania osób prawnych w UE pozwala na znaczne odliczenia podatkowe z tytułu płatności odsetkowych</w:t>
      </w:r>
      <w:r w:rsidRPr="009F71DD">
        <w:rPr>
          <w:rStyle w:val="FootnoteReference"/>
        </w:rPr>
        <w:footnoteReference w:id="27"/>
      </w:r>
      <w:r w:rsidRPr="009F71DD">
        <w:t xml:space="preserve">; mając na uwadze, że koszty finansowania kapitałowego, które obejmują wypłaty dywidend, nie mogą być odliczane w podobny sposób; mając na uwadze niekorzystną sytuację strukturalną, w jakiej znajdują się przedsiębiorstwa, które są uzależnione od finansowania kapitałowego, </w:t>
      </w:r>
      <w:proofErr w:type="gramStart"/>
      <w:r w:rsidRPr="009F71DD">
        <w:t>szczególnie jeżeli</w:t>
      </w:r>
      <w:proofErr w:type="gramEnd"/>
      <w:r w:rsidRPr="009F71DD">
        <w:t xml:space="preserve"> są młode i małe oraz mają słaby dostęp do kredytów; mając na uwadze, że ta nierównowaga tworzy problematyczne zachęty do nadmiernego zadłużania; mając na uwadze, że ulgi kapitałowe dla przedsiębiorstw mogą mieć wpływ na dochody podatkowe państw członkowskich i muszą być starannie </w:t>
      </w:r>
      <w:proofErr w:type="gramStart"/>
      <w:r w:rsidRPr="009F71DD">
        <w:t>zaprojektowane</w:t>
      </w:r>
      <w:proofErr w:type="gramEnd"/>
      <w:r w:rsidRPr="009F71DD">
        <w:t>;</w:t>
      </w:r>
    </w:p>
    <w:p w:rsidR="006B4625" w:rsidRPr="009F71DD" w:rsidRDefault="006B4625" w:rsidP="006B4625">
      <w:pPr>
        <w:widowControl/>
        <w:spacing w:after="240"/>
        <w:ind w:left="567" w:hanging="567"/>
      </w:pPr>
      <w:r w:rsidRPr="009F71DD">
        <w:t>T.</w:t>
      </w:r>
      <w:r w:rsidRPr="009F71DD">
        <w:tab/>
        <w:t xml:space="preserve">mając na uwadze, że prywatne przedsiębiorstwa, w tym MŚP, odgrywają zasadniczą rolę w </w:t>
      </w:r>
      <w:proofErr w:type="gramStart"/>
      <w:r w:rsidRPr="009F71DD">
        <w:t>społeczeństwie jako</w:t>
      </w:r>
      <w:proofErr w:type="gramEnd"/>
      <w:r w:rsidRPr="009F71DD">
        <w:t xml:space="preserve"> główna siła generująca zatrudnienie; mając na uwadze, że za pośrednictwem prowadzonej działalności gospodarczej podmioty te dają możliwość zatrudnienia milionom ludzi, co z kolei napędza gospodarczy i społeczny rozwój społeczności, w których prowadzą działalność; mając na uwadze, że dzięki wspieraniu konkurencyjności i innowacyjności prywatne przedsiębiorstwa promują efektywną alokację zasobów, która prowadzi do zwiększonej wydajności i wzrostu gospodarczego; mając na uwadze, że prywatna działalność gospodarcza jest również źródłem dochodów podatkowych państwa, które można wykorzystać do finansowania podstawowych usług publicznych; mając na uwadze, że prywatne przedsiębiorstwa jako główna siła generująca zatrudnienie odgrywają zasadniczą rolę w gospodarczym i społecznym rozwoju społeczeństw przez promowanie postępu i </w:t>
      </w:r>
      <w:proofErr w:type="gramStart"/>
      <w:r w:rsidRPr="009F71DD">
        <w:t>poprawę jakości</w:t>
      </w:r>
      <w:proofErr w:type="gramEnd"/>
      <w:r w:rsidRPr="009F71DD">
        <w:t xml:space="preserve"> życia ludzi;</w:t>
      </w:r>
    </w:p>
    <w:p w:rsidR="006B4625" w:rsidRPr="009F71DD" w:rsidRDefault="006B4625" w:rsidP="006B4625">
      <w:pPr>
        <w:pStyle w:val="NormalHanging12a"/>
      </w:pPr>
      <w:r w:rsidRPr="009F71DD">
        <w:t>U.</w:t>
      </w:r>
      <w:r w:rsidRPr="009F71DD">
        <w:tab/>
      </w:r>
      <w:proofErr w:type="gramStart"/>
      <w:r w:rsidRPr="009F71DD">
        <w:t>mając</w:t>
      </w:r>
      <w:proofErr w:type="gramEnd"/>
      <w:r w:rsidRPr="009F71DD">
        <w:t xml:space="preserve"> na uwadze, że Komisja przedstawiła wniosek dotyczący jednolitego zbioru przepisów podatkowych dotyczących prowadzenia działalności gospodarczej w Europie pt. „Działalność gospodarcza w Europie: Ramy opodatkowania dochodu (BEFIT);</w:t>
      </w:r>
    </w:p>
    <w:p w:rsidR="006B4625" w:rsidRPr="009F71DD" w:rsidRDefault="006B4625" w:rsidP="006B4625">
      <w:pPr>
        <w:pStyle w:val="NormalHanging12a"/>
      </w:pPr>
      <w:r w:rsidRPr="009F71DD">
        <w:t>V.</w:t>
      </w:r>
      <w:r w:rsidRPr="009F71DD">
        <w:tab/>
      </w:r>
      <w:proofErr w:type="gramStart"/>
      <w:r w:rsidRPr="009F71DD">
        <w:t>mając</w:t>
      </w:r>
      <w:proofErr w:type="gramEnd"/>
      <w:r w:rsidRPr="009F71DD">
        <w:t xml:space="preserve"> na uwadze, że działania legislacyjne Komisji w dziedzinie opodatkowania powinny mieć jasno określone priorytety związane ze zwalczaniem oszustw podatkowych i unikania opodatkowania, promowaniem uproszczenia procedur </w:t>
      </w:r>
      <w:r w:rsidRPr="009F71DD">
        <w:lastRenderedPageBreak/>
        <w:t>administracyjnych, ograniczeniem biurokracji i łagodzeniem kosztów przestrzegania przepisów, zwłaszcza w odniesieniu do MŚP;</w:t>
      </w:r>
    </w:p>
    <w:p w:rsidR="006B4625" w:rsidRPr="009F71DD" w:rsidRDefault="006B4625" w:rsidP="006B4625">
      <w:pPr>
        <w:pStyle w:val="NormalHanging12a"/>
        <w:rPr>
          <w:b/>
          <w:i/>
        </w:rPr>
      </w:pPr>
      <w:r w:rsidRPr="009F71DD">
        <w:t>1.</w:t>
      </w:r>
      <w:r w:rsidRPr="009F71DD">
        <w:tab/>
      </w:r>
      <w:proofErr w:type="gramStart"/>
      <w:r w:rsidRPr="009F71DD">
        <w:t>przypomina</w:t>
      </w:r>
      <w:proofErr w:type="gramEnd"/>
      <w:r w:rsidRPr="009F71DD">
        <w:t>, że choć polityka podatkowa pozostaje w gestii państw członkowskich, jednolity rynek wymaga pewnego poziomu współpracy i harmonizacji podatkowej, aby zapewnić jego kompletność, usprawniać go i dalej go rozwijać; zauważa ponadto, że wspólne podejście do polityki podatkowej ma kluczowe znaczenie dla rozwiązania problemu szkodliwej konkurencji podatkowej i przenoszenia zysków, a także dla walki z unikaniem opodatkowania i uchylaniem się od opodatkowania; zwraca uwagę, że taka współpraca wymaga wzajemnego zaufania i działania w dobrej wierze ze strony wszystkich państw członkowskich;</w:t>
      </w:r>
    </w:p>
    <w:p w:rsidR="006B4625" w:rsidRPr="009F71DD" w:rsidRDefault="006B4625" w:rsidP="006B4625">
      <w:pPr>
        <w:pStyle w:val="NormalHanging12a"/>
      </w:pPr>
      <w:r w:rsidRPr="009F71DD">
        <w:t>2</w:t>
      </w:r>
      <w:r w:rsidRPr="009F71DD">
        <w:rPr>
          <w:b/>
          <w:i/>
        </w:rPr>
        <w:t>.</w:t>
      </w:r>
      <w:r w:rsidRPr="009F71DD">
        <w:rPr>
          <w:b/>
          <w:i/>
        </w:rPr>
        <w:tab/>
      </w:r>
      <w:proofErr w:type="gramStart"/>
      <w:r w:rsidRPr="009F71DD">
        <w:t>wzywa</w:t>
      </w:r>
      <w:proofErr w:type="gramEnd"/>
      <w:r w:rsidRPr="009F71DD">
        <w:t xml:space="preserve"> Komisję i Radę, aby wspierały przedsiębiorstwa poprzez poprawę klimatu inwestycyjnego i zagwarantowanie, że przepisy dotyczące opodatkowania osób prawnych będą łatwiejsze w stosowaniu, bardziej zrównoważone i ukierunkowane na poprawę konkurencyjności Europy;</w:t>
      </w:r>
    </w:p>
    <w:p w:rsidR="006B4625" w:rsidRPr="009F71DD" w:rsidRDefault="006B4625" w:rsidP="006B4625">
      <w:pPr>
        <w:pStyle w:val="NormalHanging12a"/>
      </w:pPr>
      <w:r w:rsidRPr="009F71DD">
        <w:t>3</w:t>
      </w:r>
      <w:r w:rsidRPr="009F71DD">
        <w:rPr>
          <w:b/>
          <w:i/>
        </w:rPr>
        <w:t>.</w:t>
      </w:r>
      <w:r w:rsidRPr="009F71DD">
        <w:tab/>
      </w:r>
      <w:proofErr w:type="gramStart"/>
      <w:r w:rsidRPr="009F71DD">
        <w:t>podkreśla</w:t>
      </w:r>
      <w:proofErr w:type="gramEnd"/>
      <w:r w:rsidRPr="009F71DD">
        <w:t>, że państwa członkowskie UE są w pełni odpowiedzialne za odpowiednie ściąganie podatków i mają prawo decydować o swoich systemach podatkowych, przy poszanowaniu zasad jednolitego rynku i praw innych państw członkowskich do opodatkowania; podkreśla, że właściwie funkcjonujące systemy podatkowe i krajowe administracje podatkowe odgrywają kluczową rolę w ściąganiu podatków oraz że trwałe dochody podatkowe mają istotne znaczenie w budżetach publicznych państw członkowskich;</w:t>
      </w:r>
    </w:p>
    <w:p w:rsidR="006B4625" w:rsidRPr="009F71DD" w:rsidRDefault="006B4625" w:rsidP="006B4625">
      <w:pPr>
        <w:pStyle w:val="NormalHanging12a"/>
      </w:pPr>
      <w:r w:rsidRPr="009F71DD">
        <w:t>4.</w:t>
      </w:r>
      <w:r w:rsidRPr="009F71DD">
        <w:tab/>
      </w:r>
      <w:proofErr w:type="gramStart"/>
      <w:r w:rsidRPr="009F71DD">
        <w:t>odnotowuje</w:t>
      </w:r>
      <w:proofErr w:type="gramEnd"/>
      <w:r w:rsidRPr="009F71DD">
        <w:t xml:space="preserve"> przedstawiony przez Komisję pakiet dotyczący uproszczeń podatkowych dla MŚP oraz BEFIT; odnotowuje konkluzje Rady Europejskiej z 23 marca 2023 r., w których wzywa się do uproszczenia ogólnego otoczenia regulacyjnego i zmniejszenia obciążeń administracyjnych, oraz komunikat Komisji z 16 marca 2023 r., w którym podkreślono, że unijne ramy podatkowe mają kluczowe znaczenie dla wspierania wzrostu gospodarczego i inwestycji prywatnych, w szczególności poprzez usuwanie barier podatkowych dla inwestycji transgranicznych, oraz że celem aktywnej roli UE w polityce podatkowej jest przeciwdziałanie zakłóceniom, zapewnienie dobrego funkcjonowania jednolitego rynku i zapobieganie jego rozdrobnieniu; podkreśla, że na szczeblu unijnym należy przyjmować jedynie takie rozwiązania, które są dobrze przemyślane, uwzględniają </w:t>
      </w:r>
      <w:proofErr w:type="gramStart"/>
      <w:r w:rsidRPr="009F71DD">
        <w:t>systemy</w:t>
      </w:r>
      <w:proofErr w:type="gramEnd"/>
      <w:r w:rsidRPr="009F71DD">
        <w:t xml:space="preserve"> istniejące w państwach członkowskich i nie stwarzają dodatkowych, niewspółmiernych i zbędnych obciążeń dla przedsiębiorstw, zwłaszcza MŚP;</w:t>
      </w:r>
    </w:p>
    <w:p w:rsidR="006B4625" w:rsidRPr="009F71DD" w:rsidRDefault="006B4625" w:rsidP="006B4625">
      <w:pPr>
        <w:widowControl/>
        <w:spacing w:after="240"/>
        <w:ind w:left="567" w:hanging="567"/>
        <w:rPr>
          <w:b/>
          <w:i/>
        </w:rPr>
      </w:pPr>
      <w:r w:rsidRPr="009F71DD">
        <w:t>5.</w:t>
      </w:r>
      <w:r w:rsidRPr="009F71DD">
        <w:tab/>
      </w:r>
      <w:proofErr w:type="gramStart"/>
      <w:r w:rsidRPr="009F71DD">
        <w:t>podkreśla</w:t>
      </w:r>
      <w:proofErr w:type="gramEnd"/>
      <w:r w:rsidRPr="009F71DD">
        <w:t>, że niezwykle istotne jest zwalczanie agresywnego planowania podatkowego</w:t>
      </w:r>
      <w:r w:rsidRPr="009F71DD">
        <w:rPr>
          <w:rStyle w:val="FootnoteReference"/>
        </w:rPr>
        <w:footnoteReference w:id="28"/>
      </w:r>
      <w:r w:rsidRPr="009F71DD">
        <w:t xml:space="preserve"> i uchylania się od opodatkowania przy jednoczesnym propagowaniu sprawiedliwości, przejrzystości i pewności fiskalnej; podkreśla, że przeciwdziałanie uchylaniu się od opodatkowania, unikaniu opodatkowania i agresywnemu planowaniu podatkowemu zapewni dodatkowe dochody podatkowe, które pomogą rządom krajowym w utrzymaniu podatków na poziomach sprzyjających zrównoważonemu wzrostowi gospodarczemu oraz konkurencyjności i atrakcyjności fiskalnej UE;</w:t>
      </w:r>
      <w:r w:rsidRPr="009F71DD">
        <w:rPr>
          <w:b/>
          <w:i/>
        </w:rPr>
        <w:t xml:space="preserve"> </w:t>
      </w:r>
    </w:p>
    <w:p w:rsidR="006B4625" w:rsidRPr="009F71DD" w:rsidRDefault="006B4625" w:rsidP="006B4625">
      <w:pPr>
        <w:pStyle w:val="NormalHanging12a"/>
      </w:pPr>
      <w:r w:rsidRPr="009F71DD">
        <w:t>6.</w:t>
      </w:r>
      <w:r w:rsidRPr="009F71DD">
        <w:tab/>
      </w:r>
      <w:proofErr w:type="gramStart"/>
      <w:r w:rsidRPr="009F71DD">
        <w:t>wzywa</w:t>
      </w:r>
      <w:proofErr w:type="gramEnd"/>
      <w:r w:rsidRPr="009F71DD">
        <w:t xml:space="preserve"> Komisję, aby przypominała państwom członkowskim o wdrożeniu zaleceń w kontekście europejskiego semestru i oceny krajowych planów odbudowy i zwiększania </w:t>
      </w:r>
      <w:r w:rsidRPr="009F71DD">
        <w:lastRenderedPageBreak/>
        <w:t>odporności w odniesieniu do agresywnego planowania podatkowego;</w:t>
      </w:r>
    </w:p>
    <w:p w:rsidR="006B4625" w:rsidRPr="009F71DD" w:rsidRDefault="006B4625" w:rsidP="006B4625">
      <w:pPr>
        <w:pStyle w:val="NormalHanging12a"/>
      </w:pPr>
      <w:r w:rsidRPr="009F71DD">
        <w:t>7.</w:t>
      </w:r>
      <w:r w:rsidRPr="009F71DD">
        <w:tab/>
      </w:r>
      <w:proofErr w:type="gramStart"/>
      <w:r w:rsidRPr="009F71DD">
        <w:t>docenia</w:t>
      </w:r>
      <w:proofErr w:type="gramEnd"/>
      <w:r w:rsidRPr="009F71DD">
        <w:t xml:space="preserve"> dotychczasowe działania UE przeciwko uchylaniu się od opodatkowania i agresywnemu planowaniu podatkowemu, stosownie do sytuacji międzynarodowej na szczeblu OECD/G20; zwraca uwagę na liczne dyrektywy podatkowe przyjęte od 2011 r., które przyczyniły się do bardziej sprawiedliwego, prostszego i skuteczniejszego opodatkowania osób prawnych w UE oraz do nałożenia na przedsiębiorstwa w UE większej liczby obowiązków dotyczących przestrzegania przepisów prawa podatkowego</w:t>
      </w:r>
      <w:r w:rsidRPr="009F71DD">
        <w:rPr>
          <w:rStyle w:val="FootnoteReference"/>
        </w:rPr>
        <w:footnoteReference w:id="29"/>
      </w:r>
      <w:r w:rsidRPr="009F71DD">
        <w:t xml:space="preserve">; zauważa, że korzyści płynące z tych dyrektyw powinny przewyższać ich koszty oraz że obowiązki dotyczące przestrzegania przepisów prawa podatkowego ciążące na przedsiębiorstwach w UE, w szczególności na MŚP, oraz odnośne koszty nie powinny być nieproporcjonalne; zauważa jednak również, że niektóre dyrektywy </w:t>
      </w:r>
      <w:proofErr w:type="gramStart"/>
      <w:r w:rsidRPr="009F71DD">
        <w:t>zostały</w:t>
      </w:r>
      <w:proofErr w:type="gramEnd"/>
      <w:r w:rsidRPr="009F71DD">
        <w:t xml:space="preserve"> zablokowane w Radzie, np. dyrektywa w sprawie podatku od transakcji finansowych czy wnioski dotyczące wspólnej podstawy opodatkowania osób prawnych i wspólnej skonsolidowanej podstawy opodatkowania osób prawnych; w tym kontekście podkreśla, że w 2018 r. Parlament Europejski przyjął wspólne stanowisko w sprawie dyrektywy w sprawie wspólnej skonsolidowanej podstawy opodatkowania osób prawnych</w:t>
      </w:r>
      <w:r w:rsidRPr="009F71DD">
        <w:rPr>
          <w:rStyle w:val="FootnoteReference"/>
        </w:rPr>
        <w:footnoteReference w:id="30"/>
      </w:r>
      <w:r w:rsidRPr="009F71DD">
        <w:t>;</w:t>
      </w:r>
    </w:p>
    <w:p w:rsidR="006B4625" w:rsidRPr="009F71DD" w:rsidRDefault="006B4625" w:rsidP="006B4625">
      <w:pPr>
        <w:pStyle w:val="NormalHanging12a"/>
      </w:pPr>
      <w:r w:rsidRPr="009F71DD">
        <w:t>8.</w:t>
      </w:r>
      <w:r w:rsidRPr="009F71DD">
        <w:tab/>
      </w:r>
      <w:proofErr w:type="gramStart"/>
      <w:r w:rsidRPr="009F71DD">
        <w:t>ubolewa</w:t>
      </w:r>
      <w:proofErr w:type="gramEnd"/>
      <w:r w:rsidRPr="009F71DD">
        <w:t xml:space="preserve"> nad faktem, że w niektórych przypadkach państwa członkowskie wdrożyły i stosują dyrektywy w sprawie opodatkowania w rozbieżny sposób, co może zakłócać prawidłowe funkcjonowanie jednolitego rynku i prowadzić do braku zgodności podstaw opodatkowania, większej biurokracji i wyższych kosztów przestrzegania przepisów; wzywa państwa członkowskie do zapewnienia pełnej transpozycji dyrektyw podatkowych i ich zgodności z intencjami określonymi w tych dyrektywach; w tym kontekście ubolewa, że krajowe systemy podatkowe, administracje podatkowe oraz, ogólnie, rozbieżności w szeroko rozumianej administracji publicznej poszczególnych państw wpływają na obciążenia związane z przestrzeganiem przepisów, szczególnie dla MŚP, które – jak zauważyła Komisja w styczniu 2022 r. – muszą radzić sobie w środowisku </w:t>
      </w:r>
      <w:proofErr w:type="gramStart"/>
      <w:r w:rsidRPr="009F71DD">
        <w:t>złożonym</w:t>
      </w:r>
      <w:proofErr w:type="gramEnd"/>
      <w:r w:rsidRPr="009F71DD">
        <w:t xml:space="preserve"> z 27 różnych systemów podatkowych; apeluje do Komisji o wydanie poszczególnym państwom członkowskim konsekwentnych, sprawiedliwych oraz klarownych zaleceń dotyczących transpozycji dyrektyw oraz ich skutecznego egzekwowania; wzywa państwa członkowskie i Komisję, by maksymalnie wykorzystały istniejące fora UE w celu zapewnienia spójnego wdrażania prawodawstwa UE w dziedzinie opodatkowania we wszystkich państwach członkowskich;</w:t>
      </w:r>
    </w:p>
    <w:p w:rsidR="006B4625" w:rsidRPr="009F71DD" w:rsidRDefault="006B4625" w:rsidP="006B4625">
      <w:pPr>
        <w:pStyle w:val="NormalHanging12a"/>
      </w:pPr>
      <w:r w:rsidRPr="009F71DD">
        <w:t>9.</w:t>
      </w:r>
      <w:r w:rsidRPr="009F71DD">
        <w:tab/>
      </w:r>
      <w:proofErr w:type="gramStart"/>
      <w:r w:rsidRPr="009F71DD">
        <w:t>podkreśla</w:t>
      </w:r>
      <w:proofErr w:type="gramEnd"/>
      <w:r w:rsidRPr="009F71DD">
        <w:t>, że otoczenie podatkowe, zwłaszcza w odniesieniu do opodatkowania osób prawnych, wpływa na decyzje inwestycyjne, a zatem jest jednym z czynników wpływających na tworzenie miejsc pracy, zrównoważony wzrost gospodarczy i konkurencyjność;</w:t>
      </w:r>
    </w:p>
    <w:p w:rsidR="006B4625" w:rsidRPr="009F71DD" w:rsidRDefault="006B4625" w:rsidP="006B4625">
      <w:pPr>
        <w:pStyle w:val="NormalHanging12a"/>
        <w:rPr>
          <w:b/>
          <w:i/>
        </w:rPr>
      </w:pPr>
      <w:r w:rsidRPr="009F71DD">
        <w:rPr>
          <w:b/>
          <w:i/>
        </w:rPr>
        <w:t xml:space="preserve">Zmniejszenie obciążeń związanych z przestrzeganiem przepisów dla przedsiębiorstw w UE, </w:t>
      </w:r>
      <w:r w:rsidRPr="009F71DD">
        <w:rPr>
          <w:b/>
          <w:i/>
        </w:rPr>
        <w:lastRenderedPageBreak/>
        <w:t>zwłaszcza MŚP</w:t>
      </w:r>
    </w:p>
    <w:p w:rsidR="006B4625" w:rsidRPr="009F71DD" w:rsidRDefault="006B4625" w:rsidP="006B4625">
      <w:pPr>
        <w:pStyle w:val="NormalHanging12a"/>
      </w:pPr>
      <w:r w:rsidRPr="009F71DD">
        <w:t>10.</w:t>
      </w:r>
      <w:r w:rsidRPr="009F71DD">
        <w:tab/>
      </w:r>
      <w:proofErr w:type="gramStart"/>
      <w:r w:rsidRPr="009F71DD">
        <w:t>zauważa</w:t>
      </w:r>
      <w:proofErr w:type="gramEnd"/>
      <w:r w:rsidRPr="009F71DD">
        <w:t>, że według Komisji szacunkowe koszty przestrzegania przepisów podatkowych w przypadku dużych przedsiębiorstw wielonarodowych wynoszą około 2 % płaconych podatków, natomiast w przypadku MŚP te szacunkowe koszty wynoszą około 30% płaconych podatków; ubolewa, że niektóre państwa członkowskie opracowały systemy podatkowe pozwalające na rozbieżności między przedsiębiorstwami wielonarodowymi a MŚP, co stawia MŚP w niekorzystnej sytuacji konkurencyjnej; przypomina, że MŚP to główna siła napędowa wzrostu gospodarczego i tworzenia miejsc pracy; wzywa Komisję Europejską do opracowania polityki podatkowej, która będzie łatwa do wdrożenia przez mniejsze przedsiębiorstwa, gdyż obniży ponoszone przez nie koszty i ograniczy ich obowiązki administracyjne wynikające z przepisów podatkowych;</w:t>
      </w:r>
    </w:p>
    <w:p w:rsidR="006B4625" w:rsidRPr="009F71DD" w:rsidRDefault="006B4625" w:rsidP="006B4625">
      <w:pPr>
        <w:pStyle w:val="NormalHanging12a"/>
      </w:pPr>
      <w:r w:rsidRPr="009F71DD">
        <w:t>11.</w:t>
      </w:r>
      <w:r w:rsidRPr="009F71DD">
        <w:tab/>
      </w:r>
      <w:proofErr w:type="gramStart"/>
      <w:r w:rsidRPr="009F71DD">
        <w:t>wzywa</w:t>
      </w:r>
      <w:proofErr w:type="gramEnd"/>
      <w:r w:rsidRPr="009F71DD">
        <w:t xml:space="preserve"> Komisję do przeprowadzenia ogólnounijnego badania poziomów kosztów przestrzegania przepisów w poszczególnych krajach oraz ogólnej oceny stwierdzonej sytuacji; wzywa również Komisję, aby w następstwie tej oceny przedstawiła inicjatywę mającą na celu rozwiązanie problemu wysokich kosztów przestrzegania przepisów i zacieśnienie współpracy na rzecz ograniczenia obciążeń administracyjnych; </w:t>
      </w:r>
    </w:p>
    <w:p w:rsidR="006B4625" w:rsidRPr="009F71DD" w:rsidRDefault="006B4625" w:rsidP="006B4625">
      <w:pPr>
        <w:pStyle w:val="NormalHanging12a"/>
      </w:pPr>
      <w:r w:rsidRPr="009F71DD">
        <w:t>12.</w:t>
      </w:r>
      <w:r w:rsidRPr="009F71DD">
        <w:tab/>
      </w:r>
      <w:proofErr w:type="gramStart"/>
      <w:r w:rsidRPr="009F71DD">
        <w:t>zauważa</w:t>
      </w:r>
      <w:proofErr w:type="gramEnd"/>
      <w:r w:rsidRPr="009F71DD">
        <w:t>, że na jednolitym rynku działalność transgraniczna pracowników i osób samozatrudnionych pozostaje skomplikowana pod względem administracyjnym z punktu widzenia podatków i ubezpieczeń społecznych; zauważa ponadto, że większe możliwości pracy zdalnej zaostrzyły ten problem;</w:t>
      </w:r>
    </w:p>
    <w:p w:rsidR="006B4625" w:rsidRPr="009F71DD" w:rsidRDefault="006B4625" w:rsidP="006B4625">
      <w:pPr>
        <w:pStyle w:val="NormalHanging12a"/>
      </w:pPr>
      <w:r w:rsidRPr="009F71DD">
        <w:t>13.</w:t>
      </w:r>
      <w:r w:rsidRPr="009F71DD">
        <w:tab/>
      </w:r>
      <w:proofErr w:type="gramStart"/>
      <w:r w:rsidRPr="009F71DD">
        <w:t>wzywa</w:t>
      </w:r>
      <w:proofErr w:type="gramEnd"/>
      <w:r w:rsidRPr="009F71DD">
        <w:t xml:space="preserve"> Komisję, aby przedstawiła ogólną ocenę dotychczasowych działań podjętych w dziedzinie opodatkowania osób prawnych od 2011 r., opublikowała szczegółową ocenę skutków dotyczącą najlepszych możliwości zmniejszenia obciążeń administracyjnych dla przedsiębiorstw, zwłaszcza MŚP, zidentyfikowała wszystkie różnice w transpozycji w UE, określiła obszary wymagające uproszczenia i zapewniła przedsiębiorstwom, które już znajdują się pod presją, rozsądne ramy czasowe na wdrożenie strategii politycznych; podkreśla wniosek Rady Europejskiej z 22 marca 2023 r. o przeprowadzanie przez Komisję sprawdzianów konkurencyjności w odniesieniu do nowych wniosków ustawodawczych, w tym dotyczących opodatkowania, oraz podkreśla, że każdy ewentualny nowy wniosek powinien przyczynić się do sprawnego funkcjonowania, integralności i równych warunków działania na jednolitym </w:t>
      </w:r>
      <w:proofErr w:type="gramStart"/>
      <w:r w:rsidRPr="009F71DD">
        <w:t>rynku</w:t>
      </w:r>
      <w:proofErr w:type="gramEnd"/>
      <w:r w:rsidRPr="009F71DD">
        <w:t xml:space="preserve"> i nie powinien powodować nieproporcjonalnego obciążenia dla przedsiębiorstw; wzywa również Komisję, aby w nowych wnioskach ustawodawczych w sprawie opodatkowania brała pod uwagę kompatybilność z rozwiązaniami (w tym rozwiązaniami cyfrowymi), wprowadzonymi już w poszczególnych państwach członkowskich, przyczyniającymi się do zmniejszenia obciążeń dla przedsiębiorstw;</w:t>
      </w:r>
    </w:p>
    <w:p w:rsidR="006B4625" w:rsidRPr="009F71DD" w:rsidRDefault="006B4625" w:rsidP="006B4625">
      <w:pPr>
        <w:pStyle w:val="NormalHanging12a"/>
      </w:pPr>
      <w:r w:rsidRPr="009F71DD">
        <w:t>14.</w:t>
      </w:r>
      <w:r w:rsidRPr="009F71DD">
        <w:tab/>
      </w:r>
      <w:proofErr w:type="gramStart"/>
      <w:r w:rsidRPr="009F71DD">
        <w:t>odnotowuje</w:t>
      </w:r>
      <w:proofErr w:type="gramEnd"/>
      <w:r w:rsidRPr="009F71DD">
        <w:t xml:space="preserve"> wyniki Konferencji w sprawie przyszłości Europy z 9 maja 2022 r. oraz propozycje dotyczące zwiększenia konkurencyjności UE i dalszego pogłębienia jednolitego rynku, których celem jest osiągnięcie pewnego poziomu harmonizacji i koordynacji polityki podatkowej w państwach członkowskich, aby zapobiegać uchylaniu się od opodatkowania i unikaniu opodatkowania, a jednocześnie wspierać sukces gospodarczy przedsiębiorstw; czeka na wniosek zapowiedziany przez przewodniczącą Komisji Ursulę von der Leyen 19 października 2022 r. dotyczący wprowadzenia do przepisów UE standardowego sprawdzianu konkurencyjności; zwraca uwagę, że przy opracowywaniu nowych przepisów podatkowych należy wziąć pod </w:t>
      </w:r>
      <w:r w:rsidRPr="009F71DD">
        <w:lastRenderedPageBreak/>
        <w:t xml:space="preserve">uwagę kwestie utrzymania konkurencyjności gospodarki UE; oczekuje, że konkurencyjność powinna iść w parze z pełnym przestrzeganiem istniejących unijnych </w:t>
      </w:r>
      <w:proofErr w:type="gramStart"/>
      <w:r w:rsidRPr="009F71DD">
        <w:t>norm</w:t>
      </w:r>
      <w:proofErr w:type="gramEnd"/>
      <w:r w:rsidRPr="009F71DD">
        <w:t xml:space="preserve"> pracy i norm społecznych;</w:t>
      </w:r>
    </w:p>
    <w:p w:rsidR="006B4625" w:rsidRPr="009F71DD" w:rsidRDefault="006B4625" w:rsidP="006B4625">
      <w:pPr>
        <w:pStyle w:val="NormalHanging12a"/>
      </w:pPr>
      <w:r w:rsidRPr="009F71DD">
        <w:t>15</w:t>
      </w:r>
      <w:r w:rsidRPr="009F71DD">
        <w:rPr>
          <w:b/>
          <w:i/>
        </w:rPr>
        <w:t>.</w:t>
      </w:r>
      <w:r w:rsidRPr="009F71DD">
        <w:tab/>
      </w:r>
      <w:proofErr w:type="gramStart"/>
      <w:r w:rsidRPr="009F71DD">
        <w:t>z</w:t>
      </w:r>
      <w:proofErr w:type="gramEnd"/>
      <w:r w:rsidRPr="009F71DD">
        <w:t xml:space="preserve"> zadowoleniem przyjmuje plan REPowerEU i jego priorytety oraz wzywa państwa członkowskie do rozważenia integracji środków podatkowych, aby przyspieszyć wykorzystywanie środków finansowych, osiągnąć większą konkurencyjność i wspierać MŚP, przedsiębiorstwa i sektor przemysłu w realizacji celów tego programu w ramach zmienionych krajowych planów odbudowy i zwiększania odporności zgodnie z sugestią Komisji;</w:t>
      </w:r>
    </w:p>
    <w:p w:rsidR="006B4625" w:rsidRPr="009F71DD" w:rsidRDefault="006B4625" w:rsidP="006B4625">
      <w:pPr>
        <w:pStyle w:val="NormalHanging12a"/>
      </w:pPr>
      <w:r w:rsidRPr="009F71DD">
        <w:t>16.</w:t>
      </w:r>
      <w:r w:rsidRPr="009F71DD">
        <w:tab/>
      </w:r>
      <w:proofErr w:type="gramStart"/>
      <w:r w:rsidRPr="009F71DD">
        <w:t>zwraca</w:t>
      </w:r>
      <w:proofErr w:type="gramEnd"/>
      <w:r w:rsidRPr="009F71DD">
        <w:t xml:space="preserve"> uwagę na wznowienie debaty na temat bodźców podatkowych w następstwie przyjęcia modelowych zasad filaru II gwarantujących minimalną efektywną stawkę podatku dochodowego od osób prawnych w wysokości 15 % oraz w reakcji na amerykańską ustawę o obniżeniu inflacji; wzywa Komisję do przeanalizowania eksperymentów z ulgami podatkowymi, zwłaszcza w kontekście zmienionych unijnych ram dotyczących pomocy państwa; niemniej zwraca uwagę, że wszystkie decyzje powinny być podejmowane w sposób skoordynowany, aby utrzymać funkcjonowanie jednolitego rynku, zgodnie z przepisami dotyczącymi konkurencji, zapobiegając międzynarodowej konkurencji opartej na dotacjach; podkreśla, że bodźce podatkowe powinny mieć na celu przyciągnięcie rzeczywistych inwestycji, z uwzględnieniem obaw związanych ze starzeniem się społeczeństw, </w:t>
      </w:r>
      <w:proofErr w:type="gramStart"/>
      <w:r w:rsidRPr="009F71DD">
        <w:t>godnych</w:t>
      </w:r>
      <w:proofErr w:type="gramEnd"/>
      <w:r w:rsidRPr="009F71DD">
        <w:t xml:space="preserve"> norm pracy i norm społecznych oraz transformacji ekologicznej i cyfrowej;</w:t>
      </w:r>
    </w:p>
    <w:p w:rsidR="006B4625" w:rsidRPr="009F71DD" w:rsidRDefault="006B4625" w:rsidP="006B4625">
      <w:pPr>
        <w:pStyle w:val="NormalHanging12a"/>
      </w:pPr>
      <w:r w:rsidRPr="009F71DD">
        <w:t>17.</w:t>
      </w:r>
      <w:r w:rsidRPr="009F71DD">
        <w:tab/>
      </w:r>
      <w:proofErr w:type="gramStart"/>
      <w:r w:rsidRPr="009F71DD">
        <w:t>zwraca</w:t>
      </w:r>
      <w:proofErr w:type="gramEnd"/>
      <w:r w:rsidRPr="009F71DD">
        <w:t xml:space="preserve"> uwagę, że państwa członkowskie mogą zaangażować się w politykę umożliwiającą pełne odliczanie inwestycji kapitałowych oraz wprowadzającą na stałe przepisy dotyczące ulg kapitałowych, aby zwiększyć rzeczywiste inwestycje, w szczególności w badania i rozwój, osiągnąć cele klimatyczne oraz wesprzeć konkurencyjność Europy; uważa, że pełne odliczanie inwestycji kapitałowych wymaga skoordynowanego wdrożenia, starannego zaprojektowania i znacznej dbałości administracyjnej, aby zapobiec stosowaniu tego mechanizmu do uzyskiwania nieuzasadnionych dotacji podatkowych lub nadużyć podatkowych; uważa w związku z tym, że takie strategie polityczne powinny iść w parze z regularnym monitorowaniem i analizami skutków ubocznych;</w:t>
      </w:r>
    </w:p>
    <w:p w:rsidR="006B4625" w:rsidRPr="009F71DD" w:rsidRDefault="006B4625" w:rsidP="006B4625">
      <w:pPr>
        <w:pStyle w:val="NormalHanging12a"/>
      </w:pPr>
      <w:r w:rsidRPr="009F71DD">
        <w:t>18.</w:t>
      </w:r>
      <w:r w:rsidRPr="009F71DD">
        <w:tab/>
        <w:t xml:space="preserve">wzywa państwa członkowskie, aby w świetle wysokich stóp inflacji odciążyły przedsiębiorstwa, zwłaszcza MŚP, na przykład za pomocą tymczasowych środków podatkowych w celu złagodzenia wzrostu kosztów energii oraz wykorzystania dodatkowych dochodów wynikających z wyższych cen energii do zapewnienia bezpośredniej i ukierunkowanej pomocy dla obywateli znajdujących się w najtrudniejszej sytuacji i klasy średniej, a </w:t>
      </w:r>
      <w:proofErr w:type="gramStart"/>
      <w:r w:rsidRPr="009F71DD">
        <w:t>także aby</w:t>
      </w:r>
      <w:proofErr w:type="gramEnd"/>
      <w:r w:rsidRPr="009F71DD">
        <w:t xml:space="preserve"> zmniejszyły obciążenia dla obywateli i przedsiębiorstw, zwłaszcza MŚP, które zostały poważnie dotknięte kryzysem;</w:t>
      </w:r>
    </w:p>
    <w:p w:rsidR="006B4625" w:rsidRPr="009F71DD" w:rsidRDefault="006B4625" w:rsidP="006B4625">
      <w:pPr>
        <w:pStyle w:val="NormalHanging12a"/>
        <w:rPr>
          <w:b/>
          <w:i/>
        </w:rPr>
      </w:pPr>
      <w:r w:rsidRPr="009F71DD">
        <w:rPr>
          <w:b/>
          <w:i/>
        </w:rPr>
        <w:t>Porozumienie dotyczące filaru II</w:t>
      </w:r>
    </w:p>
    <w:p w:rsidR="006B4625" w:rsidRPr="009F71DD" w:rsidRDefault="006B4625" w:rsidP="006B4625">
      <w:pPr>
        <w:pStyle w:val="NormalHanging12a"/>
      </w:pPr>
      <w:r w:rsidRPr="009F71DD">
        <w:t>19.</w:t>
      </w:r>
      <w:r w:rsidRPr="009F71DD">
        <w:tab/>
      </w:r>
      <w:proofErr w:type="gramStart"/>
      <w:r w:rsidRPr="009F71DD">
        <w:t>z</w:t>
      </w:r>
      <w:proofErr w:type="gramEnd"/>
      <w:r w:rsidRPr="009F71DD">
        <w:t xml:space="preserve"> zadowoleniem przyjmuje fakt, że na szczeblu otwartych ram OECD/G20 uzgodniono dwufilarowe rozwiązanie dotyczące alokacji praw do opodatkowania i zastosowania minimalnej efektywnej stawki podatkowej w wysokości 15 % od globalnych zysków przedsiębiorstw wielonarodowych, a także przyjęcie dyrektywy w sprawie drugiego filaru, która wdraża to porozumienie międzynarodowe na poziomie prawa UE; wzywa </w:t>
      </w:r>
      <w:r w:rsidRPr="009F71DD">
        <w:lastRenderedPageBreak/>
        <w:t>Komisję, by przedstawiła Parlamentowi sprawozdanie z wyników procesu ratyfikacji porozumienia dotyczącego filaru II w państwach spoza UE;</w:t>
      </w:r>
    </w:p>
    <w:p w:rsidR="006B4625" w:rsidRPr="009F71DD" w:rsidRDefault="006B4625" w:rsidP="006B4625">
      <w:pPr>
        <w:pStyle w:val="NormalHanging12a"/>
      </w:pPr>
      <w:r w:rsidRPr="009F71DD">
        <w:t>20.</w:t>
      </w:r>
      <w:r w:rsidRPr="009F71DD">
        <w:tab/>
      </w:r>
      <w:proofErr w:type="gramStart"/>
      <w:r w:rsidRPr="009F71DD">
        <w:t>zauważa</w:t>
      </w:r>
      <w:proofErr w:type="gramEnd"/>
      <w:r w:rsidRPr="009F71DD">
        <w:t xml:space="preserve">, że przedsiębiorstwa nie tylko muszą radzić sobie z niestabilnym otoczeniem biznesowym i coraz większą liczbą dyrektyw UE w sprawie opodatkowania, lecz także muszą przeznaczać swoje zasoby finansowe i ludzkie na stosowanie zasad filaru II i przestrzeganie dalszych wytycznych OECD i interpretacji wydawanych przez poszczególne państwa członkowskie; odnotowuje przedstawiony przez Komisję 12 września 2023 r. pakiet dotyczący uproszczeń podatkowych dla MŚP, BEFIT i ustalania cen transferowych; oczekuje na rozpoczęcie negocjacji w sprawie poszczególnych dossier oraz na ocenę skuteczności i wpływu zasad drugiego filaru, głównie w kontekście oczekiwanych celów, analizy kosztów i korzyści, walki z uchylaniem się od opodatkowania i unikaniem opodatkowania, szkodliwej </w:t>
      </w:r>
      <w:proofErr w:type="gramStart"/>
      <w:r w:rsidRPr="009F71DD">
        <w:t>konkurencji</w:t>
      </w:r>
      <w:proofErr w:type="gramEnd"/>
      <w:r w:rsidRPr="009F71DD">
        <w:t xml:space="preserve"> podatkowej i wyższych dochodów podatkowych;</w:t>
      </w:r>
    </w:p>
    <w:p w:rsidR="006B4625" w:rsidRPr="009F71DD" w:rsidRDefault="006B4625" w:rsidP="006B4625">
      <w:pPr>
        <w:pStyle w:val="NormalHanging12a"/>
        <w:rPr>
          <w:b/>
          <w:i/>
        </w:rPr>
      </w:pPr>
      <w:r w:rsidRPr="009F71DD">
        <w:t>21.</w:t>
      </w:r>
      <w:r w:rsidRPr="009F71DD">
        <w:rPr>
          <w:b/>
          <w:i/>
        </w:rPr>
        <w:tab/>
      </w:r>
      <w:r w:rsidRPr="009F71DD">
        <w:t>zauważa, że zasady filaru I i filaru II mają zastosowanie wyłącznie do przedsiębiorstw wielonarodowych, których obroty przekraczają odpowiednio 20 mld EUR</w:t>
      </w:r>
      <w:bookmarkStart w:id="7" w:name="_GoBack"/>
      <w:bookmarkEnd w:id="7"/>
      <w:r w:rsidRPr="009F71DD">
        <w:t xml:space="preserve"> (przy marży zysku ponad 10 %) i 750 mln EUR; odnotowuje, że w związku z tym większość przedsiębiorstw, zwłaszcza MŚP, nie jest objęta tym porozumieniem; zwraca uwagę na wysiłki Komisji na rzecz stworzenia ram BEFIT w oparciu o międzynarodowe porozumienie w sprawie filaru II i dyrektywę UE w sprawie drugiego filaru;</w:t>
      </w:r>
    </w:p>
    <w:p w:rsidR="006B4625" w:rsidRPr="009F71DD" w:rsidRDefault="006B4625" w:rsidP="006B4625">
      <w:pPr>
        <w:pStyle w:val="NormalHanging12a"/>
      </w:pPr>
      <w:r w:rsidRPr="009F71DD">
        <w:t>22.</w:t>
      </w:r>
      <w:r w:rsidRPr="009F71DD">
        <w:tab/>
      </w:r>
      <w:proofErr w:type="gramStart"/>
      <w:r w:rsidRPr="009F71DD">
        <w:t>rozumie</w:t>
      </w:r>
      <w:proofErr w:type="gramEnd"/>
      <w:r w:rsidRPr="009F71DD">
        <w:t>, że porozumienie przyjęte w kontekście otwartych ram G20/OECD miało stanowić pakiet mający na celu jednoczesne wprowadzenie w życie obu filarów; odnotowuje oświadczenie otwartych ram OECD/G20 z 11 lipca 2023 r. w sprawie dwufilarowego rozwiązania w celu sprostania wyzwaniom w dziedzinie opodatkowania wynikającym z cyfryzacji gospodarki; ubolewa z powodu różnych harmonogramów wdrażania filaru pierwszego i drugiego; należycie odnotowuje międzynarodowy scenariusz transpozycji dyrektyw dotyczących filaru I i II;</w:t>
      </w:r>
    </w:p>
    <w:p w:rsidR="006B4625" w:rsidRPr="009F71DD" w:rsidRDefault="006B4625" w:rsidP="006B4625">
      <w:pPr>
        <w:pStyle w:val="NormalHanging12a"/>
      </w:pPr>
      <w:r w:rsidRPr="009F71DD">
        <w:t>23.</w:t>
      </w:r>
      <w:r w:rsidRPr="009F71DD">
        <w:tab/>
      </w:r>
      <w:proofErr w:type="gramStart"/>
      <w:r w:rsidRPr="009F71DD">
        <w:t>odnotowuje</w:t>
      </w:r>
      <w:proofErr w:type="gramEnd"/>
      <w:r w:rsidRPr="009F71DD">
        <w:t xml:space="preserve"> niedawną reformę Grupy ds. Kodeksu Postępowania dotyczącą rozszerzenia jej zakresu w 2022 r.; wzywa Komisję, państwa członkowskie i Grupę ds. Kodeksu Postępowania (opodatkowanie działalności gospodarczej) do przedstawienia oceny wcześniejszych reform; przypomina swoje stanowisko z 7 października 2021 r., że w ocenie należy uwzględnić środki podatkowe prowadzące do niskich poziomów opodatkowania zgodnie z filarem 2;</w:t>
      </w:r>
    </w:p>
    <w:p w:rsidR="006B4625" w:rsidRPr="009F71DD" w:rsidRDefault="006B4625" w:rsidP="006B4625">
      <w:pPr>
        <w:pStyle w:val="NormalHanging12a"/>
      </w:pPr>
      <w:r w:rsidRPr="009F71DD">
        <w:t>24.</w:t>
      </w:r>
      <w:r w:rsidRPr="009F71DD">
        <w:tab/>
        <w:t>zwraca uwagę na fakt, że Komisja rozważa możliwość wprowadzenia nowych zasobów własnych w oparciu o ramy BEFIT po ich przyjęciu, zgodnie z Porozumieniem międzyinstytucjonalnym z dnia 16 grudnia 2020 r. między Parlamentem Europejskim, Radą Unii Europejskiej i Komisją Europejską w sprawie dyscypliny budżetowej, współpracy w kwestiach budżetowych i należytego zarządzania finansami oraz w sprawie nowych zasobów własnych, w tym również harmonogramu wprowadzania nowych zasobów własnych (porozumienie międzyinstytucjonalne</w:t>
      </w:r>
      <w:proofErr w:type="gramStart"/>
      <w:r w:rsidRPr="009F71DD">
        <w:t>)</w:t>
      </w:r>
      <w:r w:rsidRPr="009F71DD">
        <w:rPr>
          <w:rStyle w:val="FootnoteReference"/>
        </w:rPr>
        <w:footnoteReference w:id="31"/>
      </w:r>
      <w:r w:rsidRPr="009F71DD">
        <w:t>; przypomina</w:t>
      </w:r>
      <w:proofErr w:type="gramEnd"/>
      <w:r w:rsidRPr="009F71DD">
        <w:t>, że jeżeli wdrożenie pierwszego filaru opóźni się poza okres bieżącego mandatu, Komisja zobowiązała się do zaproponowania opłaty cyfrowej; zauważa, że Komisja potwierdziła, iż BEFIT jest również istotny z punktu widzenia zasobów własnych;</w:t>
      </w:r>
    </w:p>
    <w:p w:rsidR="006B4625" w:rsidRPr="009F71DD" w:rsidRDefault="006B4625" w:rsidP="006B4625">
      <w:pPr>
        <w:pStyle w:val="NormalHanging12a"/>
      </w:pPr>
      <w:r w:rsidRPr="009F71DD">
        <w:t>25.</w:t>
      </w:r>
      <w:r w:rsidRPr="009F71DD">
        <w:tab/>
      </w:r>
      <w:proofErr w:type="gramStart"/>
      <w:r w:rsidRPr="009F71DD">
        <w:t>przypomina</w:t>
      </w:r>
      <w:proofErr w:type="gramEnd"/>
      <w:r w:rsidRPr="009F71DD">
        <w:t xml:space="preserve">, że Parlament przy różnych okazjach, w tym w niedawno przyjętej rezolucji </w:t>
      </w:r>
      <w:r w:rsidRPr="009F71DD">
        <w:lastRenderedPageBreak/>
        <w:t>w sprawie zasobów własnych: nowy początek dla finansów unijnych – nowy początek dla Europy</w:t>
      </w:r>
      <w:r w:rsidRPr="009F71DD">
        <w:rPr>
          <w:rStyle w:val="FootnoteReference"/>
        </w:rPr>
        <w:footnoteReference w:id="32"/>
      </w:r>
      <w:r w:rsidRPr="009F71DD">
        <w:t xml:space="preserve">, wyrażał już poparcie dla nowych zasobów własnych związanych z opodatkowaniem osób prawnych, takich jak wspólna skonsolidowana podstawa opodatkowania osób prawnych (CCCTB), podatek od usług cyfrowych, a ostatnio w odniesieniu do zasobów własnych opartych na filarze pierwszym w kontekście integracyjnych ram OECD dotyczących erozji bazy podatkowej i przenoszenia zysków; przypomina ponadto o swoim apelu o wprowadzenie ogólnounijnego podatku od transakcji finansowych (PTF) oraz rozważenie innych instrumentów, takich jak proponowany w amerykańskiej ustawie o obniżeniu inflacji podatek </w:t>
      </w:r>
      <w:proofErr w:type="gramStart"/>
      <w:r w:rsidRPr="009F71DD">
        <w:t>akcyzowy</w:t>
      </w:r>
      <w:proofErr w:type="gramEnd"/>
      <w:r w:rsidRPr="009F71DD">
        <w:t xml:space="preserve"> od wykupu akcji, a także wspólne i ustandaryzowane ramy podatku u źródła;</w:t>
      </w:r>
    </w:p>
    <w:p w:rsidR="006B4625" w:rsidRPr="009F71DD" w:rsidRDefault="006B4625" w:rsidP="006B4625">
      <w:pPr>
        <w:pStyle w:val="NormalHanging12a"/>
      </w:pPr>
      <w:r w:rsidRPr="009F71DD">
        <w:t xml:space="preserve">26. </w:t>
      </w:r>
      <w:r w:rsidRPr="009F71DD">
        <w:tab/>
      </w:r>
      <w:proofErr w:type="gramStart"/>
      <w:r w:rsidRPr="009F71DD">
        <w:t>podkreśla</w:t>
      </w:r>
      <w:proofErr w:type="gramEnd"/>
      <w:r w:rsidRPr="009F71DD">
        <w:t>, że dobrze zaprojektowane nowe zasoby własne oparte na podatkach od osób prawnych muszą być w pełni zgodne z celem, jakim jest uproszczony system podatkowy, i mogą promować sprawiedliwość podatkową; wzywa Komisję do określenia synergii między modernizacją przepisów podatkowych a potencjalnymi zasobami własnymi opartymi na opodatkowaniu;</w:t>
      </w:r>
    </w:p>
    <w:p w:rsidR="006B4625" w:rsidRPr="009F71DD" w:rsidRDefault="006B4625" w:rsidP="006B4625">
      <w:pPr>
        <w:pStyle w:val="NormalHanging12a"/>
      </w:pPr>
      <w:r w:rsidRPr="009F71DD">
        <w:t>27.</w:t>
      </w:r>
      <w:r w:rsidRPr="009F71DD">
        <w:tab/>
      </w:r>
      <w:proofErr w:type="gramStart"/>
      <w:r w:rsidRPr="009F71DD">
        <w:t>odnotowuje</w:t>
      </w:r>
      <w:proofErr w:type="gramEnd"/>
      <w:r w:rsidRPr="009F71DD">
        <w:t xml:space="preserve"> wniosek Komisji dotyczący tymczasowych statystycznych zasobów własnych związanych z sektorem przedsiębiorstw, które można by wdrożyć do czasu ewentualnego ustanowienia zasobów własnych związanych z BEFIT; uważa, że takie zasoby własne, spójnie opracowane, powinny zachęcać państwa członkowskie do przyspieszenia negocjacji w sprawie BEFIT;</w:t>
      </w:r>
    </w:p>
    <w:p w:rsidR="006B4625" w:rsidRPr="009F71DD" w:rsidRDefault="006B4625" w:rsidP="006B4625">
      <w:pPr>
        <w:pStyle w:val="NormalHanging12a"/>
      </w:pPr>
      <w:r w:rsidRPr="009F71DD">
        <w:t>28.</w:t>
      </w:r>
      <w:r w:rsidRPr="009F71DD">
        <w:tab/>
      </w:r>
      <w:proofErr w:type="gramStart"/>
      <w:r w:rsidRPr="009F71DD">
        <w:t>ponawia</w:t>
      </w:r>
      <w:proofErr w:type="gramEnd"/>
      <w:r w:rsidRPr="009F71DD">
        <w:t xml:space="preserve"> swój apel do państw członkowskich, aby przyjęły nowe zasoby własne na potrzeby pokrycia kosztów finansowania zewnętrznego w ramach NextGenerationEU (NGEU) oraz jak najszybszego zapewnienia wystarczającego finansowania ich strategii politycznych i priorytetów.</w:t>
      </w:r>
    </w:p>
    <w:p w:rsidR="006B4625" w:rsidRPr="009F71DD" w:rsidRDefault="006B4625" w:rsidP="006B4625">
      <w:pPr>
        <w:pStyle w:val="NormalHanging12a"/>
        <w:spacing w:after="0"/>
        <w:ind w:left="0" w:firstLine="0"/>
      </w:pPr>
    </w:p>
    <w:p w:rsidR="006B4625" w:rsidRPr="009F71DD" w:rsidRDefault="006B4625" w:rsidP="006B4625">
      <w:pPr>
        <w:pStyle w:val="NormalHanging12a"/>
        <w:rPr>
          <w:b/>
          <w:i/>
        </w:rPr>
      </w:pPr>
      <w:r w:rsidRPr="009F71DD">
        <w:rPr>
          <w:b/>
          <w:i/>
        </w:rPr>
        <w:t>Dążenie do lepiej skoordynowanego i uproszczonego systemu podatku dochodowego od osób prawnych (BEFIT)</w:t>
      </w:r>
    </w:p>
    <w:p w:rsidR="006B4625" w:rsidRPr="009F71DD" w:rsidRDefault="006B4625" w:rsidP="006B4625">
      <w:pPr>
        <w:pStyle w:val="NormalHanging12a"/>
      </w:pPr>
      <w:r w:rsidRPr="009F71DD">
        <w:t>29.</w:t>
      </w:r>
      <w:r w:rsidRPr="009F71DD">
        <w:tab/>
      </w:r>
      <w:proofErr w:type="gramStart"/>
      <w:r w:rsidRPr="009F71DD">
        <w:t>zwraca</w:t>
      </w:r>
      <w:proofErr w:type="gramEnd"/>
      <w:r w:rsidRPr="009F71DD">
        <w:t xml:space="preserve"> uwagę, że BEFIT i pakiet pomocy dla MŚP w zakresie opodatkowania wzajemnie się uzupełniają i że obie inicjatywy mają na celu większe uproszczenia dla przedsiębiorstw; wzywa Komisję do zaproponowania środków, które pomogą wszystkim państwom członkowskim przejść na uproszczony, skuteczny i konkurencyjny system podatkowy, aby zmniejszyć obciążenia administracyjne dla przedsiębiorstw, zwłaszcza MŚP; stwierdza, że uproszczenie procedur zwrotu, odliczeń i postępowań sądowych to inne rozwiązania służące zmniejszeniu obciążenia administracyjnego, w szczególności dla MŚP; odnotowuje w związku z tym wniosek Komisji z czerwca 2023 r. w sprawie szybszego i bezpieczniejszego mechanizmu ulg w nadmiernym podatku u źródła, którego celem jest pobudzenie inwestycji transgranicznych </w:t>
      </w:r>
      <w:proofErr w:type="gramStart"/>
      <w:r w:rsidRPr="009F71DD">
        <w:t>i</w:t>
      </w:r>
      <w:proofErr w:type="gramEnd"/>
      <w:r w:rsidRPr="009F71DD">
        <w:t xml:space="preserve"> pomoc w zapobieganiu nadużyciom podatkowym poprzez reformę procedur dotyczących podatku u źródła, i wzywa do szybkiego przyjęcia i wdrożenia tego wniosku;</w:t>
      </w:r>
    </w:p>
    <w:p w:rsidR="006B4625" w:rsidRPr="009F71DD" w:rsidRDefault="006B4625" w:rsidP="006B4625">
      <w:pPr>
        <w:pStyle w:val="NormalHanging12a"/>
      </w:pPr>
      <w:r w:rsidRPr="009F71DD">
        <w:t>30.</w:t>
      </w:r>
      <w:r w:rsidRPr="009F71DD">
        <w:tab/>
      </w:r>
      <w:proofErr w:type="gramStart"/>
      <w:r w:rsidRPr="009F71DD">
        <w:t>zauważa</w:t>
      </w:r>
      <w:proofErr w:type="gramEnd"/>
      <w:r w:rsidRPr="009F71DD">
        <w:t xml:space="preserve">, że od 1997 r. kodeks postępowania w zakresie opodatkowania działalności gospodarczej stanowi podstawowy instrument UE służący zapobieganiu szkodliwej konkurencji podatkowej wśród przedsiębiorstw; podkreśla, że w tym kontekście </w:t>
      </w:r>
      <w:r w:rsidRPr="009F71DD">
        <w:lastRenderedPageBreak/>
        <w:t xml:space="preserve">państwa członkowskie powinny ponownie przeanalizować, zmienić lub znieść istniejące środki podatkowe, które stanowią szkodliwą konkurencję podatkową, a także powstrzymać się od wprowadzania nowych środków w przyszłości; w tym kontekście z zadowoleniem przyjmuje konkluzje Rady z 8 listopada 2022 r. w sprawie reformy kodeksu postępowania w zakresie opodatkowania działalności gospodarczej w odniesieniu do zakresu środków podatkowych poddawanych kontroli podczas analizy szkodliwych praktyk podatkowych w UE; wzywa Grupę ds. Kodeksu Postępowania (opodatkowanie działalności gospodarczej) do korzystania w </w:t>
      </w:r>
      <w:proofErr w:type="gramStart"/>
      <w:r w:rsidRPr="009F71DD">
        <w:t>pełni</w:t>
      </w:r>
      <w:proofErr w:type="gramEnd"/>
      <w:r w:rsidRPr="009F71DD">
        <w:t xml:space="preserve"> ze zmienionych uprawnień;</w:t>
      </w:r>
    </w:p>
    <w:p w:rsidR="006B4625" w:rsidRPr="009F71DD" w:rsidRDefault="006B4625" w:rsidP="006B4625">
      <w:pPr>
        <w:pStyle w:val="NormalHanging12a"/>
      </w:pPr>
      <w:r w:rsidRPr="009F71DD">
        <w:t>31.</w:t>
      </w:r>
      <w:r w:rsidRPr="009F71DD">
        <w:tab/>
      </w:r>
      <w:proofErr w:type="gramStart"/>
      <w:r w:rsidRPr="009F71DD">
        <w:t>wzywa</w:t>
      </w:r>
      <w:proofErr w:type="gramEnd"/>
      <w:r w:rsidRPr="009F71DD">
        <w:t xml:space="preserve"> Radę, by bez dalszej zwłoki kontynuowała negocjacje w sprawie wniosku dotyczącego ukrócenia procederu nadużywania przedsiębiorstw fasadowych do celów podatkowych; przypomina pierwotny zamiar Komisji i stanowisko Parlamentu z 17 stycznia 2023 r.</w:t>
      </w:r>
      <w:r w:rsidRPr="009F71DD">
        <w:rPr>
          <w:rStyle w:val="FootnoteReference"/>
        </w:rPr>
        <w:footnoteReference w:id="33"/>
      </w:r>
      <w:r w:rsidRPr="009F71DD">
        <w:t>;</w:t>
      </w:r>
    </w:p>
    <w:p w:rsidR="006B4625" w:rsidRPr="009F71DD" w:rsidRDefault="006B4625" w:rsidP="006B4625">
      <w:pPr>
        <w:pStyle w:val="NormalHanging12a"/>
      </w:pPr>
      <w:r w:rsidRPr="009F71DD">
        <w:t>32.</w:t>
      </w:r>
      <w:r w:rsidRPr="009F71DD">
        <w:tab/>
        <w:t>z niecierpliwością oczekuje na skutki, jakie mają przynieść inicjatywy BEFIT i HOT, jeżeli chodzi o uproszczenie złożonych ram prawnych dotyczących systemów opodatkowania osób prawnych, a co za tym idzie – przyciągnięcie bezpośrednich inwestycji zagranicznych, zwiększenie konkurencyjności UE, a tym samym zmniejszenie ryzyka przeniesienia się przedsiębiorstw do państw spoza UE; zwraca uwagę na komunikat Komisji w sprawie opodatkowania działalności gospodarczej w XXI wieku, w którym wskazano, że „brak wspólnego systemu opodatkowania osób prawnych na jednolitym rynku działa jak hamulec konkurencyjności” i że i „[s</w:t>
      </w:r>
      <w:proofErr w:type="gramStart"/>
      <w:r w:rsidRPr="009F71DD">
        <w:t>]twarza</w:t>
      </w:r>
      <w:proofErr w:type="gramEnd"/>
      <w:r w:rsidRPr="009F71DD">
        <w:t xml:space="preserve"> to niekorzystne warunki konkurencji w porównaniu z rynkami państw trzecich”; przypomina, że uproszczone ramy ograniczają również możliwości </w:t>
      </w:r>
      <w:proofErr w:type="gramStart"/>
      <w:r w:rsidRPr="009F71DD">
        <w:t>agresywnego</w:t>
      </w:r>
      <w:proofErr w:type="gramEnd"/>
      <w:r w:rsidRPr="009F71DD">
        <w:t xml:space="preserve"> planowania podatkowego;</w:t>
      </w:r>
    </w:p>
    <w:p w:rsidR="006B4625" w:rsidRPr="009F71DD" w:rsidRDefault="006B4625" w:rsidP="006B4625">
      <w:pPr>
        <w:pStyle w:val="NormalHanging12a"/>
      </w:pPr>
      <w:r w:rsidRPr="009F71DD">
        <w:t>33.</w:t>
      </w:r>
      <w:r w:rsidRPr="009F71DD">
        <w:tab/>
      </w:r>
      <w:proofErr w:type="gramStart"/>
      <w:r w:rsidRPr="009F71DD">
        <w:t>odnotowuje</w:t>
      </w:r>
      <w:proofErr w:type="gramEnd"/>
      <w:r w:rsidRPr="009F71DD">
        <w:t xml:space="preserve"> wniosek Komisji dotyczący BEFIT, którego celem jest opracowanie nowego i jednolitego unijnego zbioru przepisów dotyczących podatku dochodowego od osób prawnych i wspólnej podstawy opodatkowania dochodów przedsiębiorstw; w tym kontekście wzywa Komisję do zadbania o to, aby nowy wniosek zagwarantował przedsiębiorstwom jasność i przewidywalność oraz ułatwiał transgraniczną działalność gospodarczą; podkreśla, że każdy tego rodzaju wniosek musi uwzględniać osiągnięte porozumienia i dyskusje toczące się na szczeblu globalnym w celu ochrony interesów UE; ponownie podkreśla, że porozumienia w sprawie ram opodatkowania osób prawnych są najskuteczniejsze w przypadku ich osiągnięcia na szczeblu globalnym;</w:t>
      </w:r>
    </w:p>
    <w:p w:rsidR="006B4625" w:rsidRPr="009F71DD" w:rsidRDefault="006B4625" w:rsidP="006B4625">
      <w:pPr>
        <w:pStyle w:val="NormalHanging12a"/>
      </w:pPr>
      <w:r w:rsidRPr="009F71DD">
        <w:t>34.</w:t>
      </w:r>
      <w:r w:rsidRPr="009F71DD">
        <w:tab/>
      </w:r>
      <w:proofErr w:type="gramStart"/>
      <w:r w:rsidRPr="009F71DD">
        <w:t>rozumie</w:t>
      </w:r>
      <w:proofErr w:type="gramEnd"/>
      <w:r w:rsidRPr="009F71DD">
        <w:t>, że inicjatywa BEFIT stanowi okazję do rozwiązania problemu kosztów związanych z przestrzeganiem przepisów podatkowych oraz do zmniejszenia obciążeń administracyjnych, a jednocześnie przyczynić się do ograniczenia do minimum agresywnego planowania podatkowego oraz sprzyjać równym warunkom działania dla MŚP; uważa, że inicjatywy ustawodawcze w zakresie opodatkowania powinny zapewniać wyeliminowanie luk umożliwiających uchylanie się od opodatkowania, unikanie opodatkowania i oszustwa podatkowe; zauważa, że wymaga to ciągłych prac nad ramami opodatkowania osób prawnych, aby dokonywać dostosowań w tym zakresie;</w:t>
      </w:r>
    </w:p>
    <w:p w:rsidR="006B4625" w:rsidRPr="009F71DD" w:rsidRDefault="006B4625" w:rsidP="006B4625">
      <w:pPr>
        <w:pStyle w:val="NormalHanging12a"/>
      </w:pPr>
      <w:r w:rsidRPr="009F71DD">
        <w:t>35.</w:t>
      </w:r>
      <w:r w:rsidRPr="009F71DD">
        <w:tab/>
      </w:r>
      <w:proofErr w:type="gramStart"/>
      <w:r w:rsidRPr="009F71DD">
        <w:t>ponownie</w:t>
      </w:r>
      <w:proofErr w:type="gramEnd"/>
      <w:r w:rsidRPr="009F71DD">
        <w:t xml:space="preserve"> podkreśla, że inicjatywie BEFIT powinny towarzyszyć działania polityczne na rzecz budowania politycznego poparcia dla zmian; odnotowuje zmienione </w:t>
      </w:r>
      <w:r w:rsidRPr="009F71DD">
        <w:lastRenderedPageBreak/>
        <w:t>sprawozdanie z oceny skutków, w którym wyjaśniono wnioski wyciągnięte z poprzednich inicjatyw dotyczących podatku od osób prawnych oraz dodano powiązania z dwufilarowym podejściem OECD;</w:t>
      </w:r>
    </w:p>
    <w:p w:rsidR="006B4625" w:rsidRPr="009F71DD" w:rsidRDefault="006B4625" w:rsidP="006B4625">
      <w:pPr>
        <w:pStyle w:val="NormalHanging12a"/>
      </w:pPr>
      <w:r w:rsidRPr="009F71DD">
        <w:t>36.</w:t>
      </w:r>
      <w:r w:rsidRPr="009F71DD">
        <w:tab/>
      </w:r>
      <w:proofErr w:type="gramStart"/>
      <w:r w:rsidRPr="009F71DD">
        <w:t>z</w:t>
      </w:r>
      <w:proofErr w:type="gramEnd"/>
      <w:r w:rsidRPr="009F71DD">
        <w:t xml:space="preserve"> zadowoleniem przyjmuje cele BEFIT, o których mowa w wystosowanym przez Komisję zaproszeniu do zgłaszania uwag dotyczących oceny skutków i którymi są: zwiększenie odporności przedsiębiorstw przez zmniejszenie złożoności wynikającej z różnych zbiorów krajowych przepisów podatkowych i kosztów przestrzegania przepisów ponoszonych przez przedsiębiorstwa z UE prowadzące działalność transgraniczną, usunięcie przeszkód dla inwestycji transgranicznych i zwiększenie atrakcyjności jednolitego rynku dla inwestycji międzynarodowych, stworzenie środowiska sprzyjającego sprawiedliwemu i trwałemu wzrostowi gospodarczemu przez umożliwienie uproszczenia procedur administracyjnych, a także zapewnienie stałych dochodów podatkowych w budżetach państw członkowskich, co jest szczególnie ważne w świetle obecnej trudnej sytuacji gospodarczej i wyzwań społecznych; uważa, że wdrożenie jednolitego </w:t>
      </w:r>
      <w:proofErr w:type="gramStart"/>
      <w:r w:rsidRPr="009F71DD">
        <w:t>zbioru</w:t>
      </w:r>
      <w:proofErr w:type="gramEnd"/>
      <w:r w:rsidRPr="009F71DD">
        <w:t xml:space="preserve"> przepisów może przyczynić się do ograniczenia zakresu szkodliwej konkurencji podatkowej między państwami członkowskimi i uchylania się od opodatkowania, a zarazem uprościć przepisy dotyczące opodatkowania osób prawnych w UE;</w:t>
      </w:r>
    </w:p>
    <w:p w:rsidR="006B4625" w:rsidRPr="009F71DD" w:rsidRDefault="006B4625" w:rsidP="006B4625">
      <w:pPr>
        <w:pStyle w:val="NormalHanging12a"/>
      </w:pPr>
      <w:r w:rsidRPr="009F71DD">
        <w:t>37.</w:t>
      </w:r>
      <w:r w:rsidRPr="009F71DD">
        <w:tab/>
      </w:r>
      <w:proofErr w:type="gramStart"/>
      <w:r w:rsidRPr="009F71DD">
        <w:t>podkreśla</w:t>
      </w:r>
      <w:proofErr w:type="gramEnd"/>
      <w:r w:rsidRPr="009F71DD">
        <w:t xml:space="preserve"> istotną rolę administracji podatkowych w zapewnieniu wdrażania reformy BEFIT; zaleca, by państwa członkowskie zapewniły wystarczające środki na ten cel, w tym szkolenia, również w ramach przyszłego programu FISCALIS;</w:t>
      </w:r>
    </w:p>
    <w:p w:rsidR="006B4625" w:rsidRPr="009F71DD" w:rsidRDefault="006B4625" w:rsidP="006B4625">
      <w:pPr>
        <w:pStyle w:val="NormalHanging12a"/>
      </w:pPr>
      <w:r w:rsidRPr="009F71DD">
        <w:t>38.</w:t>
      </w:r>
      <w:r w:rsidRPr="009F71DD">
        <w:tab/>
      </w:r>
      <w:proofErr w:type="gramStart"/>
      <w:r w:rsidRPr="009F71DD">
        <w:t>przypomina</w:t>
      </w:r>
      <w:proofErr w:type="gramEnd"/>
      <w:r w:rsidRPr="009F71DD">
        <w:t>, że wcześniejsze próby określenia przez Unię wspólnego zbioru przepisów uwzględniały trzy czynniki: pracę, aktywa i sprzedaż; odnotowuje zobowiązanie Komisji do oceny, w ramach kompleksowego przeglądu zasady przejściowej, ewentualnej zmiany wprowadzającej opartą na wzorze alokację podstawy opodatkowania BEFIT;</w:t>
      </w:r>
    </w:p>
    <w:p w:rsidR="006B4625" w:rsidRPr="009F71DD" w:rsidRDefault="006B4625" w:rsidP="006B4625">
      <w:pPr>
        <w:pStyle w:val="NormalHanging12a"/>
      </w:pPr>
      <w:r w:rsidRPr="009F71DD">
        <w:t>39.</w:t>
      </w:r>
      <w:r w:rsidRPr="009F71DD">
        <w:tab/>
      </w:r>
      <w:proofErr w:type="gramStart"/>
      <w:r w:rsidRPr="009F71DD">
        <w:t>zauważa</w:t>
      </w:r>
      <w:proofErr w:type="gramEnd"/>
      <w:r w:rsidRPr="009F71DD">
        <w:t>, że przedsiębiorstwa prowadzące działalność w całej UE muszą przestrzegać różnych przepisów podatkowych i rozliczać się z różnymi organami podatkowymi; zwraca uwagę, że sposobem na ograniczenie obciążeń podatkowych i zminimalizowanie przeszkód podatkowych na jednolitym rynku może być ustanowienie punktu kompleksowej obsługi umożliwiającego złożenie jednej skonsolidowanej deklaracji podatkowej; w tym kontekście wzywa państwa członkowskie do intensyfikacji wysiłków na rzecz wprowadzenia elektronicznego systemu składania deklaracji z korzyścią dla podatnika; wzywa Komisję do oceny, czy wprowadzenie punktu kompleksowej obsługi wymaga dalszej harmonizacji podstawy opodatkowania osób prawnych oraz opracowania wzoru umożliwiającego sprawiedliwą i skuteczną alokację praw do opodatkowania między państwa członkowskie; wzywa Komisję do oceny, czy punkt kompleksowej obsługi można by przetestować wśród grup przedsiębiorstw prowadzących działalność na jednolitym rynku i stosujących zasady filaru II, a dopiero później włączyć nowe przepisy BEFIT; w tym kontekście z zadowoleniem przyjmuje komunikat Komisji z 16 marca 2023 r. (COM</w:t>
      </w:r>
      <w:proofErr w:type="gramStart"/>
      <w:r w:rsidRPr="009F71DD">
        <w:t>(2023)0162), w</w:t>
      </w:r>
      <w:proofErr w:type="gramEnd"/>
      <w:r w:rsidRPr="009F71DD">
        <w:t xml:space="preserve"> którym podkreślono przydatność punktów kompleksowej obsługi, jeżeli chodzi o zniesienie barier;</w:t>
      </w:r>
    </w:p>
    <w:p w:rsidR="006B4625" w:rsidRPr="009F71DD" w:rsidRDefault="006B4625" w:rsidP="006B4625">
      <w:pPr>
        <w:pStyle w:val="NormalHanging12a"/>
      </w:pPr>
      <w:r w:rsidRPr="009F71DD">
        <w:t>40.</w:t>
      </w:r>
      <w:r w:rsidRPr="009F71DD">
        <w:tab/>
      </w:r>
      <w:proofErr w:type="gramStart"/>
      <w:r w:rsidRPr="009F71DD">
        <w:t>uważa</w:t>
      </w:r>
      <w:proofErr w:type="gramEnd"/>
      <w:r w:rsidRPr="009F71DD">
        <w:t xml:space="preserve">, że wszystkie bardzo duże przedsiębiorstwa prowadzące działalność w UE powinny wchodzić w zakres przyszłego wniosku dotyczącego BEFIT; wzywa Komisję do wyjścia naprzeciw szczególnym potrzebom MŚP poprzez zadbanie o to, aby </w:t>
      </w:r>
      <w:r w:rsidRPr="009F71DD">
        <w:lastRenderedPageBreak/>
        <w:t>inicjatywa BEFIT była opcjonalna dla MŚP, zwłaszcza dla tych, które nie prowadzą działalności transgranicznej; niemniej z zadowoleniem przyjmuje wszelkie wnioski umożliwiające mniejszym przedsiębiorstwom korzystanie z dobrowolnych, uproszczonych i zharmonizowanych ram opodatkowania osób prawnych;</w:t>
      </w:r>
    </w:p>
    <w:p w:rsidR="006B4625" w:rsidRPr="009F71DD" w:rsidRDefault="006B4625" w:rsidP="006B4625">
      <w:pPr>
        <w:pStyle w:val="NormalHanging12a"/>
      </w:pPr>
      <w:r w:rsidRPr="009F71DD">
        <w:t>41.</w:t>
      </w:r>
      <w:r w:rsidRPr="009F71DD">
        <w:tab/>
        <w:t xml:space="preserve">podkreśla, że preferencyjne traktowanie finansowania dłużnego w stosunku do kapitałowego w opodatkowaniu osób prawnych, które umożliwia hojne odliczenia podatkowe w przypadku płatności odsetkowych, podczas gdy kosztów finansowania kapitałowego nie można odliczyć w podobny sposób, podkreśla trudności strukturalne, z jakimi borykają się przedsiębiorstwa zależne od finansowania kapitałowego, które są często młodsze i mniejsze i mają trudniejszy dostęp do kredytów; zauważa, że w przeszłości odliczenia z tytułu hipotetycznych odsetek od kapitału własnego były nadużywane w wyniku nielegalnych działań; postrzega wniosek Komisji z 11 maja 2022 r. dotyczący uprzywilejowania finansowania dłużnego w stosunku do </w:t>
      </w:r>
      <w:proofErr w:type="gramStart"/>
      <w:r w:rsidRPr="009F71DD">
        <w:t>kapitałowego jako</w:t>
      </w:r>
      <w:proofErr w:type="gramEnd"/>
      <w:r w:rsidRPr="009F71DD">
        <w:t xml:space="preserve"> środek promowania finansowania za pośrednictwem rynków kapitałowych, a nie </w:t>
      </w:r>
      <w:proofErr w:type="gramStart"/>
      <w:r w:rsidRPr="009F71DD">
        <w:t>jako</w:t>
      </w:r>
      <w:proofErr w:type="gramEnd"/>
      <w:r w:rsidRPr="009F71DD">
        <w:t xml:space="preserve"> próbę zniechęcania do finansowania dłużnego, uznając jednocześnie kompetencje państw członkowskich w kwestiach podatkowych oraz odnotowując decyzję Rady z 6 grudnia 2022 r. o zawieszeniu prac nad wnioskiem; zwraca się do Rady o ponowne rozważenie tej kwestii i ewentualne wznowienie negocjacji w sprawie tego wniosku z pomocą Komisji; popiera wprowadzenie surowych przepisów zapobiegających unikaniu opodatkowania, w tym przepisów zawartych w art. 5 wniosku Komisji, i w związku z tym wzywa państwa członkowskie do zagwarantowania wysokiego poziomu ochrony przed erozją bazy podatkowej;</w:t>
      </w:r>
    </w:p>
    <w:p w:rsidR="006B4625" w:rsidRPr="009F71DD" w:rsidRDefault="006B4625" w:rsidP="006B4625">
      <w:pPr>
        <w:pStyle w:val="NormalHanging12a"/>
      </w:pPr>
      <w:r w:rsidRPr="009F71DD">
        <w:t>42.</w:t>
      </w:r>
      <w:r w:rsidRPr="009F71DD">
        <w:tab/>
        <w:t xml:space="preserve">uważa, że pewność podatkowa zostałaby wzmocniona, gdyby państwa członkowskie zgadzały </w:t>
      </w:r>
      <w:proofErr w:type="gramStart"/>
      <w:r w:rsidRPr="009F71DD">
        <w:t>się co</w:t>
      </w:r>
      <w:proofErr w:type="gramEnd"/>
      <w:r w:rsidRPr="009F71DD">
        <w:t xml:space="preserve"> do tego, jakie zachęty podatkowe nie zakłócają konkurencji; wzywa Komisję do oceny skuteczności korzystnego opodatkowania dochodów z patentów i innych systemów własności intelektualnej w ramach nowego podejścia do metody wydatkowej, które określono w 5. </w:t>
      </w:r>
      <w:proofErr w:type="gramStart"/>
      <w:r w:rsidRPr="009F71DD">
        <w:t>działaniu</w:t>
      </w:r>
      <w:proofErr w:type="gramEnd"/>
      <w:r w:rsidRPr="009F71DD">
        <w:t xml:space="preserve"> planu przeciwdziałania BEPS dotyczącym szkodliwych praktyk podatkowych;</w:t>
      </w:r>
    </w:p>
    <w:p w:rsidR="006B4625" w:rsidRPr="009F71DD" w:rsidRDefault="006B4625" w:rsidP="006B4625">
      <w:pPr>
        <w:pStyle w:val="NormalHanging12a"/>
      </w:pPr>
      <w:r w:rsidRPr="009F71DD">
        <w:t>43.</w:t>
      </w:r>
      <w:r w:rsidRPr="009F71DD">
        <w:tab/>
      </w:r>
      <w:proofErr w:type="gramStart"/>
      <w:r w:rsidRPr="009F71DD">
        <w:t>wzywa</w:t>
      </w:r>
      <w:proofErr w:type="gramEnd"/>
      <w:r w:rsidRPr="009F71DD">
        <w:t xml:space="preserve"> Komisję i państwa członkowskie do znacznego zwiększenia środków na badania, rozwój i innowacje, aby w skoordynowany sposób osiągnąć cel dotyczący inwestycji na poziomie 3 % PKB UE; podkreśla, że ukierunkowane bodźce podatkowe dla prywatnych badań i rozwoju (np. ulgi podatkowe, zwiększone odpisy lub dostosowane systemy amortyzacji) stosowane w sposób odpowiedzialny pod względem fiskalnym mogą przyczynić się do zwiększenia prywatnych wydatków na te cele, co często może wiązać się z pozytywnymi efektami zewnętrznymi; podkreśla, że należy regularnie analizować takie pozytywne efekty zewnętrzne i korygować lub likwidować te zachęty, jeżeli nie przyniosą zamierzonego rezultatu; odnotowuje pogląd, że takie zachęty są skuteczniejsze dla MŚP, </w:t>
      </w:r>
      <w:proofErr w:type="gramStart"/>
      <w:r w:rsidRPr="009F71DD">
        <w:t>jeżeli</w:t>
      </w:r>
      <w:proofErr w:type="gramEnd"/>
      <w:r w:rsidRPr="009F71DD">
        <w:t xml:space="preserve"> dotyczą wydatków</w:t>
      </w:r>
      <w:r w:rsidRPr="009F71DD">
        <w:rPr>
          <w:rStyle w:val="FootnoteReference"/>
        </w:rPr>
        <w:footnoteReference w:id="34"/>
      </w:r>
      <w:r w:rsidRPr="009F71DD">
        <w:t xml:space="preserve">; podkreśla, że takie zachęty podatkowe muszą być ściśle zgodne z obowiązującymi przepisami i ogólnymi priorytetami politycznymi UE; przypomina, że według sprawozdania inwestycyjnego Europejskiego Banku Inwestycyjnego za lata 2022–2023 wydatki przedsiębiorstw na badania i rozwój wyniosły w 2020 r. zaledwie 1,5 % unijnego PKB, podczas gdy w Stanach Zjednoczonych i Japonii było to 2,6 %; zauważa, że różnica ta może obniżyć konkurencyjność UE w perspektywie długoterminowej; w tym kontekście z </w:t>
      </w:r>
      <w:r w:rsidRPr="009F71DD">
        <w:lastRenderedPageBreak/>
        <w:t xml:space="preserve">zadowoleniem przyjmuje komunikat Komisji z 16 marca 2023 r., w którym zachęca się państwa członkowskie do wsparcia działań w dziedzinie badań i innowacji; wzywa Komisję do przedstawienia oceny najbardziej efektywnych i skutecznych bodźców podatkowych w obszarze </w:t>
      </w:r>
      <w:proofErr w:type="gramStart"/>
      <w:r w:rsidRPr="009F71DD">
        <w:t>prywatnych</w:t>
      </w:r>
      <w:proofErr w:type="gramEnd"/>
      <w:r w:rsidRPr="009F71DD">
        <w:t xml:space="preserve"> badań i rozwoju;</w:t>
      </w:r>
    </w:p>
    <w:p w:rsidR="006B4625" w:rsidRPr="009F71DD" w:rsidRDefault="006B4625" w:rsidP="006B4625">
      <w:pPr>
        <w:pStyle w:val="NormalHanging12a"/>
      </w:pPr>
      <w:r w:rsidRPr="009F71DD">
        <w:t>44.</w:t>
      </w:r>
      <w:r w:rsidRPr="009F71DD">
        <w:tab/>
      </w:r>
      <w:proofErr w:type="gramStart"/>
      <w:r w:rsidRPr="009F71DD">
        <w:t>wzywa</w:t>
      </w:r>
      <w:proofErr w:type="gramEnd"/>
      <w:r w:rsidRPr="009F71DD">
        <w:t xml:space="preserve"> Komisję do przeprowadzenia oceny skutków wykorzystywania nowych technologii do poprawy tempa, efektywności, niezawodności, przejrzystości i odporności procedur administracyjnych związanych z opodatkowaniem; rozumie, że po tej ocenie skutków Komisja może przedstawić wniosek dotyczący zacieśnienia współpracy organów podatkowych, z wykorzystaniem zidentyfikowanych dobrych praktyk, aby stworzyć warunki sprzyjające działalności gospodarczej, zmniejszając biurokrację, koszty przestrzegania przepisów oraz nadmierne obciążenia administracyjne;</w:t>
      </w:r>
    </w:p>
    <w:p w:rsidR="006B4625" w:rsidRPr="009F71DD" w:rsidRDefault="006B4625" w:rsidP="006B4625">
      <w:pPr>
        <w:pStyle w:val="NormalHanging12a"/>
      </w:pPr>
    </w:p>
    <w:p w:rsidR="006B4625" w:rsidRPr="009F71DD" w:rsidRDefault="006B4625" w:rsidP="006B4625">
      <w:pPr>
        <w:pStyle w:val="NormalHanging12a"/>
        <w:jc w:val="center"/>
        <w:rPr>
          <w:rStyle w:val="BoldItalic"/>
          <w:b w:val="0"/>
          <w:i w:val="0"/>
        </w:rPr>
      </w:pPr>
      <w:r w:rsidRPr="009F71DD">
        <w:rPr>
          <w:rStyle w:val="BoldItalic"/>
        </w:rPr>
        <w:t>°</w:t>
      </w:r>
    </w:p>
    <w:p w:rsidR="006B4625" w:rsidRPr="009F71DD" w:rsidRDefault="006B4625" w:rsidP="006B4625">
      <w:pPr>
        <w:pStyle w:val="NormalHanging12a"/>
        <w:jc w:val="center"/>
        <w:rPr>
          <w:rStyle w:val="BoldItalic"/>
          <w:b w:val="0"/>
          <w:i w:val="0"/>
        </w:rPr>
      </w:pPr>
      <w:r w:rsidRPr="009F71DD">
        <w:rPr>
          <w:rStyle w:val="BoldItalic"/>
        </w:rPr>
        <w:t>°</w:t>
      </w:r>
      <w:r w:rsidRPr="009F71DD">
        <w:rPr>
          <w:rStyle w:val="BoldItalic"/>
        </w:rPr>
        <w:tab/>
        <w:t>°</w:t>
      </w:r>
    </w:p>
    <w:p w:rsidR="00E365E1" w:rsidRPr="009F71DD" w:rsidRDefault="006B4625" w:rsidP="00EC7936">
      <w:pPr>
        <w:pStyle w:val="NormalHanging12a"/>
      </w:pPr>
      <w:r w:rsidRPr="009F71DD">
        <w:t>45.</w:t>
      </w:r>
      <w:r w:rsidRPr="009F71DD">
        <w:tab/>
      </w:r>
      <w:proofErr w:type="gramStart"/>
      <w:r w:rsidRPr="009F71DD">
        <w:t>zobowiązuje</w:t>
      </w:r>
      <w:proofErr w:type="gramEnd"/>
      <w:r w:rsidRPr="009F71DD">
        <w:t xml:space="preserve"> swoją przewodniczącą do przekazania niniejszej rezolucji Radzie i Komisji.</w:t>
      </w:r>
    </w:p>
    <w:sectPr w:rsidR="00E365E1" w:rsidRPr="009F71DD" w:rsidSect="009F71D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F2A" w:rsidRPr="009F71DD" w:rsidRDefault="00973F2A">
      <w:r w:rsidRPr="009F71DD">
        <w:separator/>
      </w:r>
    </w:p>
  </w:endnote>
  <w:endnote w:type="continuationSeparator" w:id="0">
    <w:p w:rsidR="00973F2A" w:rsidRPr="009F71DD" w:rsidRDefault="00973F2A">
      <w:r w:rsidRPr="009F71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1D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1D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1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F2A" w:rsidRPr="009F71DD" w:rsidRDefault="00973F2A">
      <w:r w:rsidRPr="009F71DD">
        <w:separator/>
      </w:r>
    </w:p>
  </w:footnote>
  <w:footnote w:type="continuationSeparator" w:id="0">
    <w:p w:rsidR="00973F2A" w:rsidRPr="009F71DD" w:rsidRDefault="00973F2A">
      <w:r w:rsidRPr="009F71DD">
        <w:continuationSeparator/>
      </w:r>
    </w:p>
  </w:footnote>
  <w:footnote w:id="1">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1" w:history="1">
        <w:r w:rsidRPr="00EC57CD">
          <w:rPr>
            <w:rStyle w:val="Hyperlink"/>
            <w:color w:val="000000" w:themeColor="text1"/>
            <w:sz w:val="24"/>
            <w:u w:val="none"/>
            <w:lang w:val="pl-PL"/>
          </w:rPr>
          <w:t xml:space="preserve">Dz.U. L 157 z 26.6.2003,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49</w:t>
        </w:r>
      </w:hyperlink>
      <w:r w:rsidRPr="00EC57CD">
        <w:rPr>
          <w:color w:val="000000" w:themeColor="text1"/>
          <w:sz w:val="24"/>
          <w:lang w:val="pl-PL"/>
        </w:rPr>
        <w:t>.</w:t>
      </w:r>
    </w:p>
  </w:footnote>
  <w:footnote w:id="2">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2" w:history="1">
        <w:r w:rsidRPr="00EC57CD">
          <w:rPr>
            <w:rStyle w:val="Hyperlink"/>
            <w:color w:val="000000" w:themeColor="text1"/>
            <w:sz w:val="24"/>
            <w:u w:val="none"/>
            <w:lang w:val="pl-PL"/>
          </w:rPr>
          <w:t xml:space="preserve">Dz.U. L 345 z 29.12.2011,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8</w:t>
        </w:r>
      </w:hyperlink>
      <w:r w:rsidRPr="00EC57CD">
        <w:rPr>
          <w:color w:val="000000" w:themeColor="text1"/>
          <w:sz w:val="24"/>
          <w:lang w:val="pl-PL"/>
        </w:rPr>
        <w:t>.</w:t>
      </w:r>
    </w:p>
  </w:footnote>
  <w:footnote w:id="3">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3" w:history="1">
        <w:r w:rsidRPr="00EC57CD">
          <w:rPr>
            <w:rStyle w:val="Hyperlink"/>
            <w:color w:val="000000" w:themeColor="text1"/>
            <w:sz w:val="24"/>
            <w:u w:val="none"/>
            <w:lang w:val="pl-PL"/>
          </w:rPr>
          <w:t xml:space="preserve">Dz.U. L 193 z 19.7.2016,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1</w:t>
        </w:r>
      </w:hyperlink>
      <w:r w:rsidRPr="00EC57CD">
        <w:rPr>
          <w:color w:val="000000" w:themeColor="text1"/>
          <w:sz w:val="24"/>
          <w:lang w:val="pl-PL"/>
        </w:rPr>
        <w:t>.</w:t>
      </w:r>
    </w:p>
  </w:footnote>
  <w:footnote w:id="4">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4" w:history="1">
        <w:r w:rsidRPr="00EC57CD">
          <w:rPr>
            <w:rStyle w:val="Hyperlink"/>
            <w:color w:val="000000" w:themeColor="text1"/>
            <w:sz w:val="24"/>
            <w:u w:val="none"/>
            <w:lang w:val="pl-PL"/>
          </w:rPr>
          <w:t xml:space="preserve">Dz.U. L 144 z 7.6.2017,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1</w:t>
        </w:r>
      </w:hyperlink>
      <w:r w:rsidRPr="00EC57CD">
        <w:rPr>
          <w:color w:val="000000" w:themeColor="text1"/>
          <w:sz w:val="24"/>
          <w:lang w:val="pl-PL"/>
        </w:rPr>
        <w:t>.</w:t>
      </w:r>
    </w:p>
  </w:footnote>
  <w:footnote w:id="5">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5" w:history="1">
        <w:r w:rsidRPr="00EC57CD">
          <w:rPr>
            <w:rStyle w:val="Hyperlink"/>
            <w:color w:val="000000" w:themeColor="text1"/>
            <w:sz w:val="24"/>
            <w:u w:val="none"/>
            <w:lang w:val="pl-PL"/>
          </w:rPr>
          <w:t xml:space="preserve">Dz.U. L 64 z 11.3.2011,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1</w:t>
        </w:r>
      </w:hyperlink>
      <w:r w:rsidRPr="00EC57CD">
        <w:rPr>
          <w:color w:val="000000" w:themeColor="text1"/>
          <w:sz w:val="24"/>
          <w:lang w:val="pl-PL"/>
        </w:rPr>
        <w:t>.</w:t>
      </w:r>
    </w:p>
  </w:footnote>
  <w:footnote w:id="6">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6" w:history="1">
        <w:r w:rsidRPr="00EC57CD">
          <w:rPr>
            <w:rStyle w:val="Hyperlink"/>
            <w:color w:val="000000" w:themeColor="text1"/>
            <w:sz w:val="24"/>
            <w:u w:val="none"/>
            <w:lang w:val="pl-PL"/>
          </w:rPr>
          <w:t xml:space="preserve">Dz.U. L 359 z 16.12.2014,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1</w:t>
        </w:r>
      </w:hyperlink>
      <w:r w:rsidRPr="00EC57CD">
        <w:rPr>
          <w:color w:val="000000" w:themeColor="text1"/>
          <w:sz w:val="24"/>
          <w:lang w:val="pl-PL"/>
        </w:rPr>
        <w:t>.</w:t>
      </w:r>
    </w:p>
  </w:footnote>
  <w:footnote w:id="7">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7" w:history="1">
        <w:r w:rsidRPr="00EC57CD">
          <w:rPr>
            <w:rStyle w:val="Hyperlink"/>
            <w:color w:val="000000" w:themeColor="text1"/>
            <w:sz w:val="24"/>
            <w:u w:val="none"/>
            <w:lang w:val="pl-PL"/>
          </w:rPr>
          <w:t xml:space="preserve">Dz.U. L 332 z 18.12.2015,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1</w:t>
        </w:r>
      </w:hyperlink>
      <w:r w:rsidRPr="00EC57CD">
        <w:rPr>
          <w:color w:val="000000" w:themeColor="text1"/>
          <w:sz w:val="24"/>
          <w:lang w:val="pl-PL"/>
        </w:rPr>
        <w:t>.</w:t>
      </w:r>
    </w:p>
  </w:footnote>
  <w:footnote w:id="8">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8" w:history="1">
        <w:r w:rsidRPr="00EC57CD">
          <w:rPr>
            <w:rStyle w:val="Hyperlink"/>
            <w:color w:val="000000" w:themeColor="text1"/>
            <w:sz w:val="24"/>
            <w:u w:val="none"/>
            <w:lang w:val="pl-PL"/>
          </w:rPr>
          <w:t xml:space="preserve">Dz.U. L 146 z 3.6.2016,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8.</w:t>
        </w:r>
      </w:hyperlink>
    </w:p>
  </w:footnote>
  <w:footnote w:id="9">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9" w:history="1">
        <w:r w:rsidRPr="00EC57CD">
          <w:rPr>
            <w:rStyle w:val="Hyperlink"/>
            <w:color w:val="000000" w:themeColor="text1"/>
            <w:sz w:val="24"/>
            <w:u w:val="none"/>
            <w:lang w:val="pl-PL"/>
          </w:rPr>
          <w:t xml:space="preserve">Dz.U. L 342 z 16.12.2016,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1</w:t>
        </w:r>
      </w:hyperlink>
      <w:r w:rsidRPr="00EC57CD">
        <w:rPr>
          <w:color w:val="000000" w:themeColor="text1"/>
          <w:sz w:val="24"/>
          <w:lang w:val="pl-PL"/>
        </w:rPr>
        <w:t>.</w:t>
      </w:r>
    </w:p>
  </w:footnote>
  <w:footnote w:id="10">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10" w:history="1">
        <w:r w:rsidRPr="00EC57CD">
          <w:rPr>
            <w:rStyle w:val="Hyperlink"/>
            <w:color w:val="000000" w:themeColor="text1"/>
            <w:sz w:val="24"/>
            <w:u w:val="none"/>
            <w:lang w:val="pl-PL"/>
          </w:rPr>
          <w:t xml:space="preserve">Dz.U. L 139 z 5.6.2018,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1</w:t>
        </w:r>
      </w:hyperlink>
      <w:r w:rsidRPr="00EC57CD">
        <w:rPr>
          <w:color w:val="000000" w:themeColor="text1"/>
          <w:sz w:val="24"/>
          <w:lang w:val="pl-PL"/>
        </w:rPr>
        <w:t>.</w:t>
      </w:r>
    </w:p>
  </w:footnote>
  <w:footnote w:id="11">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11" w:history="1">
        <w:r w:rsidRPr="00EC57CD">
          <w:rPr>
            <w:rStyle w:val="Hyperlink"/>
            <w:color w:val="000000" w:themeColor="text1"/>
            <w:sz w:val="24"/>
            <w:u w:val="none"/>
            <w:lang w:val="pl-PL"/>
          </w:rPr>
          <w:t xml:space="preserve">Dz.U. L 104 z 25.3.2021,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1</w:t>
        </w:r>
      </w:hyperlink>
      <w:r w:rsidRPr="00EC57CD">
        <w:rPr>
          <w:color w:val="000000" w:themeColor="text1"/>
          <w:sz w:val="24"/>
          <w:lang w:val="pl-PL"/>
        </w:rPr>
        <w:t>.</w:t>
      </w:r>
    </w:p>
  </w:footnote>
  <w:footnote w:id="12">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12" w:history="1">
        <w:r w:rsidRPr="00EC57CD">
          <w:rPr>
            <w:rStyle w:val="Hyperlink"/>
            <w:color w:val="000000" w:themeColor="text1"/>
            <w:sz w:val="24"/>
            <w:u w:val="none"/>
            <w:lang w:val="pl-PL"/>
          </w:rPr>
          <w:t xml:space="preserve">Dz.U. L 265 z 14.10.2017,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1</w:t>
        </w:r>
      </w:hyperlink>
      <w:r w:rsidRPr="00EC57CD">
        <w:rPr>
          <w:color w:val="000000" w:themeColor="text1"/>
          <w:sz w:val="24"/>
          <w:lang w:val="pl-PL"/>
        </w:rPr>
        <w:t>.</w:t>
      </w:r>
    </w:p>
  </w:footnote>
  <w:footnote w:id="13">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13" w:history="1">
        <w:r w:rsidRPr="00EC57CD">
          <w:rPr>
            <w:rStyle w:val="Hyperlink"/>
            <w:color w:val="000000" w:themeColor="text1"/>
            <w:sz w:val="24"/>
            <w:u w:val="none"/>
            <w:lang w:val="pl-PL"/>
          </w:rPr>
          <w:t xml:space="preserve">Dz.U. L 429 z 1.12.2021,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1</w:t>
        </w:r>
      </w:hyperlink>
      <w:r w:rsidRPr="00EC57CD">
        <w:rPr>
          <w:color w:val="000000" w:themeColor="text1"/>
          <w:sz w:val="24"/>
          <w:lang w:val="pl-PL"/>
        </w:rPr>
        <w:t>.</w:t>
      </w:r>
    </w:p>
  </w:footnote>
  <w:footnote w:id="14">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14" w:history="1">
        <w:r w:rsidRPr="00EC57CD">
          <w:rPr>
            <w:rStyle w:val="Hyperlink"/>
            <w:color w:val="000000" w:themeColor="text1"/>
            <w:sz w:val="24"/>
            <w:u w:val="none"/>
            <w:lang w:val="pl-PL"/>
          </w:rPr>
          <w:t xml:space="preserve">Dz.U. L 328 z 22.12.2022,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1</w:t>
        </w:r>
      </w:hyperlink>
      <w:r w:rsidRPr="00EC57CD">
        <w:rPr>
          <w:color w:val="000000" w:themeColor="text1"/>
          <w:sz w:val="24"/>
          <w:lang w:val="pl-PL"/>
        </w:rPr>
        <w:t>.</w:t>
      </w:r>
    </w:p>
  </w:footnote>
  <w:footnote w:id="15">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r w:rsidRPr="00EC57CD">
        <w:rPr>
          <w:color w:val="000000" w:themeColor="text1"/>
          <w:sz w:val="24"/>
          <w:lang w:val="pl-PL"/>
        </w:rPr>
        <w:t>https</w:t>
      </w:r>
      <w:proofErr w:type="gramStart"/>
      <w:r w:rsidRPr="00EC57CD">
        <w:rPr>
          <w:color w:val="000000" w:themeColor="text1"/>
          <w:sz w:val="24"/>
          <w:lang w:val="pl-PL"/>
        </w:rPr>
        <w:t>://ec</w:t>
      </w:r>
      <w:proofErr w:type="gramEnd"/>
      <w:r w:rsidRPr="00EC57CD">
        <w:rPr>
          <w:color w:val="000000" w:themeColor="text1"/>
          <w:sz w:val="24"/>
          <w:lang w:val="pl-PL"/>
        </w:rPr>
        <w:t>.</w:t>
      </w:r>
      <w:proofErr w:type="gramStart"/>
      <w:r w:rsidRPr="00EC57CD">
        <w:rPr>
          <w:color w:val="000000" w:themeColor="text1"/>
          <w:sz w:val="24"/>
          <w:lang w:val="pl-PL"/>
        </w:rPr>
        <w:t>europa</w:t>
      </w:r>
      <w:proofErr w:type="gramEnd"/>
      <w:r w:rsidRPr="00EC57CD">
        <w:rPr>
          <w:color w:val="000000" w:themeColor="text1"/>
          <w:sz w:val="24"/>
          <w:lang w:val="pl-PL"/>
        </w:rPr>
        <w:t>.</w:t>
      </w:r>
      <w:proofErr w:type="gramStart"/>
      <w:r w:rsidRPr="00EC57CD">
        <w:rPr>
          <w:color w:val="000000" w:themeColor="text1"/>
          <w:sz w:val="24"/>
          <w:lang w:val="pl-PL"/>
        </w:rPr>
        <w:t>eu</w:t>
      </w:r>
      <w:proofErr w:type="gramEnd"/>
      <w:r w:rsidRPr="00EC57CD">
        <w:rPr>
          <w:color w:val="000000" w:themeColor="text1"/>
          <w:sz w:val="24"/>
          <w:lang w:val="pl-PL"/>
        </w:rPr>
        <w:t>/commission/presscorner/detail/pl/IP_19_225.</w:t>
      </w:r>
    </w:p>
  </w:footnote>
  <w:footnote w:id="16">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r w:rsidRPr="00EC57CD">
        <w:rPr>
          <w:color w:val="000000" w:themeColor="text1"/>
          <w:sz w:val="24"/>
          <w:lang w:val="pl-PL"/>
        </w:rPr>
        <w:t>https</w:t>
      </w:r>
      <w:proofErr w:type="gramStart"/>
      <w:r w:rsidRPr="00EC57CD">
        <w:rPr>
          <w:color w:val="000000" w:themeColor="text1"/>
          <w:sz w:val="24"/>
          <w:lang w:val="pl-PL"/>
        </w:rPr>
        <w:t>://ec</w:t>
      </w:r>
      <w:proofErr w:type="gramEnd"/>
      <w:r w:rsidRPr="00EC57CD">
        <w:rPr>
          <w:color w:val="000000" w:themeColor="text1"/>
          <w:sz w:val="24"/>
          <w:lang w:val="pl-PL"/>
        </w:rPr>
        <w:t>.</w:t>
      </w:r>
      <w:proofErr w:type="gramStart"/>
      <w:r w:rsidRPr="00EC57CD">
        <w:rPr>
          <w:color w:val="000000" w:themeColor="text1"/>
          <w:sz w:val="24"/>
          <w:lang w:val="pl-PL"/>
        </w:rPr>
        <w:t>europa</w:t>
      </w:r>
      <w:proofErr w:type="gramEnd"/>
      <w:r w:rsidRPr="00EC57CD">
        <w:rPr>
          <w:color w:val="000000" w:themeColor="text1"/>
          <w:sz w:val="24"/>
          <w:lang w:val="pl-PL"/>
        </w:rPr>
        <w:t>.</w:t>
      </w:r>
      <w:proofErr w:type="gramStart"/>
      <w:r w:rsidRPr="00EC57CD">
        <w:rPr>
          <w:color w:val="000000" w:themeColor="text1"/>
          <w:sz w:val="24"/>
          <w:lang w:val="pl-PL"/>
        </w:rPr>
        <w:t>eu</w:t>
      </w:r>
      <w:proofErr w:type="gramEnd"/>
      <w:r w:rsidRPr="00EC57CD">
        <w:rPr>
          <w:color w:val="000000" w:themeColor="text1"/>
          <w:sz w:val="24"/>
          <w:lang w:val="pl-PL"/>
        </w:rPr>
        <w:t>/commission/presscorner/detail/pl/ip_21_7025.</w:t>
      </w:r>
    </w:p>
  </w:footnote>
  <w:footnote w:id="17">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15" w:history="1">
        <w:r w:rsidRPr="00EC57CD">
          <w:rPr>
            <w:rStyle w:val="Hyperlink"/>
            <w:color w:val="000000" w:themeColor="text1"/>
            <w:sz w:val="24"/>
            <w:u w:val="none"/>
            <w:lang w:val="pl-PL"/>
          </w:rPr>
          <w:t xml:space="preserve">Dz.U. C 479 z 16.12.2022,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89</w:t>
        </w:r>
      </w:hyperlink>
      <w:r w:rsidRPr="00EC57CD">
        <w:rPr>
          <w:color w:val="000000" w:themeColor="text1"/>
          <w:sz w:val="24"/>
          <w:lang w:val="pl-PL"/>
        </w:rPr>
        <w:t>.</w:t>
      </w:r>
    </w:p>
  </w:footnote>
  <w:footnote w:id="18">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r w:rsidRPr="00EC57CD">
        <w:rPr>
          <w:color w:val="000000" w:themeColor="text1"/>
          <w:sz w:val="24"/>
          <w:lang w:val="pl-PL"/>
        </w:rPr>
        <w:t>https</w:t>
      </w:r>
      <w:proofErr w:type="gramStart"/>
      <w:r w:rsidRPr="00EC57CD">
        <w:rPr>
          <w:color w:val="000000" w:themeColor="text1"/>
          <w:sz w:val="24"/>
          <w:lang w:val="pl-PL"/>
        </w:rPr>
        <w:t>://ec</w:t>
      </w:r>
      <w:proofErr w:type="gramEnd"/>
      <w:r w:rsidRPr="00EC57CD">
        <w:rPr>
          <w:color w:val="000000" w:themeColor="text1"/>
          <w:sz w:val="24"/>
          <w:lang w:val="pl-PL"/>
        </w:rPr>
        <w:t>.</w:t>
      </w:r>
      <w:proofErr w:type="gramStart"/>
      <w:r w:rsidRPr="00EC57CD">
        <w:rPr>
          <w:color w:val="000000" w:themeColor="text1"/>
          <w:sz w:val="24"/>
          <w:lang w:val="pl-PL"/>
        </w:rPr>
        <w:t>europa</w:t>
      </w:r>
      <w:proofErr w:type="gramEnd"/>
      <w:r w:rsidRPr="00EC57CD">
        <w:rPr>
          <w:color w:val="000000" w:themeColor="text1"/>
          <w:sz w:val="24"/>
          <w:lang w:val="pl-PL"/>
        </w:rPr>
        <w:t>.</w:t>
      </w:r>
      <w:proofErr w:type="gramStart"/>
      <w:r w:rsidRPr="00EC57CD">
        <w:rPr>
          <w:color w:val="000000" w:themeColor="text1"/>
          <w:sz w:val="24"/>
          <w:lang w:val="pl-PL"/>
        </w:rPr>
        <w:t>eu</w:t>
      </w:r>
      <w:proofErr w:type="gramEnd"/>
      <w:r w:rsidRPr="00EC57CD">
        <w:rPr>
          <w:color w:val="000000" w:themeColor="text1"/>
          <w:sz w:val="24"/>
          <w:lang w:val="pl-PL"/>
        </w:rPr>
        <w:t>/commission/presscorner/detail/pl/ip_23_3328.</w:t>
      </w:r>
    </w:p>
  </w:footnote>
  <w:footnote w:id="19">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16" w:history="1">
        <w:r w:rsidRPr="00EC57CD">
          <w:rPr>
            <w:rStyle w:val="Hyperlink"/>
            <w:color w:val="000000" w:themeColor="text1"/>
            <w:sz w:val="24"/>
            <w:u w:val="none"/>
            <w:lang w:val="pl-PL"/>
          </w:rPr>
          <w:t xml:space="preserve">Dz.U. C 465 z 6.12.2022,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109</w:t>
        </w:r>
      </w:hyperlink>
      <w:r w:rsidRPr="00EC57CD">
        <w:rPr>
          <w:color w:val="000000" w:themeColor="text1"/>
          <w:sz w:val="24"/>
          <w:lang w:val="pl-PL"/>
        </w:rPr>
        <w:t>.</w:t>
      </w:r>
    </w:p>
  </w:footnote>
  <w:footnote w:id="20">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r w:rsidRPr="00EC57CD">
        <w:rPr>
          <w:color w:val="000000" w:themeColor="text1"/>
          <w:sz w:val="24"/>
          <w:lang w:val="pl-PL"/>
        </w:rPr>
        <w:t>https</w:t>
      </w:r>
      <w:proofErr w:type="gramStart"/>
      <w:r w:rsidRPr="00EC57CD">
        <w:rPr>
          <w:color w:val="000000" w:themeColor="text1"/>
          <w:sz w:val="24"/>
          <w:lang w:val="pl-PL"/>
        </w:rPr>
        <w:t>://taxation-customs</w:t>
      </w:r>
      <w:proofErr w:type="gramEnd"/>
      <w:r w:rsidRPr="00EC57CD">
        <w:rPr>
          <w:color w:val="000000" w:themeColor="text1"/>
          <w:sz w:val="24"/>
          <w:lang w:val="pl-PL"/>
        </w:rPr>
        <w:t>.</w:t>
      </w:r>
      <w:proofErr w:type="gramStart"/>
      <w:r w:rsidRPr="00EC57CD">
        <w:rPr>
          <w:color w:val="000000" w:themeColor="text1"/>
          <w:sz w:val="24"/>
          <w:lang w:val="pl-PL"/>
        </w:rPr>
        <w:t>ec</w:t>
      </w:r>
      <w:proofErr w:type="gramEnd"/>
      <w:r w:rsidRPr="00EC57CD">
        <w:rPr>
          <w:color w:val="000000" w:themeColor="text1"/>
          <w:sz w:val="24"/>
          <w:lang w:val="pl-PL"/>
        </w:rPr>
        <w:t>.</w:t>
      </w:r>
      <w:proofErr w:type="gramStart"/>
      <w:r w:rsidRPr="00EC57CD">
        <w:rPr>
          <w:color w:val="000000" w:themeColor="text1"/>
          <w:sz w:val="24"/>
          <w:lang w:val="pl-PL"/>
        </w:rPr>
        <w:t>europa</w:t>
      </w:r>
      <w:proofErr w:type="gramEnd"/>
      <w:r w:rsidRPr="00EC57CD">
        <w:rPr>
          <w:color w:val="000000" w:themeColor="text1"/>
          <w:sz w:val="24"/>
          <w:lang w:val="pl-PL"/>
        </w:rPr>
        <w:t>.</w:t>
      </w:r>
      <w:proofErr w:type="gramStart"/>
      <w:r w:rsidRPr="00EC57CD">
        <w:rPr>
          <w:color w:val="000000" w:themeColor="text1"/>
          <w:sz w:val="24"/>
          <w:lang w:val="pl-PL"/>
        </w:rPr>
        <w:t>eu</w:t>
      </w:r>
      <w:proofErr w:type="gramEnd"/>
      <w:r w:rsidRPr="00EC57CD">
        <w:rPr>
          <w:color w:val="000000" w:themeColor="text1"/>
          <w:sz w:val="24"/>
          <w:lang w:val="pl-PL"/>
        </w:rPr>
        <w:t>/taxation-1/economic-analysis-taxation/annual-report-taxation_en.</w:t>
      </w:r>
    </w:p>
  </w:footnote>
  <w:footnote w:id="21">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17" w:history="1">
        <w:r w:rsidRPr="00EC57CD">
          <w:rPr>
            <w:rStyle w:val="Hyperlink"/>
            <w:color w:val="000000" w:themeColor="text1"/>
            <w:sz w:val="24"/>
            <w:u w:val="none"/>
            <w:lang w:val="pl-PL"/>
          </w:rPr>
          <w:t xml:space="preserve">Dz.U. C 132 z 24.3.2022,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167</w:t>
        </w:r>
      </w:hyperlink>
      <w:r w:rsidRPr="00EC57CD">
        <w:rPr>
          <w:color w:val="000000" w:themeColor="text1"/>
          <w:sz w:val="24"/>
          <w:lang w:val="pl-PL"/>
        </w:rPr>
        <w:t>.</w:t>
      </w:r>
    </w:p>
  </w:footnote>
  <w:footnote w:id="22">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18" w:history="1">
        <w:r w:rsidRPr="00EC57CD">
          <w:rPr>
            <w:rStyle w:val="Hyperlink"/>
            <w:color w:val="000000" w:themeColor="text1"/>
            <w:sz w:val="24"/>
            <w:u w:val="none"/>
            <w:lang w:val="pl-PL"/>
          </w:rPr>
          <w:t xml:space="preserve">Dz.U. C 342 z 6.9.2022,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14</w:t>
        </w:r>
      </w:hyperlink>
      <w:r w:rsidRPr="00EC57CD">
        <w:rPr>
          <w:color w:val="000000" w:themeColor="text1"/>
          <w:sz w:val="24"/>
          <w:lang w:val="pl-PL"/>
        </w:rPr>
        <w:t>.</w:t>
      </w:r>
    </w:p>
  </w:footnote>
  <w:footnote w:id="23">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19" w:history="1">
        <w:r w:rsidRPr="00EC57CD">
          <w:rPr>
            <w:rStyle w:val="Hyperlink"/>
            <w:color w:val="000000" w:themeColor="text1"/>
            <w:sz w:val="24"/>
            <w:u w:val="none"/>
            <w:lang w:val="pl-PL"/>
          </w:rPr>
          <w:t xml:space="preserve">Dz.U. C 347 z 9.9.2022,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211</w:t>
        </w:r>
      </w:hyperlink>
      <w:r w:rsidRPr="00EC57CD">
        <w:rPr>
          <w:color w:val="000000" w:themeColor="text1"/>
          <w:sz w:val="24"/>
          <w:lang w:val="pl-PL"/>
        </w:rPr>
        <w:t>.</w:t>
      </w:r>
    </w:p>
  </w:footnote>
  <w:footnote w:id="24">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r w:rsidRPr="00EC57CD">
        <w:rPr>
          <w:color w:val="000000" w:themeColor="text1"/>
          <w:sz w:val="24"/>
          <w:lang w:val="pl-PL"/>
        </w:rPr>
        <w:t xml:space="preserve">Parlament Europejski, </w:t>
      </w:r>
      <w:hyperlink r:id="rId20" w:history="1">
        <w:r w:rsidRPr="00EC57CD">
          <w:rPr>
            <w:rStyle w:val="Hyperlink"/>
            <w:i/>
            <w:color w:val="000000" w:themeColor="text1"/>
            <w:sz w:val="24"/>
            <w:u w:val="none"/>
            <w:lang w:val="pl-PL"/>
          </w:rPr>
          <w:t>Sprawozdanie w sprawie europejskich ram podatku u źródła</w:t>
        </w:r>
      </w:hyperlink>
      <w:r w:rsidRPr="00EC57CD">
        <w:rPr>
          <w:color w:val="000000" w:themeColor="text1"/>
          <w:sz w:val="24"/>
          <w:lang w:val="pl-PL"/>
        </w:rPr>
        <w:t xml:space="preserve">, luty 2022 r. </w:t>
      </w:r>
    </w:p>
  </w:footnote>
  <w:footnote w:id="25">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21" w:history="1">
        <w:r w:rsidRPr="00EC57CD">
          <w:rPr>
            <w:rStyle w:val="Hyperlink"/>
            <w:color w:val="000000" w:themeColor="text1"/>
            <w:sz w:val="24"/>
            <w:u w:val="none"/>
            <w:lang w:val="pl-PL"/>
          </w:rPr>
          <w:t xml:space="preserve">Dz.U. C 132 z 14.4.2023,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15</w:t>
        </w:r>
      </w:hyperlink>
      <w:r w:rsidRPr="00EC57CD">
        <w:rPr>
          <w:color w:val="000000" w:themeColor="text1"/>
          <w:sz w:val="24"/>
          <w:lang w:val="pl-PL"/>
        </w:rPr>
        <w:t>.</w:t>
      </w:r>
    </w:p>
  </w:footnote>
  <w:footnote w:id="26">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r w:rsidRPr="00EC57CD">
        <w:rPr>
          <w:color w:val="000000" w:themeColor="text1"/>
          <w:sz w:val="24"/>
          <w:lang w:val="pl-PL"/>
        </w:rPr>
        <w:t>„Study on Structures of Aggressive Tax Planning and Indicators – Final Report” [Badanie struktur agresywnego planowania podatkowego i wskaźników – sprawozdanie końcowe] (Taxation paper No 61, 27 stycznia 2016 r.), „The Impact of Tax Planning on Forward-Looking Effective Tax Rates” [Wpływ planowania podatkowego na przyszłościowe efektywne stawki podatkowe] (Taxation paper No 64, 25 października 2016 r.) oraz badanie „Aggressive tax planning indicators – Final Report” [Wskaźniki agresywnego planowania podatkowego – sprawozdanie końcowe] (Taxation paper nr 71, 7 marca 2018 r.).</w:t>
      </w:r>
    </w:p>
  </w:footnote>
  <w:footnote w:id="27">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r w:rsidRPr="00EC57CD">
        <w:rPr>
          <w:color w:val="000000" w:themeColor="text1"/>
          <w:sz w:val="24"/>
          <w:lang w:val="pl-PL"/>
        </w:rPr>
        <w:t xml:space="preserve">Komisja Europejska, Ocena skutków dołączona do wniosku dotyczącego dyrektywy Rady w sprawie ustanowienia przepisów dotyczących ulgi służącej przeciwdziałaniu zjawisku uprzywilejowania finansowania dłużnego w stosunku do kapitałowego oraz w sprawie ograniczania możliwości odliczania odsetek do celów związanych z podatkiem dochodowym od osób prawnych (SWD(2022)0145). </w:t>
      </w:r>
    </w:p>
  </w:footnote>
  <w:footnote w:id="28">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r w:rsidRPr="00EC57CD">
        <w:rPr>
          <w:color w:val="000000" w:themeColor="text1"/>
          <w:sz w:val="24"/>
          <w:lang w:val="pl-PL"/>
        </w:rPr>
        <w:t xml:space="preserve">OECD, </w:t>
      </w:r>
      <w:hyperlink r:id="rId22" w:history="1">
        <w:r w:rsidRPr="00EC57CD">
          <w:rPr>
            <w:rStyle w:val="Hyperlink"/>
            <w:color w:val="000000" w:themeColor="text1"/>
            <w:sz w:val="24"/>
            <w:u w:val="none"/>
            <w:lang w:val="pl-PL"/>
          </w:rPr>
          <w:t>Aggressive Tax Planning</w:t>
        </w:r>
      </w:hyperlink>
      <w:r w:rsidRPr="00EC57CD">
        <w:rPr>
          <w:color w:val="000000" w:themeColor="text1"/>
          <w:sz w:val="24"/>
          <w:lang w:val="pl-PL"/>
        </w:rPr>
        <w:t>.</w:t>
      </w:r>
    </w:p>
  </w:footnote>
  <w:footnote w:id="29">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r w:rsidRPr="00EC57CD">
        <w:rPr>
          <w:color w:val="000000" w:themeColor="text1"/>
          <w:sz w:val="24"/>
          <w:lang w:val="pl-PL"/>
        </w:rPr>
        <w:t>Zob. w szczególności dyrektywy w sprawie przeciwdziałania unikaniu opodatkowania (ATAD I i ATAD II), zmiany dyrektywy w sprawie współpracy administracyjnej w dziedzinie opodatkowania (DAC 1 do DAC 7), rewizja dyrektywy w sprawie spółek dominujących i spółek zależnych, dyrektywa UE w sprawie rozstrzygania sporów, dyrektywa w sprawie publicznej sprawozdawczości w podziale na kraje lub dyrektywa w sprawie filaru drugiego.</w:t>
      </w:r>
    </w:p>
  </w:footnote>
  <w:footnote w:id="30">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r w:rsidRPr="00EC57CD">
        <w:rPr>
          <w:color w:val="000000" w:themeColor="text1"/>
          <w:sz w:val="24"/>
          <w:lang w:val="pl-PL"/>
        </w:rPr>
        <w:t xml:space="preserve">Teksty przyjęte, </w:t>
      </w:r>
      <w:hyperlink r:id="rId23" w:history="1">
        <w:r w:rsidRPr="00EC57CD">
          <w:rPr>
            <w:rStyle w:val="Hyperlink"/>
            <w:color w:val="000000" w:themeColor="text1"/>
            <w:sz w:val="24"/>
            <w:u w:val="none"/>
            <w:lang w:val="pl-PL"/>
          </w:rPr>
          <w:t>P8_TA(2018)0087</w:t>
        </w:r>
      </w:hyperlink>
      <w:r w:rsidRPr="00EC57CD">
        <w:rPr>
          <w:color w:val="000000" w:themeColor="text1"/>
          <w:sz w:val="24"/>
          <w:lang w:val="pl-PL"/>
        </w:rPr>
        <w:t>.</w:t>
      </w:r>
    </w:p>
  </w:footnote>
  <w:footnote w:id="31">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hyperlink r:id="rId24" w:history="1">
        <w:r w:rsidRPr="00EC57CD">
          <w:rPr>
            <w:rStyle w:val="Hyperlink"/>
            <w:color w:val="000000" w:themeColor="text1"/>
            <w:sz w:val="24"/>
            <w:u w:val="none"/>
            <w:lang w:val="pl-PL"/>
          </w:rPr>
          <w:t>Dz.U. L 433</w:t>
        </w:r>
        <w:r w:rsidR="00F3408A">
          <w:rPr>
            <w:rStyle w:val="Hyperlink"/>
            <w:color w:val="000000" w:themeColor="text1"/>
            <w:sz w:val="24"/>
            <w:u w:val="none"/>
            <w:lang w:val="pl-PL"/>
          </w:rPr>
          <w:t xml:space="preserve"> I z </w:t>
        </w:r>
        <w:r w:rsidRPr="00EC57CD">
          <w:rPr>
            <w:rStyle w:val="Hyperlink"/>
            <w:color w:val="000000" w:themeColor="text1"/>
            <w:sz w:val="24"/>
            <w:u w:val="none"/>
            <w:lang w:val="pl-PL"/>
          </w:rPr>
          <w:t xml:space="preserve">22.12.2020, </w:t>
        </w:r>
        <w:proofErr w:type="gramStart"/>
        <w:r w:rsidRPr="00EC57CD">
          <w:rPr>
            <w:rStyle w:val="Hyperlink"/>
            <w:color w:val="000000" w:themeColor="text1"/>
            <w:sz w:val="24"/>
            <w:u w:val="none"/>
            <w:lang w:val="pl-PL"/>
          </w:rPr>
          <w:t>s</w:t>
        </w:r>
        <w:proofErr w:type="gramEnd"/>
        <w:r w:rsidRPr="00EC57CD">
          <w:rPr>
            <w:rStyle w:val="Hyperlink"/>
            <w:color w:val="000000" w:themeColor="text1"/>
            <w:sz w:val="24"/>
            <w:u w:val="none"/>
            <w:lang w:val="pl-PL"/>
          </w:rPr>
          <w:t>. 28</w:t>
        </w:r>
      </w:hyperlink>
      <w:r w:rsidRPr="00EC57CD">
        <w:rPr>
          <w:color w:val="000000" w:themeColor="text1"/>
          <w:sz w:val="24"/>
          <w:lang w:val="pl-PL"/>
        </w:rPr>
        <w:t>.</w:t>
      </w:r>
    </w:p>
  </w:footnote>
  <w:footnote w:id="32">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r w:rsidRPr="00EC57CD">
        <w:rPr>
          <w:color w:val="000000" w:themeColor="text1"/>
          <w:sz w:val="24"/>
          <w:lang w:val="pl-PL"/>
        </w:rPr>
        <w:t>Teksty przyjęte, P9_TA(2023)0195.</w:t>
      </w:r>
    </w:p>
  </w:footnote>
  <w:footnote w:id="33">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r w:rsidRPr="00EC57CD">
        <w:rPr>
          <w:color w:val="000000" w:themeColor="text1"/>
          <w:sz w:val="24"/>
          <w:lang w:val="pl-PL"/>
        </w:rPr>
        <w:t xml:space="preserve">Teksty przyjęte, </w:t>
      </w:r>
      <w:hyperlink r:id="rId25" w:history="1">
        <w:r w:rsidRPr="00EC57CD">
          <w:rPr>
            <w:rStyle w:val="Hyperlink"/>
            <w:color w:val="000000" w:themeColor="text1"/>
            <w:sz w:val="24"/>
            <w:u w:val="none"/>
            <w:lang w:val="pl-PL"/>
          </w:rPr>
          <w:t>P9_TA(2023)0004</w:t>
        </w:r>
      </w:hyperlink>
      <w:r w:rsidRPr="00EC57CD">
        <w:rPr>
          <w:color w:val="000000" w:themeColor="text1"/>
          <w:sz w:val="24"/>
          <w:lang w:val="pl-PL"/>
        </w:rPr>
        <w:t>.</w:t>
      </w:r>
    </w:p>
  </w:footnote>
  <w:footnote w:id="34">
    <w:p w:rsidR="006B4625" w:rsidRPr="00EC57CD" w:rsidRDefault="006B4625" w:rsidP="009F71DD">
      <w:pPr>
        <w:pStyle w:val="FootnoteText"/>
        <w:ind w:left="567" w:hanging="567"/>
        <w:rPr>
          <w:color w:val="000000" w:themeColor="text1"/>
          <w:sz w:val="24"/>
          <w:lang w:val="pl-PL"/>
        </w:rPr>
      </w:pPr>
      <w:r w:rsidRPr="00EC57CD">
        <w:rPr>
          <w:rStyle w:val="FootnoteReference"/>
          <w:color w:val="000000" w:themeColor="text1"/>
          <w:sz w:val="24"/>
          <w:lang w:val="pl-PL"/>
        </w:rPr>
        <w:footnoteRef/>
      </w:r>
      <w:r w:rsidR="009F71DD" w:rsidRPr="00EC57CD">
        <w:rPr>
          <w:color w:val="000000" w:themeColor="text1"/>
          <w:sz w:val="24"/>
          <w:lang w:val="pl-PL"/>
        </w:rPr>
        <w:t xml:space="preserve"> </w:t>
      </w:r>
      <w:r w:rsidR="009F71DD" w:rsidRPr="00EC57CD">
        <w:rPr>
          <w:color w:val="000000" w:themeColor="text1"/>
          <w:sz w:val="24"/>
          <w:lang w:val="pl-PL"/>
        </w:rPr>
        <w:tab/>
      </w:r>
      <w:r w:rsidRPr="00EC57CD">
        <w:rPr>
          <w:color w:val="000000" w:themeColor="text1"/>
          <w:sz w:val="24"/>
          <w:lang w:val="pl-PL"/>
        </w:rPr>
        <w:t>Podkomisja do Spraw Podatkowych, wysłuchanie z 11 lipca 2022 r. dotyczące roli bodźców i zwolnień podatkowych w reformie opodatkowania przedsiębiorstw oraz w promowaniu konkurencyjności europejskich gospodarek.</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1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1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71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PL"/>
    <w:docVar w:name="dvnumam" w:val="0"/>
    <w:docVar w:name="dvpe" w:val="736.738"/>
    <w:docVar w:name="dvrapporteur" w:val="Sprawozdawca: "/>
    <w:docVar w:name="dvstar" w:val="??"/>
    <w:docVar w:name="dvtitre" w:val="Rezolucja Parlamentu Europejskiego z dnia  2023 r. w sprawie dalszej reformy przepisów dotyczących opodatkowania osób prawnych(2022/2146(INI))"/>
  </w:docVars>
  <w:rsids>
    <w:rsidRoot w:val="00973F2A"/>
    <w:rsid w:val="00002272"/>
    <w:rsid w:val="00064002"/>
    <w:rsid w:val="000677B9"/>
    <w:rsid w:val="000831BA"/>
    <w:rsid w:val="000A42CC"/>
    <w:rsid w:val="000E4D5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462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3F2A"/>
    <w:rsid w:val="00981893"/>
    <w:rsid w:val="009F71DD"/>
    <w:rsid w:val="00A1687D"/>
    <w:rsid w:val="00A43E52"/>
    <w:rsid w:val="00A4678D"/>
    <w:rsid w:val="00A778C7"/>
    <w:rsid w:val="00AB441E"/>
    <w:rsid w:val="00AB6293"/>
    <w:rsid w:val="00AE0928"/>
    <w:rsid w:val="00AF3B82"/>
    <w:rsid w:val="00B12E95"/>
    <w:rsid w:val="00B22876"/>
    <w:rsid w:val="00B543F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57CD"/>
    <w:rsid w:val="00EC7936"/>
    <w:rsid w:val="00ED169E"/>
    <w:rsid w:val="00ED4235"/>
    <w:rsid w:val="00F04346"/>
    <w:rsid w:val="00F075DC"/>
    <w:rsid w:val="00F149E9"/>
    <w:rsid w:val="00F3408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5994E"/>
  <w15:chartTrackingRefBased/>
  <w15:docId w15:val="{0513A121-A440-48F3-87DF-F43522376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B4625"/>
    <w:rPr>
      <w:b/>
      <w:kern w:val="28"/>
      <w:sz w:val="28"/>
      <w:lang w:val="fr-FR" w:eastAsia="fr-FR"/>
    </w:rPr>
  </w:style>
  <w:style w:type="paragraph" w:customStyle="1" w:styleId="NormalHanging12a">
    <w:name w:val="NormalHanging12a"/>
    <w:basedOn w:val="Normal"/>
    <w:rsid w:val="006B4625"/>
    <w:pPr>
      <w:spacing w:after="240"/>
      <w:ind w:left="567" w:hanging="567"/>
    </w:pPr>
  </w:style>
  <w:style w:type="paragraph" w:customStyle="1" w:styleId="EPComma">
    <w:name w:val="EPComma"/>
    <w:basedOn w:val="Normal"/>
    <w:rsid w:val="006B4625"/>
    <w:pPr>
      <w:spacing w:before="480" w:after="240"/>
    </w:pPr>
  </w:style>
  <w:style w:type="character" w:customStyle="1" w:styleId="BoldItalic">
    <w:name w:val="BoldItalic"/>
    <w:basedOn w:val="DefaultParagraphFont"/>
    <w:uiPriority w:val="1"/>
    <w:qFormat/>
    <w:rsid w:val="006B4625"/>
    <w:rPr>
      <w:rFonts w:ascii="Times New Roman" w:hAnsi="Times New Roman" w:cs="Times New Roman" w:hint="default"/>
      <w:b/>
      <w:bCs w:val="0"/>
      <w:i/>
      <w:iCs w:val="0"/>
      <w:sz w:val="24"/>
    </w:rPr>
  </w:style>
  <w:style w:type="character" w:styleId="Hyperlink">
    <w:name w:val="Hyperlink"/>
    <w:basedOn w:val="DefaultParagraphFont"/>
    <w:uiPriority w:val="99"/>
    <w:rsid w:val="006B46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PL/TXT/PDF/?uri=CELEX:32016L0881" TargetMode="External"/><Relationship Id="rId13" Type="http://schemas.openxmlformats.org/officeDocument/2006/relationships/hyperlink" Target="https://eur-lex.europa.eu/legal-content/PL/TXT/PDF/?uri=CELEX:32021L2101" TargetMode="External"/><Relationship Id="rId18" Type="http://schemas.openxmlformats.org/officeDocument/2006/relationships/hyperlink" Target="https://eur-lex.europa.eu/legal-content/PL/TXT/PDF/?uri=CELEX:52022IP0023" TargetMode="External"/><Relationship Id="rId3" Type="http://schemas.openxmlformats.org/officeDocument/2006/relationships/hyperlink" Target="https://eur-lex.europa.eu/legal-content/PL/TXT/PDF/?uri=CELEX:32016L1164" TargetMode="External"/><Relationship Id="rId21" Type="http://schemas.openxmlformats.org/officeDocument/2006/relationships/hyperlink" Target="https://eur-lex.europa.eu/legal-content/PL/TXT/PDF/?uri=CELEX:52022IP0335" TargetMode="External"/><Relationship Id="rId7" Type="http://schemas.openxmlformats.org/officeDocument/2006/relationships/hyperlink" Target="https://eur-lex.europa.eu/legal-content/PL/TXT/PDF/?uri=CELEX:32015L2376" TargetMode="External"/><Relationship Id="rId12" Type="http://schemas.openxmlformats.org/officeDocument/2006/relationships/hyperlink" Target="https://eur-lex.europa.eu/legal-content/PL/TXT/PDF/?uri=CELEX:32017L1852" TargetMode="External"/><Relationship Id="rId17" Type="http://schemas.openxmlformats.org/officeDocument/2006/relationships/hyperlink" Target="https://eur-lex.europa.eu/legal-content/PL/TXT/PDF/?uri=CELEX:52021IP0416" TargetMode="External"/><Relationship Id="rId25" Type="http://schemas.openxmlformats.org/officeDocument/2006/relationships/hyperlink" Target="https://www.europarl.europa.eu/doceo/document/TA-9-2023-0004_PL.html" TargetMode="External"/><Relationship Id="rId2" Type="http://schemas.openxmlformats.org/officeDocument/2006/relationships/hyperlink" Target="https://eur-lex.europa.eu/legal-content/PL/TXT/PDF/?uri=CELEX:32011L0096" TargetMode="External"/><Relationship Id="rId16" Type="http://schemas.openxmlformats.org/officeDocument/2006/relationships/hyperlink" Target="https://eur-lex.europa.eu/legal-content/PL/TXT/?uri=celex:52022IP0141" TargetMode="External"/><Relationship Id="rId20" Type="http://schemas.openxmlformats.org/officeDocument/2006/relationships/hyperlink" Target="https://www.europarl.europa.eu/doceo/document/A-9-2022-0011_PL.html" TargetMode="External"/><Relationship Id="rId1" Type="http://schemas.openxmlformats.org/officeDocument/2006/relationships/hyperlink" Target="https://eur-lex.europa.eu/legal-content/PL/TXT/PDF/?uri=CELEX:32003L0049" TargetMode="External"/><Relationship Id="rId6" Type="http://schemas.openxmlformats.org/officeDocument/2006/relationships/hyperlink" Target="https://eur-lex.europa.eu/legal-content/PL/TXT/PDF/?uri=CELEX:32014L0107" TargetMode="External"/><Relationship Id="rId11" Type="http://schemas.openxmlformats.org/officeDocument/2006/relationships/hyperlink" Target="https://eur-lex.europa.eu/legal-content/PL/TXT/PDF/?uri=CELEX:32021L0514" TargetMode="External"/><Relationship Id="rId24" Type="http://schemas.openxmlformats.org/officeDocument/2006/relationships/hyperlink" Target="https://eur-lex.europa.eu/legal-content/PL/TXT/?uri=uriserv%3AOJ.LI.2020.433.01.0028.01.ENG" TargetMode="External"/><Relationship Id="rId5" Type="http://schemas.openxmlformats.org/officeDocument/2006/relationships/hyperlink" Target="https://eur-lex.europa.eu/legal-content/PL/TXT/PDF/?uri=CELEX:32011L0016" TargetMode="External"/><Relationship Id="rId15" Type="http://schemas.openxmlformats.org/officeDocument/2006/relationships/hyperlink" Target="https://eur-lex.europa.eu/legal-content/PL/TXT/?uri=uriserv:OJ.C_.2022.479.01.0089.01.ENG" TargetMode="External"/><Relationship Id="rId23" Type="http://schemas.openxmlformats.org/officeDocument/2006/relationships/hyperlink" Target="https://www.europarl.europa.eu/doceo/document/TA-8-2018-0087_PL.html" TargetMode="External"/><Relationship Id="rId10" Type="http://schemas.openxmlformats.org/officeDocument/2006/relationships/hyperlink" Target="https://eur-lex.europa.eu/legal-content/PL/TXT/PDF/?uri=CELEX:32018L0822" TargetMode="External"/><Relationship Id="rId19" Type="http://schemas.openxmlformats.org/officeDocument/2006/relationships/hyperlink" Target="https://eur-lex.europa.eu/legal-content/PL/TXT/PDF/?uri=CELEX:52022IP0082" TargetMode="External"/><Relationship Id="rId4" Type="http://schemas.openxmlformats.org/officeDocument/2006/relationships/hyperlink" Target="https://eur-lex.europa.eu/legal-content/PL/TXT/PDF/?uri=CELEX:32017L0952" TargetMode="External"/><Relationship Id="rId9" Type="http://schemas.openxmlformats.org/officeDocument/2006/relationships/hyperlink" Target="https://eur-lex.europa.eu/legal-content/PL/TXT/PDF/?uri=CELEX:32016L2258" TargetMode="External"/><Relationship Id="rId14" Type="http://schemas.openxmlformats.org/officeDocument/2006/relationships/hyperlink" Target="https://eur-lex.europa.eu/legal-content/PL/TXT/PDF/?uri=CELEX:32022L2523" TargetMode="External"/><Relationship Id="rId22" Type="http://schemas.openxmlformats.org/officeDocument/2006/relationships/hyperlink" Target="https://www.oecd.org/tax/aggress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12F46-8377-4B28-835E-5367AB3E1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6367</Words>
  <Characters>43475</Characters>
  <Application>Microsoft Office Word</Application>
  <DocSecurity>0</DocSecurity>
  <Lines>749</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2024-01-12T11:41:00Z</dcterms:created>
  <dcterms:modified xsi:type="dcterms:W3CDTF">2024-01-12T11:41:00Z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A9-0359/2023</vt:lpwstr>
  </property>
  <property fmtid="{D5CDD505-2E9C-101B-9397-08002B2CF9AE}" pid="4" name="&lt;Type&gt;">
    <vt:lpwstr>RR</vt:lpwstr>
  </property>
</Properties>
</file>