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236D" w:rsidTr="0010095E">
        <w:trPr>
          <w:trHeight w:hRule="exact" w:val="1418"/>
        </w:trPr>
        <w:tc>
          <w:tcPr>
            <w:tcW w:w="6804" w:type="dxa"/>
            <w:shd w:val="clear" w:color="auto" w:fill="auto"/>
            <w:vAlign w:val="center"/>
          </w:tcPr>
          <w:p w:rsidR="00751A4A" w:rsidRPr="00BC236D" w:rsidRDefault="005F5C19" w:rsidP="0010095E">
            <w:pPr>
              <w:pStyle w:val="EPName"/>
            </w:pPr>
            <w:r w:rsidRPr="00BC236D">
              <w:t>Európsky parlament</w:t>
            </w:r>
          </w:p>
          <w:p w:rsidR="00751A4A" w:rsidRPr="00BC236D" w:rsidRDefault="00817416" w:rsidP="00756632">
            <w:pPr>
              <w:pStyle w:val="EPTerm"/>
              <w:rPr>
                <w:rStyle w:val="HideTWBExt"/>
                <w:noProof w:val="0"/>
                <w:vanish w:val="0"/>
                <w:color w:val="auto"/>
              </w:rPr>
            </w:pPr>
            <w:r w:rsidRPr="00BC236D">
              <w:t>2019-2024</w:t>
            </w:r>
          </w:p>
        </w:tc>
        <w:tc>
          <w:tcPr>
            <w:tcW w:w="2268" w:type="dxa"/>
            <w:shd w:val="clear" w:color="auto" w:fill="auto"/>
          </w:tcPr>
          <w:p w:rsidR="00751A4A" w:rsidRPr="00BC236D" w:rsidRDefault="00187494" w:rsidP="0010095E">
            <w:pPr>
              <w:pStyle w:val="EPLogo"/>
            </w:pPr>
            <w:r w:rsidRPr="00BC23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236D" w:rsidRDefault="00D058B8" w:rsidP="004C5D52">
      <w:pPr>
        <w:pStyle w:val="LineTop"/>
      </w:pPr>
    </w:p>
    <w:p w:rsidR="00680577" w:rsidRPr="00BC236D" w:rsidRDefault="005F5C19" w:rsidP="00680577">
      <w:pPr>
        <w:pStyle w:val="EPBodyTA1"/>
      </w:pPr>
      <w:r w:rsidRPr="00BC236D">
        <w:t>PRIJATÉ TEXTY</w:t>
      </w:r>
    </w:p>
    <w:p w:rsidR="00D058B8" w:rsidRPr="00BC236D" w:rsidRDefault="00D058B8" w:rsidP="00D058B8">
      <w:pPr>
        <w:pStyle w:val="LineBottom"/>
      </w:pPr>
    </w:p>
    <w:p w:rsidR="005F5C19" w:rsidRPr="00BC236D" w:rsidRDefault="005F5C19" w:rsidP="005F5C19">
      <w:pPr>
        <w:pStyle w:val="ATHeading1"/>
      </w:pPr>
      <w:bookmarkStart w:id="0" w:name="TANumber"/>
      <w:r w:rsidRPr="00BC236D">
        <w:t>P9_TA(2023)0</w:t>
      </w:r>
      <w:r w:rsidR="00BC236D" w:rsidRPr="00BC236D">
        <w:t>46</w:t>
      </w:r>
      <w:r w:rsidR="00FA23C3">
        <w:t>0</w:t>
      </w:r>
      <w:bookmarkEnd w:id="0"/>
    </w:p>
    <w:p w:rsidR="005F5C19" w:rsidRPr="00BC236D" w:rsidRDefault="005F5C19" w:rsidP="005F5C19">
      <w:pPr>
        <w:pStyle w:val="ATHeading2"/>
      </w:pPr>
      <w:bookmarkStart w:id="1" w:name="title"/>
      <w:r w:rsidRPr="00BC236D">
        <w:t>Ďalšia reforma pravidiel zdaňovania príjmov právnických osôb</w:t>
      </w:r>
      <w:bookmarkEnd w:id="1"/>
    </w:p>
    <w:p w:rsidR="005F5C19" w:rsidRPr="00BC236D" w:rsidRDefault="005F5C19" w:rsidP="005F5C19">
      <w:pPr>
        <w:rPr>
          <w:i/>
          <w:vanish/>
        </w:rPr>
      </w:pPr>
      <w:r w:rsidRPr="00BC236D">
        <w:rPr>
          <w:i/>
        </w:rPr>
        <w:fldChar w:fldCharType="begin"/>
      </w:r>
      <w:r w:rsidRPr="00BC236D">
        <w:rPr>
          <w:i/>
        </w:rPr>
        <w:instrText xml:space="preserve"> TC"(</w:instrText>
      </w:r>
      <w:bookmarkStart w:id="2" w:name="DocNumber"/>
      <w:r w:rsidRPr="00BC236D">
        <w:rPr>
          <w:i/>
        </w:rPr>
        <w:instrText>A9-0359/2023</w:instrText>
      </w:r>
      <w:bookmarkEnd w:id="2"/>
      <w:r w:rsidRPr="00BC236D">
        <w:rPr>
          <w:i/>
        </w:rPr>
        <w:instrText xml:space="preserve"> - Spravodajkyňa: Isabel Benjumea Benjumea)"\l3 \n&gt; \* MERGEFORMAT </w:instrText>
      </w:r>
      <w:r w:rsidRPr="00BC236D">
        <w:rPr>
          <w:i/>
        </w:rPr>
        <w:fldChar w:fldCharType="end"/>
      </w:r>
    </w:p>
    <w:p w:rsidR="005F5C19" w:rsidRPr="00BC236D" w:rsidRDefault="005F5C19" w:rsidP="005F5C19">
      <w:pPr>
        <w:rPr>
          <w:vanish/>
        </w:rPr>
      </w:pPr>
      <w:bookmarkStart w:id="3" w:name="Commission"/>
      <w:r w:rsidRPr="00BC236D">
        <w:rPr>
          <w:vanish/>
        </w:rPr>
        <w:t>Výbor pre hospodárske a menové veci</w:t>
      </w:r>
      <w:bookmarkEnd w:id="3"/>
    </w:p>
    <w:p w:rsidR="005F5C19" w:rsidRPr="00BC236D" w:rsidRDefault="005F5C19" w:rsidP="005F5C19">
      <w:pPr>
        <w:rPr>
          <w:vanish/>
        </w:rPr>
      </w:pPr>
      <w:bookmarkStart w:id="4" w:name="PE"/>
      <w:r w:rsidRPr="00BC236D">
        <w:rPr>
          <w:vanish/>
        </w:rPr>
        <w:t>PE736.738</w:t>
      </w:r>
      <w:bookmarkEnd w:id="4"/>
    </w:p>
    <w:p w:rsidR="005F5C19" w:rsidRPr="00BC236D" w:rsidRDefault="005F5C19" w:rsidP="005F5C19">
      <w:pPr>
        <w:pStyle w:val="ATHeading3"/>
      </w:pPr>
      <w:bookmarkStart w:id="5" w:name="Sujet"/>
      <w:r w:rsidRPr="00BC236D">
        <w:t>Uznesenie Európskeho parlamentu z</w:t>
      </w:r>
      <w:r w:rsidR="00BC236D" w:rsidRPr="00BC236D">
        <w:t> 12</w:t>
      </w:r>
      <w:r w:rsidRPr="00BC236D">
        <w:t>. decembra 2023 o ďalšej reforme pravidiel zdaňovania príjmov právnických osôb</w:t>
      </w:r>
      <w:bookmarkEnd w:id="5"/>
      <w:r w:rsidRPr="00BC236D">
        <w:t xml:space="preserve"> </w:t>
      </w:r>
      <w:bookmarkStart w:id="6" w:name="References"/>
      <w:r w:rsidRPr="00BC236D">
        <w:t>(2022/2146(INI))</w:t>
      </w:r>
      <w:bookmarkEnd w:id="6"/>
    </w:p>
    <w:p w:rsidR="00797D71" w:rsidRPr="00BC236D" w:rsidRDefault="00797D71" w:rsidP="00797D71">
      <w:pPr>
        <w:pStyle w:val="EPComma"/>
      </w:pPr>
      <w:bookmarkStart w:id="7" w:name="TextBodyBegin"/>
      <w:bookmarkEnd w:id="7"/>
      <w:r w:rsidRPr="00BC236D">
        <w:rPr>
          <w:i/>
        </w:rPr>
        <w:t>Európsky parlament</w:t>
      </w:r>
      <w:r w:rsidRPr="00BC236D">
        <w:t>,</w:t>
      </w:r>
    </w:p>
    <w:p w:rsidR="00797D71" w:rsidRPr="00BC236D" w:rsidRDefault="00797D71" w:rsidP="00797D71">
      <w:pPr>
        <w:pStyle w:val="NormalHanging12a"/>
      </w:pPr>
      <w:r w:rsidRPr="00BC236D">
        <w:t>–</w:t>
      </w:r>
      <w:r w:rsidRPr="00BC236D">
        <w:tab/>
        <w:t>so zreteľom na smernicu Rady 2003/49/ES z 3. júna 2003 o spoločnom systéme zdaňovania uplatňovanom na výplaty úrokov a licenčných poplatkov medzi združenými spoločnosťami rôznych členských štátov</w:t>
      </w:r>
      <w:r w:rsidRPr="00BC236D">
        <w:rPr>
          <w:rStyle w:val="FootnoteReference"/>
        </w:rPr>
        <w:footnoteReference w:id="1"/>
      </w:r>
      <w:r w:rsidRPr="00BC236D">
        <w:t xml:space="preserve"> (smernica o výplate úrokov a licenčných poplatkov),</w:t>
      </w:r>
    </w:p>
    <w:p w:rsidR="00797D71" w:rsidRPr="00BC236D" w:rsidRDefault="00797D71" w:rsidP="00797D71">
      <w:pPr>
        <w:pStyle w:val="NormalHanging12a"/>
      </w:pPr>
      <w:r w:rsidRPr="00BC236D">
        <w:t>–</w:t>
      </w:r>
      <w:r w:rsidRPr="00BC236D">
        <w:tab/>
        <w:t>so zreteľom na smernicu Rady 2011/96/EÚ z 30. novembra 2011 o spoločnom systéme zdaňovania uplatňovanom v prípade materských spoločností a dcérskych spoločností v rozličných členských štátoch</w:t>
      </w:r>
      <w:r w:rsidRPr="00BC236D">
        <w:rPr>
          <w:rStyle w:val="FootnoteReference"/>
        </w:rPr>
        <w:footnoteReference w:id="2"/>
      </w:r>
      <w:r w:rsidRPr="00BC236D">
        <w:t xml:space="preserve"> (smernica o materských a dcérskych spoločnostiach),</w:t>
      </w:r>
    </w:p>
    <w:p w:rsidR="00797D71" w:rsidRPr="00BC236D" w:rsidRDefault="00797D71" w:rsidP="00797D71">
      <w:pPr>
        <w:pStyle w:val="NormalHanging12a"/>
      </w:pPr>
      <w:r w:rsidRPr="00BC236D">
        <w:t>–</w:t>
      </w:r>
      <w:r w:rsidRPr="00BC236D">
        <w:tab/>
        <w:t>so zreteľom na smernicu Rady (EÚ) 2016/1164 z 12. júla 2016, ktorou sa stanovujú pravidlá proti praktikám vyhýbania sa daňovým povinnostiam, ktoré majú priamy vplyv na fungovanie vnútorného trhu</w:t>
      </w:r>
      <w:r w:rsidRPr="00BC236D">
        <w:rPr>
          <w:rStyle w:val="FootnoteReference"/>
        </w:rPr>
        <w:footnoteReference w:id="3"/>
      </w:r>
      <w:r w:rsidRPr="00BC236D">
        <w:t xml:space="preserve"> (smernica o opatreniach proti vyhýbaniu sa daňovým povinnostiam I alebo smernica ATAD I), a na smernicu Rady (EÚ) 2017/952 z 29. mája 2017, ktorou sa mení smernica (EÚ) 2016/1164, pokiaľ ide o hybridné nesúlady s tretími krajinami</w:t>
      </w:r>
      <w:r w:rsidRPr="00BC236D">
        <w:rPr>
          <w:rStyle w:val="FootnoteReference"/>
        </w:rPr>
        <w:footnoteReference w:id="4"/>
      </w:r>
      <w:r w:rsidRPr="00BC236D">
        <w:t xml:space="preserve"> (smernica ATAD II),</w:t>
      </w:r>
    </w:p>
    <w:p w:rsidR="00797D71" w:rsidRPr="00BC236D" w:rsidRDefault="00797D71" w:rsidP="00797D71">
      <w:pPr>
        <w:pStyle w:val="NormalHanging12a"/>
      </w:pPr>
      <w:r w:rsidRPr="00BC236D">
        <w:t>–</w:t>
      </w:r>
      <w:r w:rsidRPr="00BC236D">
        <w:tab/>
        <w:t>so zreteľom na smernicu Rady 2011/16/EÚ z 15. februára 2011 o administratívnej spolupráci v oblasti daní a zrušení smernice 77/799/EHS</w:t>
      </w:r>
      <w:r w:rsidRPr="00BC236D">
        <w:rPr>
          <w:rStyle w:val="FootnoteReference"/>
        </w:rPr>
        <w:footnoteReference w:id="5"/>
      </w:r>
      <w:r w:rsidRPr="00BC236D">
        <w:t xml:space="preserve"> (smernica o administratívnej spolupráci v oblasti daní alebo DAC 1), smernicu Rady 2014/107/EÚ z 9. decembra 2014, ktorou sa mení smernica 2011/16/EÚ, pokiaľ ide o povinnú automatickú výmenu informácií v oblasti daní</w:t>
      </w:r>
      <w:r w:rsidRPr="00BC236D">
        <w:rPr>
          <w:rStyle w:val="FootnoteReference"/>
        </w:rPr>
        <w:footnoteReference w:id="6"/>
      </w:r>
      <w:r w:rsidRPr="00BC236D">
        <w:t xml:space="preserve"> (DAC 2), smernicu Rady (EÚ) 2015/2376 z 8. decembra 2015, ktorou sa mení smernica 2011/16/EÚ, pokiaľ ide o povinnú automatickú výmenu informácií v oblasti daní</w:t>
      </w:r>
      <w:r w:rsidRPr="00BC236D">
        <w:rPr>
          <w:rStyle w:val="FootnoteReference"/>
        </w:rPr>
        <w:footnoteReference w:id="7"/>
      </w:r>
      <w:r w:rsidRPr="00BC236D">
        <w:t xml:space="preserve"> (DAC 3), smernica Rady (EÚ) 2016/881 z 25. mája 2016, ktorou sa mení smernica 2011/16/EÚ, pokiaľ ide o povinnú automatickú výmenu </w:t>
      </w:r>
      <w:r w:rsidRPr="00BC236D">
        <w:lastRenderedPageBreak/>
        <w:t>informácií v oblasti daní</w:t>
      </w:r>
      <w:r w:rsidRPr="00BC236D">
        <w:rPr>
          <w:rStyle w:val="FootnoteReference"/>
        </w:rPr>
        <w:footnoteReference w:id="8"/>
      </w:r>
      <w:r w:rsidRPr="00BC236D">
        <w:t xml:space="preserve"> (DAC 4), smernica Rady (EÚ) 2016/2258 zo 6. decembra 2016, ktorou sa mení smernica 2011/16/EÚ, pokiaľ ide o prístup daňových orgánov k informáciám v rámci boja proti praniu špinavých peňazí</w:t>
      </w:r>
      <w:r w:rsidRPr="00BC236D">
        <w:rPr>
          <w:rStyle w:val="FootnoteReference"/>
        </w:rPr>
        <w:footnoteReference w:id="9"/>
      </w:r>
      <w:r w:rsidRPr="00BC236D">
        <w:t xml:space="preserve"> (DAC 5), smernica Rady (EÚ) 2018/822 z 25. mája 2018, ktorou sa mení smernica 2011/16/EÚ, pokiaľ ide o povinnú automatickú výmenu informácií v oblasti daní v súvislosti s cezhraničnými opatreniami podliehajúcimi oznamovaniu</w:t>
      </w:r>
      <w:r w:rsidRPr="00BC236D">
        <w:rPr>
          <w:rStyle w:val="FootnoteReference"/>
        </w:rPr>
        <w:footnoteReference w:id="10"/>
      </w:r>
      <w:r w:rsidRPr="00BC236D">
        <w:t xml:space="preserve"> (DAC 6), a smernica Rady (EÚ) 2021/514 z 22. marca 2021, ktorou sa mení smernica 2011/16/EÚ o administratívnej spolupráci v oblasti daní</w:t>
      </w:r>
      <w:r w:rsidRPr="00BC236D">
        <w:rPr>
          <w:rStyle w:val="FootnoteReference"/>
        </w:rPr>
        <w:footnoteReference w:id="11"/>
      </w:r>
      <w:r w:rsidRPr="00BC236D">
        <w:t xml:space="preserve"> (DAC 7),</w:t>
      </w:r>
    </w:p>
    <w:p w:rsidR="00797D71" w:rsidRPr="00BC236D" w:rsidRDefault="00797D71" w:rsidP="00797D71">
      <w:pPr>
        <w:pStyle w:val="NormalHanging12a"/>
      </w:pPr>
      <w:r w:rsidRPr="00BC236D">
        <w:t>–</w:t>
      </w:r>
      <w:r w:rsidRPr="00BC236D">
        <w:tab/>
        <w:t>so zreteľom na smernicu Rady (EÚ) 2017/1852 z 10. októbra 2017 o mechanizmoch riešenia daňových sporov v Európskej únii</w:t>
      </w:r>
      <w:r w:rsidRPr="00BC236D">
        <w:rPr>
          <w:rStyle w:val="FootnoteReference"/>
        </w:rPr>
        <w:footnoteReference w:id="12"/>
      </w:r>
      <w:r w:rsidRPr="00BC236D">
        <w:t xml:space="preserve"> (smernica EÚ o urovnávaní sporov),</w:t>
      </w:r>
    </w:p>
    <w:p w:rsidR="00797D71" w:rsidRPr="00BC236D" w:rsidRDefault="00797D71" w:rsidP="00797D71">
      <w:pPr>
        <w:pStyle w:val="NormalHanging12a"/>
      </w:pPr>
      <w:r w:rsidRPr="00BC236D">
        <w:t>–</w:t>
      </w:r>
      <w:r w:rsidRPr="00BC236D">
        <w:tab/>
        <w:t>so zreteľom na smernicu Európskeho parlamentu a</w:t>
      </w:r>
      <w:r w:rsidR="004A24BF">
        <w:t> </w:t>
      </w:r>
      <w:r w:rsidRPr="00BC236D">
        <w:t>Rady</w:t>
      </w:r>
      <w:r w:rsidR="004A24BF">
        <w:t xml:space="preserve"> č.</w:t>
      </w:r>
      <w:r w:rsidR="004A24BF" w:rsidRPr="00BC236D">
        <w:t> </w:t>
      </w:r>
      <w:r w:rsidRPr="00BC236D">
        <w:t>2021/2101/EÚ z 24. novembra 2021, ktorou sa mení smernica 2013/34/EÚ, pokiaľ ide o zverejňovanie informácií o dani z príjmu určitými podnikmi a pobočkami</w:t>
      </w:r>
      <w:r w:rsidRPr="00BC236D">
        <w:rPr>
          <w:rStyle w:val="FootnoteReference"/>
        </w:rPr>
        <w:footnoteReference w:id="13"/>
      </w:r>
      <w:r w:rsidRPr="00BC236D">
        <w:t xml:space="preserve"> (verejné podávanie správ podľa jednotlivých krajín),</w:t>
      </w:r>
    </w:p>
    <w:p w:rsidR="00797D71" w:rsidRPr="00BC236D" w:rsidRDefault="00797D71" w:rsidP="00797D71">
      <w:pPr>
        <w:pStyle w:val="NormalHanging12a"/>
      </w:pPr>
      <w:r w:rsidRPr="00BC236D">
        <w:t>–</w:t>
      </w:r>
      <w:r w:rsidRPr="00BC236D">
        <w:tab/>
        <w:t xml:space="preserve">so zreteľom na smernicu </w:t>
      </w:r>
      <w:bookmarkStart w:id="8" w:name="_GoBack"/>
      <w:bookmarkEnd w:id="8"/>
      <w:r w:rsidRPr="00BC236D">
        <w:t>Rady (EÚ) 2022/2523 zo 14. decembra 2022 o zabezpečení globálnej minimálnej úrovne zdanenia nadnárodných skupín podnikov a veľkých vnútroštátnych skupín v Únii</w:t>
      </w:r>
      <w:r w:rsidRPr="00BC236D">
        <w:rPr>
          <w:rStyle w:val="FootnoteReference"/>
        </w:rPr>
        <w:footnoteReference w:id="14"/>
      </w:r>
      <w:r w:rsidRPr="00BC236D">
        <w:t xml:space="preserve"> (smernica o druhom pilieri),</w:t>
      </w:r>
    </w:p>
    <w:p w:rsidR="00797D71" w:rsidRPr="00BC236D" w:rsidRDefault="00797D71" w:rsidP="00797D71">
      <w:pPr>
        <w:pStyle w:val="NormalHanging12a"/>
      </w:pPr>
      <w:r w:rsidRPr="00BC236D">
        <w:t>–</w:t>
      </w:r>
      <w:r w:rsidRPr="00BC236D">
        <w:tab/>
        <w:t xml:space="preserve">so zreteľom na návrhy Komisie, ktoré sa majú prijať, najmä o spoločnom základe dane z príjmov právnických osôb (COM(2016)0685), spoločnom konsolidovanom základe dane z príjmov právnických osôb (COM(2016)0683) a balíku v oblasti zdaňovania digitálneho hospodárstva (COM(2018)0147 a COM(2018)0148), ako aj na pozície </w:t>
      </w:r>
      <w:r w:rsidR="00D230ED" w:rsidRPr="00BC236D">
        <w:t>Európskeho p</w:t>
      </w:r>
      <w:r w:rsidRPr="00BC236D">
        <w:t>arlamentu k týmto návrhom,</w:t>
      </w:r>
    </w:p>
    <w:p w:rsidR="00797D71" w:rsidRPr="00BC236D" w:rsidRDefault="00797D71" w:rsidP="00797D71">
      <w:pPr>
        <w:widowControl/>
        <w:spacing w:after="240"/>
        <w:ind w:left="567" w:hanging="567"/>
      </w:pPr>
      <w:r w:rsidRPr="00BC236D">
        <w:t>–</w:t>
      </w:r>
      <w:r w:rsidRPr="00BC236D">
        <w:tab/>
        <w:t>so zreteľom na oznámenie Komisie z 15. januára 2019 s názvom Efektívnejšie a demokratickejšie rozhodovanie v oblasti daňovej politiky EÚ</w:t>
      </w:r>
      <w:r w:rsidRPr="00BC236D">
        <w:rPr>
          <w:rStyle w:val="FootnoteReference"/>
        </w:rPr>
        <w:footnoteReference w:id="15"/>
      </w:r>
      <w:r w:rsidRPr="00BC236D">
        <w:t>,</w:t>
      </w:r>
    </w:p>
    <w:p w:rsidR="00797D71" w:rsidRPr="00BC236D" w:rsidRDefault="00797D71" w:rsidP="00797D71">
      <w:pPr>
        <w:pStyle w:val="NormalHanging12a"/>
      </w:pPr>
      <w:r w:rsidRPr="00BC236D">
        <w:t>–</w:t>
      </w:r>
      <w:r w:rsidRPr="00BC236D">
        <w:tab/>
        <w:t>so zreteľom na oznámenie Komisie z 15. júla 2020 s názvom Akčný plán pre spravodlivé a jednoduché zdaňovanie na podporu stratégie obnovy (COM(2020)0312),</w:t>
      </w:r>
    </w:p>
    <w:p w:rsidR="00797D71" w:rsidRPr="00BC236D" w:rsidRDefault="00797D71" w:rsidP="00797D71">
      <w:pPr>
        <w:pStyle w:val="NormalHanging12a"/>
      </w:pPr>
      <w:r w:rsidRPr="00BC236D">
        <w:t>–</w:t>
      </w:r>
      <w:r w:rsidRPr="00BC236D">
        <w:tab/>
        <w:t>so zreteľom na oznámenie Komisie z 18. mája 2021 s názvom Zdaňovanie podnikov v 21. storočí (COM(2021)0251),</w:t>
      </w:r>
    </w:p>
    <w:p w:rsidR="00797D71" w:rsidRPr="00BC236D" w:rsidRDefault="00797D71" w:rsidP="00797D71">
      <w:pPr>
        <w:pStyle w:val="NormalHanging12a"/>
      </w:pPr>
      <w:r w:rsidRPr="00BC236D">
        <w:t>–</w:t>
      </w:r>
      <w:r w:rsidRPr="00BC236D">
        <w:rPr>
          <w:b/>
          <w:i/>
        </w:rPr>
        <w:tab/>
      </w:r>
      <w:r w:rsidRPr="00BC236D">
        <w:t>so zreteľom na oznámenie Komisie z 22. decembra 2021 s názvom Nová generácia vlastných zdrojov pre rozpočet EÚ</w:t>
      </w:r>
      <w:r w:rsidRPr="00BC236D">
        <w:rPr>
          <w:rStyle w:val="FootnoteReference"/>
        </w:rPr>
        <w:footnoteReference w:id="16"/>
      </w:r>
      <w:r w:rsidRPr="00BC236D">
        <w:t>,</w:t>
      </w:r>
    </w:p>
    <w:p w:rsidR="00797D71" w:rsidRPr="00BC236D" w:rsidRDefault="00797D71" w:rsidP="00797D71">
      <w:pPr>
        <w:pStyle w:val="NormalHanging12a"/>
      </w:pPr>
      <w:r w:rsidRPr="00BC236D">
        <w:t>–</w:t>
      </w:r>
      <w:r w:rsidRPr="00BC236D">
        <w:tab/>
        <w:t xml:space="preserve">so zreteľom na návrh smernice Rady o zabezpečení globálnej minimálnej úrovne zdanenia nadnárodných skupín v Únii (COM(2021)0823), ktorý Komisia predložila 22. </w:t>
      </w:r>
      <w:r w:rsidRPr="00BC236D">
        <w:lastRenderedPageBreak/>
        <w:t xml:space="preserve">decembra 2021, ako aj na pozíciu </w:t>
      </w:r>
      <w:r w:rsidR="00D230ED" w:rsidRPr="00BC236D">
        <w:t>Európskeho p</w:t>
      </w:r>
      <w:r w:rsidRPr="00BC236D">
        <w:t>arlamentu k tomuto návrhu</w:t>
      </w:r>
      <w:r w:rsidRPr="00BC236D">
        <w:rPr>
          <w:rStyle w:val="FootnoteReference"/>
        </w:rPr>
        <w:footnoteReference w:id="17"/>
      </w:r>
      <w:r w:rsidRPr="00BC236D">
        <w:t>,</w:t>
      </w:r>
    </w:p>
    <w:p w:rsidR="00797D71" w:rsidRPr="00BC236D" w:rsidRDefault="00797D71" w:rsidP="00797D71">
      <w:pPr>
        <w:widowControl/>
        <w:spacing w:after="240"/>
        <w:ind w:left="567" w:hanging="567"/>
        <w:rPr>
          <w:vertAlign w:val="superscript"/>
        </w:rPr>
      </w:pPr>
      <w:r w:rsidRPr="00BC236D">
        <w:t>–</w:t>
      </w:r>
      <w:r w:rsidRPr="00BC236D">
        <w:tab/>
        <w:t>so zreteľom na oznámenie Komisie z 20. júna 2023 s názvom Upravený balík pre novú generáciu vlastných zdrojov</w:t>
      </w:r>
      <w:r w:rsidRPr="00BC236D">
        <w:rPr>
          <w:rStyle w:val="FootnoteReference"/>
        </w:rPr>
        <w:footnoteReference w:id="18"/>
      </w:r>
      <w:r w:rsidRPr="00BC236D">
        <w:t>,</w:t>
      </w:r>
    </w:p>
    <w:p w:rsidR="00797D71" w:rsidRPr="00BC236D" w:rsidRDefault="00797D71" w:rsidP="00797D71">
      <w:pPr>
        <w:pStyle w:val="NormalHanging12a"/>
      </w:pPr>
      <w:r w:rsidRPr="00BC236D">
        <w:t>–</w:t>
      </w:r>
      <w:r w:rsidRPr="00BC236D">
        <w:tab/>
        <w:t>so zreteľom na závery Rady pre hospodárske a finančné záležitosti zo 6. decembra 2022,</w:t>
      </w:r>
    </w:p>
    <w:p w:rsidR="00797D71" w:rsidRPr="00BC236D" w:rsidRDefault="00797D71" w:rsidP="00797D71">
      <w:pPr>
        <w:pStyle w:val="NormalHanging12a"/>
      </w:pPr>
      <w:r w:rsidRPr="00BC236D">
        <w:t>–</w:t>
      </w:r>
      <w:r w:rsidRPr="00BC236D">
        <w:tab/>
        <w:t xml:space="preserve">so zreteľom na štúdiu Komisie z januára 2022 s názvom </w:t>
      </w:r>
      <w:proofErr w:type="spellStart"/>
      <w:r w:rsidRPr="00BC236D">
        <w:t>Tax</w:t>
      </w:r>
      <w:proofErr w:type="spellEnd"/>
      <w:r w:rsidRPr="00BC236D">
        <w:t xml:space="preserve"> </w:t>
      </w:r>
      <w:proofErr w:type="spellStart"/>
      <w:r w:rsidRPr="00BC236D">
        <w:t>compliance</w:t>
      </w:r>
      <w:proofErr w:type="spellEnd"/>
      <w:r w:rsidRPr="00BC236D">
        <w:t xml:space="preserve"> </w:t>
      </w:r>
      <w:proofErr w:type="spellStart"/>
      <w:r w:rsidRPr="00BC236D">
        <w:t>costs</w:t>
      </w:r>
      <w:proofErr w:type="spellEnd"/>
      <w:r w:rsidRPr="00BC236D">
        <w:t xml:space="preserve"> </w:t>
      </w:r>
      <w:proofErr w:type="spellStart"/>
      <w:r w:rsidRPr="00BC236D">
        <w:t>for</w:t>
      </w:r>
      <w:proofErr w:type="spellEnd"/>
      <w:r w:rsidRPr="00BC236D">
        <w:t xml:space="preserve"> </w:t>
      </w:r>
      <w:proofErr w:type="spellStart"/>
      <w:r w:rsidRPr="00BC236D">
        <w:t>SMEs</w:t>
      </w:r>
      <w:proofErr w:type="spellEnd"/>
      <w:r w:rsidRPr="00BC236D">
        <w:t xml:space="preserve"> – </w:t>
      </w:r>
      <w:proofErr w:type="spellStart"/>
      <w:r w:rsidRPr="00BC236D">
        <w:t>An</w:t>
      </w:r>
      <w:proofErr w:type="spellEnd"/>
      <w:r w:rsidRPr="00BC236D">
        <w:t xml:space="preserve"> update and a </w:t>
      </w:r>
      <w:proofErr w:type="spellStart"/>
      <w:r w:rsidRPr="00BC236D">
        <w:t>complement</w:t>
      </w:r>
      <w:proofErr w:type="spellEnd"/>
      <w:r w:rsidRPr="00BC236D">
        <w:t xml:space="preserve">: </w:t>
      </w:r>
      <w:proofErr w:type="spellStart"/>
      <w:r w:rsidRPr="00BC236D">
        <w:t>final</w:t>
      </w:r>
      <w:proofErr w:type="spellEnd"/>
      <w:r w:rsidRPr="00BC236D">
        <w:t xml:space="preserve"> report (Náklady MSP na dodržiavanie daňových predpisov – aktualizácia a doplnenie: záverečná správa),</w:t>
      </w:r>
    </w:p>
    <w:p w:rsidR="00797D71" w:rsidRPr="00BC236D" w:rsidRDefault="00797D71" w:rsidP="00797D71">
      <w:pPr>
        <w:pStyle w:val="NormalHanging12a"/>
      </w:pPr>
      <w:r w:rsidRPr="00BC236D">
        <w:t>–</w:t>
      </w:r>
      <w:r w:rsidRPr="00BC236D">
        <w:tab/>
        <w:t>so zreteľom na správu o konečnom výsledku Konferencie o budúcnosti Európy a na uznesenie Európskeho parlamentu zo 4. mája 2022 o opatreniach v nadväznosti na Konferenciu o budúcnosti Európy</w:t>
      </w:r>
      <w:r w:rsidRPr="00BC236D">
        <w:rPr>
          <w:rStyle w:val="FootnoteReference"/>
        </w:rPr>
        <w:footnoteReference w:id="19"/>
      </w:r>
      <w:r w:rsidRPr="00BC236D">
        <w:t>,</w:t>
      </w:r>
    </w:p>
    <w:p w:rsidR="00797D71" w:rsidRPr="00BC236D" w:rsidRDefault="00797D71" w:rsidP="00797D71">
      <w:pPr>
        <w:pStyle w:val="NormalHanging12a"/>
      </w:pPr>
      <w:r w:rsidRPr="00BC236D">
        <w:t>–</w:t>
      </w:r>
      <w:r w:rsidRPr="00BC236D">
        <w:tab/>
        <w:t xml:space="preserve">so zreteľom na návrh smernice Rady o stanovení pravidiel týkajúcich sa úľavy na zníženie zvýhodňovania dlhu voči vlastnému imaniu a obmedzenia </w:t>
      </w:r>
      <w:proofErr w:type="spellStart"/>
      <w:r w:rsidRPr="00BC236D">
        <w:t>odpočítateľnosti</w:t>
      </w:r>
      <w:proofErr w:type="spellEnd"/>
      <w:r w:rsidRPr="00BC236D">
        <w:t xml:space="preserve"> úrokov na účely dane z príjmov právnických osôb (COM(2022)0216), ktorý Komisia predložila 11. mája 2022,</w:t>
      </w:r>
    </w:p>
    <w:p w:rsidR="00797D71" w:rsidRPr="00BC236D" w:rsidRDefault="00797D71" w:rsidP="00797D71">
      <w:pPr>
        <w:pStyle w:val="NormalHanging12a"/>
      </w:pPr>
      <w:r w:rsidRPr="00BC236D">
        <w:t>–</w:t>
      </w:r>
      <w:r w:rsidRPr="00BC236D">
        <w:tab/>
        <w:t>so zreteľom na nariadenie Rady (EÚ) 2022/1854 zo 6. októbra 2022 o núdzovom zásahu s cieľom riešiť vysoké ceny energie,</w:t>
      </w:r>
    </w:p>
    <w:p w:rsidR="00797D71" w:rsidRPr="00BC236D" w:rsidRDefault="00797D71" w:rsidP="00797D71">
      <w:pPr>
        <w:pStyle w:val="NormalHanging12a"/>
      </w:pPr>
      <w:r w:rsidRPr="00BC236D">
        <w:t>–</w:t>
      </w:r>
      <w:r w:rsidRPr="00BC236D">
        <w:tab/>
        <w:t>so zreteľom na výzvu Komisie z 13. októbra 2022 na predloženie dôkazov na posúdenie vplyvu návrhu smernice Rady s názvom Podnikanie v Európe: rámec pre zdaňovanie príjmov (BEFIT);</w:t>
      </w:r>
    </w:p>
    <w:p w:rsidR="00797D71" w:rsidRPr="00BC236D" w:rsidRDefault="00797D71" w:rsidP="00797D71">
      <w:pPr>
        <w:pStyle w:val="NormalHanging12a"/>
      </w:pPr>
      <w:r w:rsidRPr="00BC236D">
        <w:t>–</w:t>
      </w:r>
      <w:r w:rsidRPr="00BC236D">
        <w:tab/>
        <w:t xml:space="preserve">so zreteľom na prejav predsedníčky Komisie </w:t>
      </w:r>
      <w:proofErr w:type="spellStart"/>
      <w:r w:rsidRPr="00BC236D">
        <w:t>Ursuly</w:t>
      </w:r>
      <w:proofErr w:type="spellEnd"/>
      <w:r w:rsidRPr="00BC236D">
        <w:t xml:space="preserve"> von der </w:t>
      </w:r>
      <w:proofErr w:type="spellStart"/>
      <w:r w:rsidRPr="00BC236D">
        <w:t>Leyenovej</w:t>
      </w:r>
      <w:proofErr w:type="spellEnd"/>
      <w:r w:rsidRPr="00BC236D">
        <w:t xml:space="preserve"> o prípravách na zasadnutie Európskej rady 20. – 21. októbra 2022, ktorý predniesla na plenárnej schôdzi Európskeho parlamentu 19. októbra 2022,</w:t>
      </w:r>
    </w:p>
    <w:p w:rsidR="00797D71" w:rsidRPr="00BC236D" w:rsidRDefault="00797D71" w:rsidP="00797D71">
      <w:pPr>
        <w:pStyle w:val="NormalHanging12a"/>
        <w:rPr>
          <w:b/>
          <w:i/>
        </w:rPr>
      </w:pPr>
      <w:r w:rsidRPr="00BC236D">
        <w:t>–</w:t>
      </w:r>
      <w:r w:rsidRPr="00BC236D">
        <w:tab/>
        <w:t xml:space="preserve">so zreteľom na prejav predsedníčky Komisie </w:t>
      </w:r>
      <w:proofErr w:type="spellStart"/>
      <w:r w:rsidRPr="00BC236D">
        <w:t>Ursuly</w:t>
      </w:r>
      <w:proofErr w:type="spellEnd"/>
      <w:r w:rsidRPr="00BC236D">
        <w:t xml:space="preserve"> von der </w:t>
      </w:r>
      <w:proofErr w:type="spellStart"/>
      <w:r w:rsidRPr="00BC236D">
        <w:t>Leyenovej</w:t>
      </w:r>
      <w:proofErr w:type="spellEnd"/>
      <w:r w:rsidRPr="00BC236D">
        <w:t xml:space="preserve"> o stave Únie, ktorý predniesla na plenárnej schôdzi Európskeho parlamentu v septembri 2022,</w:t>
      </w:r>
    </w:p>
    <w:p w:rsidR="00797D71" w:rsidRPr="00BC236D" w:rsidRDefault="00797D71" w:rsidP="00797D71">
      <w:pPr>
        <w:pStyle w:val="NormalHanging12a"/>
      </w:pPr>
      <w:r w:rsidRPr="00BC236D">
        <w:t>–</w:t>
      </w:r>
      <w:r w:rsidRPr="00BC236D">
        <w:tab/>
        <w:t>so zreteľom na správy Komisie o jednotlivých krajinách za rok 2023 v rámci európskeho semestra,</w:t>
      </w:r>
    </w:p>
    <w:p w:rsidR="00797D71" w:rsidRPr="00BC236D" w:rsidRDefault="00797D71" w:rsidP="00797D71">
      <w:pPr>
        <w:pStyle w:val="NormalHanging12a"/>
      </w:pPr>
      <w:r w:rsidRPr="00BC236D">
        <w:t>–</w:t>
      </w:r>
      <w:r w:rsidRPr="00BC236D">
        <w:tab/>
        <w:t>so zreteľom na oznámenie Komisie zo 16. marca 2023 s názvom Dlhodobá konkurencieschopnosť EÚ: výhľad na obdobie po roku 2030 (COM(2023)0168),</w:t>
      </w:r>
    </w:p>
    <w:p w:rsidR="00797D71" w:rsidRPr="00BC236D" w:rsidRDefault="00797D71" w:rsidP="00797D71">
      <w:pPr>
        <w:pStyle w:val="NormalHanging12a"/>
        <w:rPr>
          <w:vertAlign w:val="superscript"/>
        </w:rPr>
      </w:pPr>
      <w:r w:rsidRPr="00BC236D">
        <w:t>–</w:t>
      </w:r>
      <w:r w:rsidRPr="00BC236D">
        <w:tab/>
        <w:t>so zreteľom na výročnú správu Komisie o zdaňovaní za rok 2023</w:t>
      </w:r>
      <w:r w:rsidRPr="00BC236D">
        <w:rPr>
          <w:rStyle w:val="FootnoteReference"/>
        </w:rPr>
        <w:footnoteReference w:id="20"/>
      </w:r>
      <w:r w:rsidRPr="00BC236D">
        <w:t>,</w:t>
      </w:r>
    </w:p>
    <w:p w:rsidR="00797D71" w:rsidRPr="00BC236D" w:rsidRDefault="00797D71" w:rsidP="00797D71">
      <w:pPr>
        <w:pStyle w:val="NormalHanging12a"/>
      </w:pPr>
      <w:r w:rsidRPr="00BC236D">
        <w:t>–</w:t>
      </w:r>
      <w:r w:rsidRPr="00BC236D">
        <w:tab/>
        <w:t>so zreteľom na závery Európskej rady z 23. marca 2023,</w:t>
      </w:r>
    </w:p>
    <w:p w:rsidR="00797D71" w:rsidRPr="00BC236D" w:rsidRDefault="00797D71" w:rsidP="00797D71">
      <w:pPr>
        <w:pStyle w:val="NormalHanging12a"/>
      </w:pPr>
      <w:r w:rsidRPr="00BC236D">
        <w:t>–</w:t>
      </w:r>
      <w:r w:rsidRPr="00BC236D">
        <w:tab/>
        <w:t xml:space="preserve">so zreteľom na svoje uznesenie zo 7. októbra 2021 o reforme politiky EÚ v oblasti </w:t>
      </w:r>
      <w:r w:rsidRPr="00BC236D">
        <w:lastRenderedPageBreak/>
        <w:t>škodlivých daňových praktík</w:t>
      </w:r>
      <w:r w:rsidRPr="00BC236D">
        <w:rPr>
          <w:vertAlign w:val="superscript"/>
        </w:rPr>
        <w:footnoteReference w:id="21"/>
      </w:r>
      <w:r w:rsidRPr="00BC236D">
        <w:t xml:space="preserve"> (vrátane reformy skupiny pre kódex správania),</w:t>
      </w:r>
    </w:p>
    <w:p w:rsidR="00797D71" w:rsidRPr="00BC236D" w:rsidRDefault="00797D71" w:rsidP="00797D71">
      <w:pPr>
        <w:pStyle w:val="NormalHanging12a"/>
      </w:pPr>
      <w:r w:rsidRPr="00BC236D">
        <w:t>–</w:t>
      </w:r>
      <w:r w:rsidRPr="00BC236D">
        <w:tab/>
        <w:t>so zreteľom na svoje uznesenie z 15. februára 2022 o vplyve vnútroštátnych daňových reforiem na hospodárstvo EÚ</w:t>
      </w:r>
      <w:r w:rsidRPr="00BC236D">
        <w:rPr>
          <w:vertAlign w:val="superscript"/>
        </w:rPr>
        <w:footnoteReference w:id="22"/>
      </w:r>
      <w:r w:rsidRPr="00BC236D">
        <w:t>,</w:t>
      </w:r>
    </w:p>
    <w:p w:rsidR="00797D71" w:rsidRPr="00BC236D" w:rsidRDefault="00797D71" w:rsidP="00797D71">
      <w:pPr>
        <w:pStyle w:val="NormalHanging12a"/>
      </w:pPr>
      <w:r w:rsidRPr="00BC236D">
        <w:t>–</w:t>
      </w:r>
      <w:r w:rsidRPr="00BC236D">
        <w:tab/>
        <w:t>so zreteľom na svoje uznesenie z 10. marca 2022 s odporúčaniami pre Komisiu o spravodlivom a jednoduchom zdaňovaní na podporu stratégie obnovy (nadviazanie EP na júlový akčný plán Komisie a jej 25 iniciatív v oblasti DPH, zdaňovania podnikov a fyzických osôb)</w:t>
      </w:r>
      <w:r w:rsidRPr="00BC236D">
        <w:rPr>
          <w:vertAlign w:val="superscript"/>
        </w:rPr>
        <w:footnoteReference w:id="23"/>
      </w:r>
      <w:r w:rsidRPr="00BC236D">
        <w:t>,</w:t>
      </w:r>
    </w:p>
    <w:p w:rsidR="00797D71" w:rsidRPr="00BC236D" w:rsidRDefault="00797D71" w:rsidP="00797D71">
      <w:pPr>
        <w:widowControl/>
        <w:spacing w:after="240"/>
        <w:ind w:left="567" w:hanging="567"/>
        <w:rPr>
          <w:vertAlign w:val="superscript"/>
        </w:rPr>
      </w:pPr>
      <w:r w:rsidRPr="00BC236D">
        <w:t>–</w:t>
      </w:r>
      <w:r w:rsidRPr="00BC236D">
        <w:tab/>
        <w:t>so zreteľom na svoje uznesenie z 10. marca 2022 o európskom rámci pre zrážkovú daň</w:t>
      </w:r>
      <w:r w:rsidRPr="00BC236D">
        <w:rPr>
          <w:rStyle w:val="FootnoteReference"/>
        </w:rPr>
        <w:footnoteReference w:id="24"/>
      </w:r>
      <w:r w:rsidRPr="00BC236D">
        <w:t>,</w:t>
      </w:r>
      <w:r w:rsidRPr="00BC236D">
        <w:rPr>
          <w:vertAlign w:val="superscript"/>
        </w:rPr>
        <w:t xml:space="preserve"> </w:t>
      </w:r>
    </w:p>
    <w:p w:rsidR="00797D71" w:rsidRPr="00BC236D" w:rsidRDefault="00797D71" w:rsidP="00797D71">
      <w:pPr>
        <w:pStyle w:val="NormalHanging12a"/>
      </w:pPr>
      <w:r w:rsidRPr="00BC236D">
        <w:t>–</w:t>
      </w:r>
      <w:r w:rsidRPr="00BC236D">
        <w:tab/>
        <w:t>so zreteľom na svoje uznesenie zo 4. októbra 2022 s názvom Vplyv nov</w:t>
      </w:r>
      <w:r w:rsidR="0004725C">
        <w:t xml:space="preserve">ých technológií na zdaňovanie: </w:t>
      </w:r>
      <w:proofErr w:type="spellStart"/>
      <w:r w:rsidRPr="00BC236D">
        <w:t>kryptomeny</w:t>
      </w:r>
      <w:proofErr w:type="spellEnd"/>
      <w:r w:rsidRPr="00BC236D">
        <w:t xml:space="preserve"> a </w:t>
      </w:r>
      <w:proofErr w:type="spellStart"/>
      <w:r w:rsidRPr="00BC236D">
        <w:t>blockchain</w:t>
      </w:r>
      <w:proofErr w:type="spellEnd"/>
      <w:r w:rsidRPr="00BC236D">
        <w:rPr>
          <w:rStyle w:val="FootnoteReference"/>
        </w:rPr>
        <w:footnoteReference w:id="25"/>
      </w:r>
      <w:r w:rsidRPr="00BC236D">
        <w:t>,</w:t>
      </w:r>
    </w:p>
    <w:p w:rsidR="00797D71" w:rsidRPr="00BC236D" w:rsidRDefault="00797D71" w:rsidP="00797D71">
      <w:pPr>
        <w:pStyle w:val="NormalHanging12a"/>
      </w:pPr>
      <w:r w:rsidRPr="00BC236D">
        <w:t>–</w:t>
      </w:r>
      <w:r w:rsidRPr="00BC236D">
        <w:tab/>
        <w:t>so zreteľom na akčný plán Organizácie pre hospodársku spoluprácu a rozvoj (OECD) z 19. júla 2013 na zabránenie narúšaniu základu dane a presune zisku (BEPS),</w:t>
      </w:r>
    </w:p>
    <w:p w:rsidR="00797D71" w:rsidRPr="00BC236D" w:rsidRDefault="00797D71" w:rsidP="00797D71">
      <w:pPr>
        <w:pStyle w:val="NormalHanging12a"/>
      </w:pPr>
      <w:r w:rsidRPr="00BC236D">
        <w:t>–</w:t>
      </w:r>
      <w:r w:rsidRPr="00BC236D">
        <w:tab/>
        <w:t>so zreteľom na štúdie Komisie na tému „ukazovatele agresívneho daňového plánovania“</w:t>
      </w:r>
      <w:r w:rsidRPr="00BC236D">
        <w:rPr>
          <w:rStyle w:val="FootnoteReference"/>
        </w:rPr>
        <w:footnoteReference w:id="26"/>
      </w:r>
      <w:r w:rsidRPr="00BC236D">
        <w:t>,</w:t>
      </w:r>
      <w:r w:rsidRPr="00BC236D">
        <w:rPr>
          <w:vertAlign w:val="superscript"/>
        </w:rPr>
        <w:t xml:space="preserve"> </w:t>
      </w:r>
      <w:r w:rsidRPr="00BC236D">
        <w:t xml:space="preserve"> </w:t>
      </w:r>
    </w:p>
    <w:p w:rsidR="00797D71" w:rsidRPr="00BC236D" w:rsidRDefault="00797D71" w:rsidP="00797D71">
      <w:pPr>
        <w:pStyle w:val="NormalHanging12a"/>
      </w:pPr>
      <w:r w:rsidRPr="00BC236D">
        <w:t>–</w:t>
      </w:r>
      <w:r w:rsidRPr="00BC236D">
        <w:tab/>
        <w:t>so zreteľom na záverečné správy OECD/G20 o BEPS z októbra 2015,</w:t>
      </w:r>
    </w:p>
    <w:p w:rsidR="00797D71" w:rsidRPr="00BC236D" w:rsidRDefault="00797D71" w:rsidP="00797D71">
      <w:pPr>
        <w:pStyle w:val="NormalHanging12a"/>
      </w:pPr>
      <w:r w:rsidRPr="00BC236D">
        <w:t>–</w:t>
      </w:r>
      <w:r w:rsidRPr="00BC236D">
        <w:tab/>
        <w:t xml:space="preserve">so zreteľom na vyhlásenie </w:t>
      </w:r>
      <w:proofErr w:type="spellStart"/>
      <w:r w:rsidRPr="00BC236D">
        <w:t>inkluzívneho</w:t>
      </w:r>
      <w:proofErr w:type="spellEnd"/>
      <w:r w:rsidRPr="00BC236D">
        <w:t xml:space="preserve"> rámca OECD/G20 pre boj proti BEPS z 8. októbra 2021 s názvom </w:t>
      </w:r>
      <w:proofErr w:type="spellStart"/>
      <w:r w:rsidRPr="00BC236D">
        <w:t>Dvojpilierové</w:t>
      </w:r>
      <w:proofErr w:type="spellEnd"/>
      <w:r w:rsidRPr="00BC236D">
        <w:t xml:space="preserve"> riešenie daňových výziev vyplývajúcich z digitalizácie hospodárstva, ku ktorému sa k 16. decembru 2022 pripojilo a ktorý schválilo 138 zo 141 členov,</w:t>
      </w:r>
    </w:p>
    <w:p w:rsidR="00797D71" w:rsidRPr="00BC236D" w:rsidRDefault="00797D71" w:rsidP="00797D71">
      <w:pPr>
        <w:pStyle w:val="NormalHanging12a"/>
      </w:pPr>
      <w:r w:rsidRPr="00BC236D">
        <w:t>–</w:t>
      </w:r>
      <w:r w:rsidRPr="00BC236D">
        <w:tab/>
        <w:t xml:space="preserve">so zreteľom na správy o koncepcii prvého a druhého piliera, ktoré prijal </w:t>
      </w:r>
      <w:proofErr w:type="spellStart"/>
      <w:r w:rsidRPr="00BC236D">
        <w:t>inkluzívny</w:t>
      </w:r>
      <w:proofErr w:type="spellEnd"/>
      <w:r w:rsidRPr="00BC236D">
        <w:t xml:space="preserve"> rámec OECD/G20 14. októbra 2020, a na výsledky hospodárskej analýzy a posúdenia vplyvu OECD z 12. októbra 2020 s názvom Daňové výzvy vyplývajúce z digitalizácie – posúdenie hospodárskeho vplyvu,</w:t>
      </w:r>
    </w:p>
    <w:p w:rsidR="00797D71" w:rsidRPr="00BC236D" w:rsidRDefault="00797D71" w:rsidP="00797D71">
      <w:pPr>
        <w:pStyle w:val="NormalHanging12a"/>
      </w:pPr>
      <w:r w:rsidRPr="00BC236D">
        <w:t>–</w:t>
      </w:r>
      <w:r w:rsidRPr="00BC236D">
        <w:tab/>
        <w:t xml:space="preserve">so zreteľom na vzorové pravidlá druhého piliera </w:t>
      </w:r>
      <w:proofErr w:type="spellStart"/>
      <w:r w:rsidRPr="00BC236D">
        <w:t>inkluzívneho</w:t>
      </w:r>
      <w:proofErr w:type="spellEnd"/>
      <w:r w:rsidRPr="00BC236D">
        <w:t xml:space="preserve"> rámca OECD/G20 pre boj proti BEPS z 20. decembra 2021 pre vnútroštátne uplatňovanie globálnej minimálnej dane vo výške 15 %,</w:t>
      </w:r>
    </w:p>
    <w:p w:rsidR="004A24BF" w:rsidRDefault="00797D71" w:rsidP="00797D71">
      <w:pPr>
        <w:pStyle w:val="NormalHanging12a"/>
      </w:pPr>
      <w:r w:rsidRPr="00BC236D">
        <w:t>–</w:t>
      </w:r>
      <w:r w:rsidRPr="00BC236D">
        <w:tab/>
        <w:t xml:space="preserve">so zreteľom na vyhlásenie </w:t>
      </w:r>
      <w:proofErr w:type="spellStart"/>
      <w:r w:rsidRPr="00BC236D">
        <w:t>inkluzívneho</w:t>
      </w:r>
      <w:proofErr w:type="spellEnd"/>
      <w:r w:rsidRPr="00BC236D">
        <w:t xml:space="preserve"> rámca OECD/G20 pre boj proti narúšaniu základu dane a presunu ziskov (BEPS) s názvom </w:t>
      </w:r>
      <w:proofErr w:type="spellStart"/>
      <w:r w:rsidRPr="00BC236D">
        <w:t>Dvojpilierové</w:t>
      </w:r>
      <w:proofErr w:type="spellEnd"/>
      <w:r w:rsidRPr="00BC236D">
        <w:t xml:space="preserve"> riešenie daňových výziev vyplývajúcich z digitalizácie hospodárstva, ku ktorému sa k 4. novembru 2021 </w:t>
      </w:r>
      <w:r w:rsidRPr="00BC236D">
        <w:lastRenderedPageBreak/>
        <w:t>pripojilo a s ktorým súhlasilo 137 zo 141 členov,</w:t>
      </w:r>
    </w:p>
    <w:p w:rsidR="00797D71" w:rsidRPr="00BC236D" w:rsidRDefault="00797D71" w:rsidP="00797D71">
      <w:pPr>
        <w:pStyle w:val="NormalHanging12a"/>
      </w:pPr>
      <w:r w:rsidRPr="00BC236D">
        <w:tab/>
        <w:t>so zreteľom na návrh Komisie z 1</w:t>
      </w:r>
      <w:r w:rsidR="004A24BF">
        <w:t>9</w:t>
      </w:r>
      <w:r w:rsidRPr="00BC236D">
        <w:t>. júna 2023 na smernicu Rady o rýchlejšej a bezpečnejšej úľave pri nadmerných zrážkových daniach (COM(2023)0324),</w:t>
      </w:r>
    </w:p>
    <w:p w:rsidR="00797D71" w:rsidRPr="00BC236D" w:rsidRDefault="00797D71" w:rsidP="00797D71">
      <w:pPr>
        <w:pStyle w:val="NormalHanging12a"/>
      </w:pPr>
      <w:r w:rsidRPr="00BC236D">
        <w:t>–</w:t>
      </w:r>
      <w:r w:rsidRPr="00BC236D">
        <w:tab/>
        <w:t>so zreteľom na zákon Spojených štátov 117 – 169 zo 16. augusta 2022, známy ako zákon o znížení inflácie,</w:t>
      </w:r>
    </w:p>
    <w:p w:rsidR="00797D71" w:rsidRPr="00BC236D" w:rsidRDefault="00797D71" w:rsidP="00797D71">
      <w:pPr>
        <w:pStyle w:val="NormalHanging12a"/>
      </w:pPr>
      <w:r w:rsidRPr="00BC236D">
        <w:t>–</w:t>
      </w:r>
      <w:r w:rsidRPr="00BC236D">
        <w:tab/>
        <w:t>so zreteľom na článok 54 rokovacieho poriadku,</w:t>
      </w:r>
    </w:p>
    <w:p w:rsidR="00797D71" w:rsidRPr="00BC236D" w:rsidRDefault="00797D71" w:rsidP="00797D71">
      <w:pPr>
        <w:pStyle w:val="NormalHanging12a"/>
      </w:pPr>
      <w:r w:rsidRPr="00BC236D">
        <w:t>–</w:t>
      </w:r>
      <w:r w:rsidRPr="00BC236D">
        <w:tab/>
        <w:t>so zreteľom na list Výboru pre rozpočet,</w:t>
      </w:r>
    </w:p>
    <w:p w:rsidR="00797D71" w:rsidRPr="00BC236D" w:rsidRDefault="00797D71" w:rsidP="00797D71">
      <w:pPr>
        <w:pStyle w:val="NormalHanging12a"/>
      </w:pPr>
      <w:r w:rsidRPr="00BC236D">
        <w:t>–</w:t>
      </w:r>
      <w:r w:rsidRPr="00BC236D">
        <w:tab/>
        <w:t>so zreteľom na správu Výboru pre hospodárske a menové veci (A9-0359/2023),</w:t>
      </w:r>
    </w:p>
    <w:p w:rsidR="00797D71" w:rsidRPr="00BC236D" w:rsidRDefault="00797D71" w:rsidP="00797D71">
      <w:pPr>
        <w:pStyle w:val="NormalHanging12a"/>
      </w:pPr>
      <w:r w:rsidRPr="00BC236D">
        <w:t>A.</w:t>
      </w:r>
      <w:r w:rsidRPr="00BC236D">
        <w:tab/>
        <w:t>keďže členské štáty môžu rozhodovať o svojich hospodárskych politikách, najmä o vlastných daňových politikách, čo im zaručujú zmluvy EÚ, najmä pravidlo jednomyseľnosti, ktoré je v nich zakotvené; keďže dobre fungujúci daňový systém je v záujme členských štátov, aby sa zabezpečil riadny výber daní; keďže hoci daňová politika je vo veľkej miere v kompetencii členských štátov, jednotný trh si vyžaduje, aby členské štáty pri stanovovaní daňovej politiky spolupracovali medzi sebou a na úrovni EÚ a postupovali koordinovane s cieľom prehĺbiť integráciu jednotného trhu a vyhnúť sa hospodárskym deformáciám a škodlivej daňovej konkurencii;</w:t>
      </w:r>
    </w:p>
    <w:p w:rsidR="00797D71" w:rsidRPr="00BC236D" w:rsidRDefault="00797D71" w:rsidP="00797D71">
      <w:pPr>
        <w:pStyle w:val="NormalHanging12a"/>
      </w:pPr>
      <w:r w:rsidRPr="00BC236D">
        <w:t>B.</w:t>
      </w:r>
      <w:r w:rsidRPr="00BC236D">
        <w:tab/>
        <w:t>keďže daňová politika je podľa zmlúv v kompetencii jednotlivých členských štátov a daňová suverenita je základný princíp právneho poriadku EÚ; keďže jednomyseľnosť stanovená v zmluvách musí byť vyvážená veľmi vysokou mierou zodpovednosti zo strany členských štátov a musí byť v súlade so zásadou lojálnej spolupráce založenej na článku 4 ods. 3 Z</w:t>
      </w:r>
      <w:r w:rsidR="005A0F6B" w:rsidRPr="00BC236D">
        <w:t xml:space="preserve">mluvy o fungovaní </w:t>
      </w:r>
      <w:r w:rsidRPr="00BC236D">
        <w:t>E</w:t>
      </w:r>
      <w:r w:rsidR="005A0F6B" w:rsidRPr="00BC236D">
        <w:t>urópskej únie</w:t>
      </w:r>
      <w:r w:rsidRPr="00BC236D">
        <w:t>; keďže tento rámec primárneho práva umožňuje vysokú úroveň legislatívnej koordinácie a administratívnej spolupráce medzi členskými štátmi EÚ; keďže takáto koordinácia a spolupráca je potrebná na zachovanie integrity jednotného trhu a spravodlivej a transparentnej daňovej súťaže;</w:t>
      </w:r>
    </w:p>
    <w:p w:rsidR="00797D71" w:rsidRPr="00BC236D" w:rsidRDefault="00797D71" w:rsidP="00797D71">
      <w:pPr>
        <w:pStyle w:val="NormalHanging12a"/>
      </w:pPr>
      <w:r w:rsidRPr="00BC236D">
        <w:t>C.</w:t>
      </w:r>
      <w:r w:rsidRPr="00BC236D">
        <w:tab/>
        <w:t>keďže pojem spravodlivý a efektívny daňový systém neznamená nevyhnutne vyššiu celkovú úroveň zdanenia;</w:t>
      </w:r>
    </w:p>
    <w:p w:rsidR="00797D71" w:rsidRPr="00BC236D" w:rsidRDefault="00797D71" w:rsidP="00797D71">
      <w:pPr>
        <w:pStyle w:val="NormalHanging12a"/>
      </w:pPr>
      <w:r w:rsidRPr="00BC236D">
        <w:t>D.</w:t>
      </w:r>
      <w:r w:rsidRPr="00BC236D">
        <w:tab/>
        <w:t>keďže európski občania sa snažia vyjsť s peniazmi a okrem domácností s nízkymi príjmami je čoraz viac postihnutá aj stredná trieda a mnohé obchodné spoločnosti čelia rôznym výzvam; keďže iné obchodné spoločnosti, najmä v odvetví energetiky, dosiahli neočakávané zisky;</w:t>
      </w:r>
    </w:p>
    <w:p w:rsidR="00797D71" w:rsidRPr="00BC236D" w:rsidRDefault="00797D71" w:rsidP="00797D71">
      <w:pPr>
        <w:pStyle w:val="NormalHanging12a"/>
      </w:pPr>
      <w:r w:rsidRPr="00BC236D">
        <w:t>E.</w:t>
      </w:r>
      <w:r w:rsidRPr="00BC236D">
        <w:tab/>
        <w:t xml:space="preserve">keďže k 4. novembru 2021 sa 137 zo 141 členov </w:t>
      </w:r>
      <w:proofErr w:type="spellStart"/>
      <w:r w:rsidRPr="00BC236D">
        <w:t>inkluzívneho</w:t>
      </w:r>
      <w:proofErr w:type="spellEnd"/>
      <w:r w:rsidRPr="00BC236D">
        <w:t xml:space="preserve"> rámca OECD/G20 pre BEPS vrátane všetkých členských štátov EÚ dohodlo na reforme medzinárodného daňového systému prostredníctvom </w:t>
      </w:r>
      <w:proofErr w:type="spellStart"/>
      <w:r w:rsidRPr="00BC236D">
        <w:t>dvojpilierového</w:t>
      </w:r>
      <w:proofErr w:type="spellEnd"/>
      <w:r w:rsidRPr="00BC236D">
        <w:t xml:space="preserve"> riešenia s cieľom riešiť výzvy vyplývajúce z digitalizácie hospodárstva vrátane zavedenia mnohostranne dohodnutých obmedzení presunu ziskov;</w:t>
      </w:r>
    </w:p>
    <w:p w:rsidR="00797D71" w:rsidRPr="00BC236D" w:rsidRDefault="00797D71" w:rsidP="00797D71">
      <w:pPr>
        <w:pStyle w:val="NormalHanging12a"/>
      </w:pPr>
      <w:r w:rsidRPr="00BC236D">
        <w:t>F.</w:t>
      </w:r>
      <w:r w:rsidRPr="00BC236D">
        <w:tab/>
        <w:t>keďže MSP predstavujú v súčasnosti takmer všetky podniky nefinančného podnikateľského sektora Európskej únie (EÚ-27+1) (99,8 %), dve tretiny celkovej zamestnanosti v EÚ-28 (66,6 %) a o niečo menej ako tri pätiny (56,8 %) pridanej hodnoty vytvorenej v nefinančnom podnikateľskom sektore, ako sa uvádza v správe Komisie o nákladoch MSP na dodržiavanie daňových predpisov: aktualizácia a doplnenie z januára 2022;</w:t>
      </w:r>
    </w:p>
    <w:p w:rsidR="00797D71" w:rsidRPr="00BC236D" w:rsidRDefault="00797D71" w:rsidP="00797D71">
      <w:pPr>
        <w:pStyle w:val="NormalHanging12a"/>
      </w:pPr>
      <w:r w:rsidRPr="00BC236D">
        <w:lastRenderedPageBreak/>
        <w:t>G.</w:t>
      </w:r>
      <w:r w:rsidRPr="00BC236D">
        <w:tab/>
        <w:t xml:space="preserve">keďže na základe akčného plánu BEPS sa podarilo dosiahnuť konsenzus v </w:t>
      </w:r>
      <w:proofErr w:type="spellStart"/>
      <w:r w:rsidRPr="00BC236D">
        <w:t>inkluzívnom</w:t>
      </w:r>
      <w:proofErr w:type="spellEnd"/>
      <w:r w:rsidRPr="00BC236D">
        <w:t xml:space="preserve"> rámci OECD/G20 pre boj proti BEPS, v ktorom je združených viac ako 139 krajín a jurisdikcií, v mnohých otázkach týkajúcich sa boja proti vyhýbaniu sa daňovým povinnostiam a agresívnemu daňovému plánovaniu;</w:t>
      </w:r>
    </w:p>
    <w:p w:rsidR="00797D71" w:rsidRPr="00BC236D" w:rsidRDefault="00797D71" w:rsidP="00797D71">
      <w:pPr>
        <w:pStyle w:val="NormalHanging12a"/>
      </w:pPr>
      <w:r w:rsidRPr="00BC236D">
        <w:t>H.</w:t>
      </w:r>
      <w:r w:rsidRPr="00BC236D">
        <w:tab/>
        <w:t>keďže agresívne daňové plánovanie môže mať vplyv na to, či daňovníci dodržiavajú daňové predpisy, a na konkurencieschopnosť spoločností a stabilitu daňových príjmov; keďže agresívne daňové plánovanie a škodlivá daňová konkurencia môžu mať negatívny vplyv na fungovanie jednotného trhu;</w:t>
      </w:r>
    </w:p>
    <w:p w:rsidR="00797D71" w:rsidRPr="00BC236D" w:rsidRDefault="00797D71" w:rsidP="00797D71">
      <w:pPr>
        <w:pStyle w:val="NormalHanging12a"/>
      </w:pPr>
      <w:r w:rsidRPr="00BC236D">
        <w:t>I.</w:t>
      </w:r>
      <w:r w:rsidRPr="00BC236D">
        <w:tab/>
        <w:t>keďže EÚ išla príkladom pri transpozícii medzinárodných dohôd do smerníc, ktoré zlepšujú koordináciu a boj EÚ proti daňovým podvodom, vyhýbaniu sa daňovým povinnostiam a agresívnemu daňovému plánovaniu; keďže členské štáty preukázali pri riešení akčného plánu OECD v oblasti BEPS určitú mieru rozmanitosti;</w:t>
      </w:r>
    </w:p>
    <w:p w:rsidR="00797D71" w:rsidRPr="00BC236D" w:rsidRDefault="00797D71" w:rsidP="00797D71">
      <w:pPr>
        <w:pStyle w:val="NormalHanging12a"/>
      </w:pPr>
      <w:r w:rsidRPr="00BC236D">
        <w:t>J.</w:t>
      </w:r>
      <w:r w:rsidRPr="00BC236D">
        <w:tab/>
        <w:t>keďže skupina pre kódex správania v oblasti zdaňovania podnikov naďalej plnila svoju úlohu, a to identifikovať a obmedziť škodlivé daňové opatrenia členských štátov; keďže ministri financií sa 8. novembra 2022 dohodli na posilnení kódexu správania; keďže sa zdá, že niektoré spoločnosti sa prispôsobujú novým daňovým pravidlám a pravdepodobne uplatňujú systémy agresívneho daňového plánovania; keďže krajiny OECD/G20 schválili konečný balík BEPS na reformu medzinárodného daňového systému na boj proti vyhýbaniu sa daňovým povinnostiam v roku 2015;</w:t>
      </w:r>
    </w:p>
    <w:p w:rsidR="00797D71" w:rsidRPr="00BC236D" w:rsidRDefault="00797D71" w:rsidP="00797D71">
      <w:pPr>
        <w:pStyle w:val="NormalHanging12a"/>
      </w:pPr>
      <w:r w:rsidRPr="00BC236D">
        <w:t>K.</w:t>
      </w:r>
      <w:r w:rsidRPr="00BC236D">
        <w:tab/>
        <w:t>keďže priemerná celková sadzba dane z príjmov právnických osôb v krajinách EÚ sa zmenila, a to z 35 % v roku 1995 na 21,2 % v roku 2023;</w:t>
      </w:r>
    </w:p>
    <w:p w:rsidR="00797D71" w:rsidRPr="00BC236D" w:rsidRDefault="00797D71" w:rsidP="00797D71">
      <w:pPr>
        <w:pStyle w:val="NormalHanging12a"/>
      </w:pPr>
      <w:r w:rsidRPr="00BC236D">
        <w:t>L.</w:t>
      </w:r>
      <w:r w:rsidRPr="00BC236D">
        <w:tab/>
        <w:t xml:space="preserve">keďže k júnu 2023 sa 143 jurisdikcií vrátane všetkých členských štátov EÚ dohodlo na reforme medzinárodného daňového systému v podobe </w:t>
      </w:r>
      <w:proofErr w:type="spellStart"/>
      <w:r w:rsidRPr="00BC236D">
        <w:t>dvojpilierového</w:t>
      </w:r>
      <w:proofErr w:type="spellEnd"/>
      <w:r w:rsidRPr="00BC236D">
        <w:t xml:space="preserve"> riešenia;</w:t>
      </w:r>
    </w:p>
    <w:p w:rsidR="00797D71" w:rsidRPr="00BC236D" w:rsidRDefault="00797D71" w:rsidP="00797D71">
      <w:pPr>
        <w:pStyle w:val="NormalHanging12a"/>
      </w:pPr>
      <w:r w:rsidRPr="00BC236D">
        <w:t>M.</w:t>
      </w:r>
      <w:r w:rsidRPr="00BC236D">
        <w:tab/>
        <w:t xml:space="preserve">keďže v právne záväznej </w:t>
      </w:r>
      <w:proofErr w:type="spellStart"/>
      <w:r w:rsidRPr="00BC236D">
        <w:t>medziinštitucionálnej</w:t>
      </w:r>
      <w:proofErr w:type="spellEnd"/>
      <w:r w:rsidRPr="00BC236D">
        <w:t xml:space="preserve"> dohode zo 16. decembra 2020 je stanovené vykonávanie plánu nových zdrojov; keďže nové vlastné zdroje, ktoré Komisia navrhla v decembri 2021, sú určené na pokrytie časti splácania nástroja </w:t>
      </w:r>
      <w:proofErr w:type="spellStart"/>
      <w:r w:rsidRPr="00BC236D">
        <w:t>Next</w:t>
      </w:r>
      <w:proofErr w:type="spellEnd"/>
      <w:r w:rsidRPr="00BC236D">
        <w:t xml:space="preserve"> </w:t>
      </w:r>
      <w:proofErr w:type="spellStart"/>
      <w:r w:rsidRPr="00BC236D">
        <w:t>Generation</w:t>
      </w:r>
      <w:proofErr w:type="spellEnd"/>
      <w:r w:rsidRPr="00BC236D">
        <w:t xml:space="preserve"> EU; keďže v júni 2023 Komisia navrhla vlastný zdroj spojený s podnikovým sektorom;</w:t>
      </w:r>
    </w:p>
    <w:p w:rsidR="00797D71" w:rsidRPr="00BC236D" w:rsidRDefault="00797D71" w:rsidP="00797D71">
      <w:pPr>
        <w:pStyle w:val="NormalHanging12a"/>
      </w:pPr>
      <w:r w:rsidRPr="00BC236D">
        <w:t>N.</w:t>
      </w:r>
      <w:r w:rsidRPr="00BC236D">
        <w:tab/>
        <w:t>keďže roztrieštenosť, zložitosť a nedostatočná digitalizácia daňovej politiky prispievajú k vytváraniu rôznych prekážok pre podniky vrátane pracovníkov MSP, samostatne zárobkovo činných osôb a občanov v rámci jednotného trhu, ako je právna neistota, byrokracia, riziko dvojitého zdanenia a ťažkosti pri žiadaní o vrátenie dane; keďže tieto prekážky odrádzajú od cezhraničnej hospodárskej činnosti na jednotnom trhu; keďže prekonanie týchto prekážok si vyžaduje mnohostrannú spoluprácu medzi členskými štátmi a urýchlené zavedenie digitálnych riešení členskými štátmi, ktoré zjednodušujú a znižujú náklady podnikov na dodržiavanie daňových predpisov; keďže fragmentácia politiky vytvára aj riziká pre daňové orgány, ako je dvojité nezdanenie a možnosti arbitráže (daňové plánovanie); keďže niektoré členské štáty vytvorili systémy, ktoré by viedli k nižšiemu zdaňovaniu, než je vnútroštátna nominálna sadzba, a mohli by viesť ku konkurenčnej nevýhode MSP;</w:t>
      </w:r>
    </w:p>
    <w:p w:rsidR="00797D71" w:rsidRPr="00BC236D" w:rsidRDefault="00797D71" w:rsidP="00797D71">
      <w:pPr>
        <w:pStyle w:val="NormalHanging12a"/>
      </w:pPr>
      <w:r w:rsidRPr="00BC236D">
        <w:t>O.</w:t>
      </w:r>
      <w:r w:rsidRPr="00BC236D">
        <w:tab/>
        <w:t xml:space="preserve">keďže členské štáty naďalej prichádzajú o daňové príjmy v dôsledku škodlivých daňových praktík a odhady straty príjmov v dôsledku škodlivých daňových praktík sa pohybujú od 36 – 37 miliárd EUR do 160 – 190 miliárd EUR ročne; keďže </w:t>
      </w:r>
      <w:r w:rsidRPr="00BC236D">
        <w:lastRenderedPageBreak/>
        <w:t>fragmentáciou politík sa môžu zvýšiť náklady daňových orgánov na presadzovanie predpisov;</w:t>
      </w:r>
    </w:p>
    <w:p w:rsidR="00797D71" w:rsidRPr="00BC236D" w:rsidRDefault="00797D71" w:rsidP="00797D71">
      <w:pPr>
        <w:pStyle w:val="NormalHanging12a"/>
      </w:pPr>
      <w:r w:rsidRPr="00BC236D">
        <w:t>P.</w:t>
      </w:r>
      <w:r w:rsidRPr="00BC236D">
        <w:tab/>
        <w:t>keďže solidárny príspevok sa vzťahoval na neočakávané zisky niektorých spoločností z odvetvia energetiky;</w:t>
      </w:r>
    </w:p>
    <w:p w:rsidR="00797D71" w:rsidRPr="00BC236D" w:rsidRDefault="00797D71" w:rsidP="00797D71">
      <w:pPr>
        <w:pStyle w:val="NormalHanging12a"/>
      </w:pPr>
      <w:r w:rsidRPr="00BC236D">
        <w:t>Q.</w:t>
      </w:r>
      <w:r w:rsidRPr="00BC236D">
        <w:tab/>
        <w:t>keďže v rámci sociálneho trhového hospodárstva EÚ by primerané daňové úrovne, ako aj jednoduché a jasné daňové zákony nemali narúšať rozhodovanie hospodárskych subjektov; keďže riadne daňové politiky by mali podporovať vytváranie pracovných miest a hospodársky rast a zlepšovať konkurencieschopnosť EÚ a jej členských štátov;</w:t>
      </w:r>
    </w:p>
    <w:p w:rsidR="00797D71" w:rsidRPr="00BC236D" w:rsidRDefault="00797D71" w:rsidP="00797D71">
      <w:pPr>
        <w:pStyle w:val="NormalHanging12a"/>
      </w:pPr>
      <w:r w:rsidRPr="00BC236D">
        <w:t>R.</w:t>
      </w:r>
      <w:r w:rsidRPr="00BC236D">
        <w:tab/>
        <w:t>keďže takúto fragmentáciu daňovej politiky treba zmierniť zvýšenou koordináciou a spoluprácou a jasným záväzkom členských štátov rýchlo a kompetentne transponovať smernice v oblasti zdaňovania;</w:t>
      </w:r>
    </w:p>
    <w:p w:rsidR="00797D71" w:rsidRPr="00BC236D" w:rsidRDefault="00797D71" w:rsidP="00797D71">
      <w:pPr>
        <w:widowControl/>
        <w:spacing w:after="240"/>
        <w:ind w:left="567" w:hanging="567"/>
      </w:pPr>
      <w:r w:rsidRPr="00BC236D">
        <w:t>S.</w:t>
      </w:r>
      <w:r w:rsidRPr="00BC236D">
        <w:tab/>
        <w:t>keďže väčšina systémov zdaňovania právnických osôb v EÚ umožňuje veľkorysé daňové odpočty z úrokových platieb</w:t>
      </w:r>
      <w:r w:rsidRPr="00BC236D">
        <w:rPr>
          <w:rStyle w:val="FootnoteReference"/>
        </w:rPr>
        <w:footnoteReference w:id="27"/>
      </w:r>
      <w:r w:rsidRPr="00BC236D">
        <w:t>; keďže náklady na kapitálové financovanie, ktoré zahŕňajú vyplácanie dividend, nemožno odpočítať podobným spôsobom; keďže podniky, ktoré sú odkázané na kapitálové financovanie, najmä ak ide o mladé a malé podniky so slabým prístupom k úverom, sú postihnuté štrukturálnou nevýhodou; keďže toto zvýhodňovanie vytvára problematické stimuly k nadmernému zadlžovaniu; keďže úľavy spojené s vlastným imaním podnikov môžu mať vplyv na daňové príjmy členských štátov a treba ich navrhovať starostlivo;</w:t>
      </w:r>
    </w:p>
    <w:p w:rsidR="00797D71" w:rsidRPr="00BC236D" w:rsidRDefault="00797D71" w:rsidP="00797D71">
      <w:pPr>
        <w:widowControl/>
        <w:spacing w:after="240"/>
        <w:ind w:left="567" w:hanging="567"/>
      </w:pPr>
      <w:r w:rsidRPr="00BC236D">
        <w:t>T.</w:t>
      </w:r>
      <w:r w:rsidRPr="00BC236D">
        <w:tab/>
        <w:t>keďže súkromné spoločnosti, a to aj MSP, zohrávajú v spoločnosti zásadnú úlohu, pretože sú hlavným zdrojom zamestnanosti; keďže tieto organizácie prostredníctvom svojej podnikateľskej činnosti vytvárajú pracovné príležitosti pre milióny ľudí, čo následne podporuje hospodársky a sociálny rozvoj komunít, v ktorých pôsobia; keďže tým, že sa posilňuje hospodárska súťaž a inovácie, súkromné podniky podporujú efektívnosť prideľovania zdrojov, čo vedie k zvýšeniu produktivity a hospodárskeho rastu; keďže súkromná podnikateľská činnosť prináša štátu aj daňové príjmy, ktoré sa môžu použiť na financovanie základných verejných služieb; keďže súkromné podniky, ktoré sú hlavným zdrojom zamestnanosti, zohrávajú zásadnú úlohu v hospodárskom a sociálnom rozvoji spoločnosti, podporujú pokrok a zlepšujú kvalitu života ľudí;</w:t>
      </w:r>
    </w:p>
    <w:p w:rsidR="00797D71" w:rsidRPr="00BC236D" w:rsidRDefault="00797D71" w:rsidP="00797D71">
      <w:pPr>
        <w:pStyle w:val="NormalHanging12a"/>
      </w:pPr>
      <w:r w:rsidRPr="00BC236D">
        <w:t>U.</w:t>
      </w:r>
      <w:r w:rsidRPr="00BC236D">
        <w:tab/>
        <w:t>keďže Komisia predložila návrh jednotného súboru daňových pravidiel pre podnikanie v Európe s názvom Podnikanie v Európe: rámec pre zdaňovanie príjmov (BEFIT);</w:t>
      </w:r>
    </w:p>
    <w:p w:rsidR="00797D71" w:rsidRPr="00BC236D" w:rsidRDefault="00797D71" w:rsidP="00797D71">
      <w:pPr>
        <w:pStyle w:val="NormalHanging12a"/>
      </w:pPr>
      <w:r w:rsidRPr="00BC236D">
        <w:t>V.</w:t>
      </w:r>
      <w:r w:rsidRPr="00BC236D">
        <w:tab/>
        <w:t>keďže legislatívny podnet Komisie v oblasti zdaňovania by mal sledovať jasné priority spojené s bojom proti daňovým podvodom a vyhýbaniu sa daňovým povinnostiam, podporou administratívneho zjednodušenia, znižovania byrokracie a zmierňovania nákladov na dodržiavanie predpisov, najmä pokiaľ ide o MSP;</w:t>
      </w:r>
    </w:p>
    <w:p w:rsidR="00797D71" w:rsidRPr="00BC236D" w:rsidRDefault="00797D71" w:rsidP="00797D71">
      <w:pPr>
        <w:pStyle w:val="NormalHanging12a"/>
        <w:rPr>
          <w:b/>
          <w:i/>
        </w:rPr>
      </w:pPr>
      <w:r w:rsidRPr="00BC236D">
        <w:t>1.</w:t>
      </w:r>
      <w:r w:rsidRPr="00BC236D">
        <w:tab/>
        <w:t xml:space="preserve">pripomína, že hoci daňová politika zostáva v kompetencii členských štátov, jednotný trh vyžaduje, aby sa dosiahla určitá miera spolupráce a harmonizácie v oblasti daní a aby sa zdokonaľovali a vyvíjali; okrem toho konštatuje, že spoločný prístup k daňovým politikám má zásadný význam pri riešení škodlivej daňovej konkurencie a presunu </w:t>
      </w:r>
      <w:r w:rsidRPr="00BC236D">
        <w:lastRenderedPageBreak/>
        <w:t>ziskov, v boji proti vyhýbaniu sa daňovým povinnostiam a daňovým únikom; pripomína, že takáto spolupráca si vyžaduje vzájomnú dôveru a dobrú vôľu všetkých členských štátov;</w:t>
      </w:r>
    </w:p>
    <w:p w:rsidR="00797D71" w:rsidRPr="00BC236D" w:rsidRDefault="00797D71" w:rsidP="00797D71">
      <w:pPr>
        <w:pStyle w:val="NormalHanging12a"/>
      </w:pPr>
      <w:r w:rsidRPr="00BC236D">
        <w:t>2.</w:t>
      </w:r>
      <w:r w:rsidRPr="00BC236D">
        <w:rPr>
          <w:b/>
          <w:i/>
        </w:rPr>
        <w:tab/>
      </w:r>
      <w:r w:rsidRPr="00BC236D">
        <w:t>vyzýva Komisiu a Radu, aby pomohli spoločnostiam zlepšiť investičné prostredie a zabezpečili, že zdaňovanie právnických osôb sa bude ľahšie dodržiavať, že bude udržateľnejšie a orientované na zlepšenie konkurencieschopnosti Európy;</w:t>
      </w:r>
    </w:p>
    <w:p w:rsidR="00797D71" w:rsidRPr="00BC236D" w:rsidRDefault="00797D71" w:rsidP="00797D71">
      <w:pPr>
        <w:pStyle w:val="NormalHanging12a"/>
      </w:pPr>
      <w:r w:rsidRPr="00BC236D">
        <w:t>3.</w:t>
      </w:r>
      <w:r w:rsidRPr="00BC236D">
        <w:tab/>
        <w:t>zdôrazňuje, že členské štáty EÚ nesú plnú zodpovednosť za riadny výber daní a majú právo rozhodovať o svojich vlastných daňových systémoch, pričom musia dodržiavať jednotný trh a daňové práva iných členských štátov; zdôrazňuje, že dobre fungujúce daňové systémy a vnútroštátne daňové správy zohrávajú kľúčovú úlohu pri výbere daní a že udržateľné daňové príjmy do verejných rozpočtov členských štátov sú dôležité;</w:t>
      </w:r>
    </w:p>
    <w:p w:rsidR="00797D71" w:rsidRPr="00BC236D" w:rsidRDefault="00797D71" w:rsidP="00797D71">
      <w:pPr>
        <w:pStyle w:val="NormalHanging12a"/>
      </w:pPr>
      <w:r w:rsidRPr="00BC236D">
        <w:t>4.</w:t>
      </w:r>
      <w:r w:rsidRPr="00BC236D">
        <w:tab/>
        <w:t>berie na vedomie balík opatrení na zjednodušenie zdaňovania pre MSP a BEFIT, ktorý predložila Komisia; berie na vedomie závery Európskej rady z 23. marca 2023, v ktorých sa vyzýva na zjednodušenie všeobecného regulačného prostredia a zníženie administratívnej záťaže, a oznámenie Komisie zo 16. marca 2023, v ktorom sa zdôrazňuje, že daňový rámec EÚ je kľúčom k podpore rastu a súkromných investícií, najmä odstránením daňových prekážok cezhraničných investícií, a že úlohou EÚ v daňových politikách je riešiť deformácie, zabezpečiť dobré fungovanie jednotného trhu a zabrániť jeho fragmentácii; zdôrazňuje, že je potrebné prijať riešenia na úrovni EÚ, ktoré budú dobre navrhnuté, zohľadňovať existujúce systémy v členských štátoch a nebudú predstavovať ďalšie zaťaženie pre podniky, najmä pre MSP, ktoré by bolo neprimerané a zbytočné;</w:t>
      </w:r>
    </w:p>
    <w:p w:rsidR="00797D71" w:rsidRPr="00BC236D" w:rsidRDefault="00797D71" w:rsidP="00797D71">
      <w:pPr>
        <w:widowControl/>
        <w:spacing w:after="240"/>
        <w:ind w:left="567" w:hanging="567"/>
        <w:rPr>
          <w:b/>
          <w:i/>
        </w:rPr>
      </w:pPr>
      <w:r w:rsidRPr="00BC236D">
        <w:t>5.</w:t>
      </w:r>
      <w:r w:rsidRPr="00BC236D">
        <w:tab/>
        <w:t>zdôrazňuje, že je mimoriadne dôležité bojovať proti agresívnemu daňovému plánovaniu</w:t>
      </w:r>
      <w:r w:rsidRPr="00BC236D">
        <w:rPr>
          <w:rStyle w:val="FootnoteReference"/>
        </w:rPr>
        <w:footnoteReference w:id="28"/>
      </w:r>
      <w:r w:rsidRPr="00BC236D">
        <w:t xml:space="preserve"> a daňovým únikom a zároveň podporovať fiškálnu spravodlivosť, transparentnosť a istotu; zdôrazňuje, že riešenie daňových únikov, vyhýbania sa daňovým povinnostiam a agresívneho daňového plánovania prinesie dodatočné daňové príjmy, ktoré pomôžu vládam jednotlivých štátov udržať dane na úrovniach, ktoré podporujú udržateľný hospodársky rast a daňovú príťažlivosť a konkurencieschopnosť EÚ;</w:t>
      </w:r>
      <w:r w:rsidRPr="00BC236D">
        <w:rPr>
          <w:b/>
          <w:i/>
        </w:rPr>
        <w:t xml:space="preserve"> </w:t>
      </w:r>
    </w:p>
    <w:p w:rsidR="00797D71" w:rsidRPr="00BC236D" w:rsidRDefault="00797D71" w:rsidP="00797D71">
      <w:pPr>
        <w:pStyle w:val="NormalHanging12a"/>
      </w:pPr>
      <w:r w:rsidRPr="00BC236D">
        <w:t>6.</w:t>
      </w:r>
      <w:r w:rsidRPr="00BC236D">
        <w:tab/>
        <w:t>vyzýva Komisiu, aby pripomenula členským štátom vykonávanie odporúčaní v kontexte európskeho semestra a hodnotenia národných plánov obnovy a odolnosti v súvislosti s agresívnym daňovým plánovaním;</w:t>
      </w:r>
    </w:p>
    <w:p w:rsidR="00797D71" w:rsidRPr="00BC236D" w:rsidRDefault="00797D71" w:rsidP="00797D71">
      <w:pPr>
        <w:pStyle w:val="NormalHanging12a"/>
      </w:pPr>
      <w:r w:rsidRPr="00BC236D">
        <w:t>7.</w:t>
      </w:r>
      <w:r w:rsidRPr="00BC236D">
        <w:tab/>
        <w:t>uznáva predchádzajúce opatrenia EÚ proti daňovým únikom a agresívnemu daňovému plánovaniu v súlade s medzinárodným vývojom na úrovni OECD/G20; berie na vedomie mnohé smernice v oblasti daní od roku 2011, ktoré viedli k spravodlivejšiemu, jednoduchšiemu a účinnejšiemu zdaňovaniu právnických osôb v EÚ a k vyššiemu počtu povinností spoločností v rámci EÚ v oblasti dodržiavania daňových predpisov</w:t>
      </w:r>
      <w:r w:rsidRPr="00BC236D">
        <w:rPr>
          <w:rStyle w:val="FootnoteReference"/>
        </w:rPr>
        <w:footnoteReference w:id="29"/>
      </w:r>
      <w:r w:rsidRPr="00BC236D">
        <w:t xml:space="preserve">; konštatuje, že prínosy uvedených smerníc by mali prevýšiť ich náklady a že povinnosti </w:t>
      </w:r>
      <w:r w:rsidRPr="00BC236D">
        <w:lastRenderedPageBreak/>
        <w:t xml:space="preserve">spoločností v rámci EÚ, najmä MSP, v oblasti dodržiavania daňových predpisov a príslušné náklady by nemali byť neprimerané; konštatuje však aj, že smernice, ktoré boli v Rade zablokované, ako napríklad daň z finančných transakcií alebo návrhy spoločného základu dane z príjmov právnických osôb právnických osôb a spoločného konsolidovaného základu dane z príjmov právnických osôb; zdôrazňuje v tejto súvislosti, že </w:t>
      </w:r>
      <w:r w:rsidR="00D230ED" w:rsidRPr="00BC236D">
        <w:t>Európsky p</w:t>
      </w:r>
      <w:r w:rsidRPr="00BC236D">
        <w:t>arlament prijal v roku 2018 spoločnú pozíciu k smernici o spoločnom konsolidovanom základe dane z príjmov právnických osôb</w:t>
      </w:r>
      <w:r w:rsidRPr="00BC236D">
        <w:rPr>
          <w:rStyle w:val="FootnoteReference"/>
        </w:rPr>
        <w:footnoteReference w:id="30"/>
      </w:r>
      <w:r w:rsidRPr="00BC236D">
        <w:t>;</w:t>
      </w:r>
    </w:p>
    <w:p w:rsidR="00797D71" w:rsidRPr="00BC236D" w:rsidRDefault="00797D71" w:rsidP="00797D71">
      <w:pPr>
        <w:pStyle w:val="NormalHanging12a"/>
      </w:pPr>
      <w:r w:rsidRPr="00BC236D">
        <w:t>8.</w:t>
      </w:r>
      <w:r w:rsidRPr="00BC236D">
        <w:tab/>
        <w:t>vyjadruje poľutovanie nad tým, že členské štáty v niektorých prípadoch vykonávajú a uplatňujú daňové smernice rozdielne, čo môže oslabiť riadne fungovanie jednotného trhu a viesť k nesúladu v základoch dane, väčšej byrokracii a vyšším nákladom na dodržiavanie predpisov; vyzýva členské štáty, aby zabezpečili, že daňové smernice sa budú transponovať v plnom rozsahu a budú v súlade so zámermi stanovenými v smernici; v tejto súvislosti vyjadruje poľutovanie nad tým, že vnútroštátne daňové systémy, daňové správy a vo všeobecnosti rozdiely v širšej verejnej správe v jednotlivých krajinách majú vplyv na záťaž súvisiacu s dodržiavaním predpisov, najmä na MSP, pretože sa musia vyrovnať až s 27 rôznymi daňovými systémami, ako poznamenala Komisia v januári 2022; vyzýva Komisiu, aby vydala konzistentné, spravodlivé a jasné odporúčania týkajúce sa transpozície smerníc v jednotlivých členských štátoch, ako aj ich účinného presadzovania; vyzýva členské štáty a Európsku komisiu, aby čo najlepšie využili existujúce fóra EÚ na zabezpečenie súdržného uplatňovania daňových právnych predpisov EÚ vo všetkých členských štátoch;</w:t>
      </w:r>
    </w:p>
    <w:p w:rsidR="00797D71" w:rsidRPr="00BC236D" w:rsidRDefault="00797D71" w:rsidP="00797D71">
      <w:pPr>
        <w:pStyle w:val="NormalHanging12a"/>
      </w:pPr>
      <w:r w:rsidRPr="00BC236D">
        <w:t>9.</w:t>
      </w:r>
      <w:r w:rsidRPr="00BC236D">
        <w:tab/>
        <w:t>zdôrazňuje, že daňové prostredie, najmä pokiaľ ide o zdaňovanie právnických osôb, ovplyvňuje investičné rozhodnutia, a preto je jedným z faktorov, ktoré ovplyvňujú tvorbu pracovných miest, udržateľný hospodársky rast a konkurencieschopnosť;</w:t>
      </w:r>
    </w:p>
    <w:p w:rsidR="00797D71" w:rsidRPr="00BC236D" w:rsidRDefault="00797D71" w:rsidP="00797D71">
      <w:pPr>
        <w:pStyle w:val="NormalHanging12a"/>
        <w:rPr>
          <w:b/>
          <w:i/>
        </w:rPr>
      </w:pPr>
      <w:r w:rsidRPr="00BC236D">
        <w:rPr>
          <w:b/>
          <w:i/>
        </w:rPr>
        <w:t>Zníženie zaťaženia spoločností z EÚ, najmä MSP, spojeného s dodržiavaním predpisov</w:t>
      </w:r>
    </w:p>
    <w:p w:rsidR="00797D71" w:rsidRPr="00BC236D" w:rsidRDefault="00797D71" w:rsidP="00797D71">
      <w:pPr>
        <w:pStyle w:val="NormalHanging12a"/>
      </w:pPr>
      <w:r w:rsidRPr="00BC236D">
        <w:t>10.</w:t>
      </w:r>
      <w:r w:rsidRPr="00BC236D">
        <w:tab/>
        <w:t>konštatuje, že predpokladané náklady veľkých nadnárodných podnikov na dodržiavanie daňových predpisov dosahujú podľa Komisie približne 2 % zo zaplatenej dane, zatiaľ čo v prípade MSP je to podľa odhadov približne 30 %; vyjadruje poľutovanie nad tým, že niektoré členské štáty vytvorili daňové systémy, ktoré umožňujú rozdiely medzi nadnárodnými podnikmi a MSP, čím sa MSP dostávajú do konkurenčnej nevýhody; pripomína, že MSP sú hlavným hnacím motorom hospodárskeho rastu a tvorby pracovných príležitostí; vyzýva Európsku komisiu, aby navrhla daňové politiky tak, aby sa menším podnikom uľahčilo ich vykonávanie, aby sa znížili náklady, ktoré znášajú, a ich administratívne povinnosti vyplývajúce z daňových právnych predpisov;</w:t>
      </w:r>
    </w:p>
    <w:p w:rsidR="00797D71" w:rsidRPr="00BC236D" w:rsidRDefault="00797D71" w:rsidP="00797D71">
      <w:pPr>
        <w:pStyle w:val="NormalHanging12a"/>
      </w:pPr>
      <w:r w:rsidRPr="00BC236D">
        <w:t>11.</w:t>
      </w:r>
      <w:r w:rsidRPr="00BC236D">
        <w:tab/>
        <w:t xml:space="preserve">vyzýva Komisiu, aby vypracovala </w:t>
      </w:r>
      <w:proofErr w:type="spellStart"/>
      <w:r w:rsidRPr="00BC236D">
        <w:t>celoúniovú</w:t>
      </w:r>
      <w:proofErr w:type="spellEnd"/>
      <w:r w:rsidRPr="00BC236D">
        <w:t xml:space="preserve"> štúdiu o úrovni nákladov na dodržiavanie daňových predpisov v jednotlivých krajinách a celkové hodnotenie stanoveného scenára; okrem toho vyzýva Komisiu, aby v nadväznosti na takéto hodnotenie vyvinula iniciatívu na riešenie vysokých nákladov na dodržiavanie predpisov a posilnila spoluprácu s cieľom znížiť administratívne zaťaženie; </w:t>
      </w:r>
    </w:p>
    <w:p w:rsidR="00797D71" w:rsidRPr="00BC236D" w:rsidRDefault="00797D71" w:rsidP="00797D71">
      <w:pPr>
        <w:pStyle w:val="NormalHanging12a"/>
      </w:pPr>
      <w:r w:rsidRPr="00BC236D">
        <w:t>12.</w:t>
      </w:r>
      <w:r w:rsidRPr="00BC236D">
        <w:tab/>
        <w:t xml:space="preserve">konštatuje, že na jednotnom trhu sú cezhraničné činnosti pracovníkov a samostatne zárobkovo činných osôb naďalej administratívne zložité z hľadiska daní a sociálneho zabezpečenia; ďalej poznamenáva, že rozšírenie práce na diaľku tento problém ešte </w:t>
      </w:r>
      <w:r w:rsidRPr="00BC236D">
        <w:lastRenderedPageBreak/>
        <w:t>zhoršilo;</w:t>
      </w:r>
    </w:p>
    <w:p w:rsidR="00797D71" w:rsidRPr="00BC236D" w:rsidRDefault="00797D71" w:rsidP="00797D71">
      <w:pPr>
        <w:pStyle w:val="NormalHanging12a"/>
      </w:pPr>
      <w:r w:rsidRPr="00BC236D">
        <w:t>13.</w:t>
      </w:r>
      <w:r w:rsidRPr="00BC236D">
        <w:tab/>
        <w:t>vyzýva Komisiu, aby predložila celkové hodnotenie predchádzajúcich opatrení prijatých v oblasti zdaňovania právnických osôb od roku 2011 a aby uverejnila dôkladné posúdenie vplyvu najlepších možností na zníženie administratívnej záťaže podnikov, najmä MSP, s cieľom zmapovať všetky rozdiely v transpozícii v EÚ a určiť oblasti, kde je potrebné zjednodušenie, a zabezpečiť, aby podniky, ktoré sú už teraz pod tlakom, mali primeraný časový rámec na vykonávanie politík; zdôrazňuje požiadavku Európskej rady z 22. marca 2023, aby Komisia vykonala kontroly konkurencieschopnosti v prípade nových legislatívnych návrhov vrátane návrhov týkajúcich sa zdaňovania, a zdôrazňuje, že predloženie akéhokoľvek nového návrhu by v prípade potreby malo prispieť k hladkému fungovaniu, integrite a rovnakým podmienkam jednotného trhu a nevytvárať neprimerané zaťaženie spoločností; vyzýva Komisiu, aby v nových legislatívnych návrhoch týkajúcich sa zdaňovania zohľadnila aj zlučiteľnosť s riešeniami (a to aj digitálnymi), ktoré už boli zavedené v jednotlivých členských štátoch a ktoré prispievajú k zníženiu zaťaženia podnikov;</w:t>
      </w:r>
    </w:p>
    <w:p w:rsidR="00797D71" w:rsidRPr="00BC236D" w:rsidRDefault="00797D71" w:rsidP="00797D71">
      <w:pPr>
        <w:pStyle w:val="NormalHanging12a"/>
      </w:pPr>
      <w:r w:rsidRPr="00BC236D">
        <w:t>14.</w:t>
      </w:r>
      <w:r w:rsidRPr="00BC236D">
        <w:tab/>
        <w:t xml:space="preserve">berie na vedomie výsledok Konferencie o budúcnosti Európy z 9. mája 2022 a návrhy na posilnenie konkurencieschopnosti EÚ a ďalšie prehĺbenie jednotného trhu s cieľom dosiahnuť určitú úroveň harmonizácie a koordinácie daňových politík v členských štátoch, aby sa zabránilo daňovým únikom a vyhýbaniu sa daňovým povinnostiam a zároveň podporil hospodársky úspech spoločností; očakáva návrh na zavedenie štandardnej kontroly konkurencieschopnosti v právnych predpisoch EÚ, ktorý oznámila predsedníčka Komisie </w:t>
      </w:r>
      <w:proofErr w:type="spellStart"/>
      <w:r w:rsidRPr="00BC236D">
        <w:t>Ursula</w:t>
      </w:r>
      <w:proofErr w:type="spellEnd"/>
      <w:r w:rsidRPr="00BC236D">
        <w:t xml:space="preserve"> von der </w:t>
      </w:r>
      <w:proofErr w:type="spellStart"/>
      <w:r w:rsidRPr="00BC236D">
        <w:t>Leyen</w:t>
      </w:r>
      <w:proofErr w:type="spellEnd"/>
      <w:r w:rsidRPr="00BC236D">
        <w:t xml:space="preserve"> 19. októbra 2022; poukazuje na to, že pri tvorbe nových daňových predpisov treba brať do úvahy zachovanie konkurencieschopnosti hospodárstva EÚ; očakáva, že konkurencieschopnosť by mala plne rešpektovať existujúce pracovné a sociálne normy EÚ;</w:t>
      </w:r>
    </w:p>
    <w:p w:rsidR="005001F9" w:rsidRPr="00BC236D" w:rsidRDefault="00797D71" w:rsidP="00797D71">
      <w:pPr>
        <w:pStyle w:val="NormalHanging12a"/>
      </w:pPr>
      <w:r w:rsidRPr="00BC236D">
        <w:t>15.</w:t>
      </w:r>
      <w:r w:rsidRPr="00BC236D">
        <w:tab/>
        <w:t xml:space="preserve">víta plán </w:t>
      </w:r>
      <w:proofErr w:type="spellStart"/>
      <w:r w:rsidRPr="00BC236D">
        <w:t>REPowerEU</w:t>
      </w:r>
      <w:proofErr w:type="spellEnd"/>
      <w:r w:rsidRPr="00BC236D">
        <w:t xml:space="preserve"> a jeho priority a vyzýva členské štáty, aby zvážili začlenenie daňových opatrení do svojich upravených plánov obnovy a odolnosti s cieľom urýchliť čerpanie finančných prostriedkov, dosiahnuť väčšiu konkurencieschopnosť a pomôcť MSP, spoločnostiam a priemyselnému sektoru pri dosahovaní cieľov tohto programu, ako navrhuje Komisia; </w:t>
      </w:r>
    </w:p>
    <w:p w:rsidR="00797D71" w:rsidRPr="00BC236D" w:rsidRDefault="00797D71" w:rsidP="00797D71">
      <w:pPr>
        <w:pStyle w:val="NormalHanging12a"/>
      </w:pPr>
      <w:r w:rsidRPr="00BC236D">
        <w:t>16.</w:t>
      </w:r>
      <w:r w:rsidRPr="00BC236D">
        <w:tab/>
        <w:t>berie na vedomie obnovenú diskusiu o daňových stimuloch v nadväznosti na prijatie vzorových pravidiel druhého piliera, ktoré zaručujú minimálnu úroveň efektívneho zdanenia príjmov právnických osôb na úrovni 15 %, a v reakcii na prijatie zákona USA o znížení inflácie; vyzýva Komisiu, aby zanalyzovala experimentovanie so zápočtami dane, najmä v revidovanom rámci štátnej pomoci EÚ; konštatuje však, že všetky rozhodnutia by sa mali prijímať koordinovane, aby sa zachovalo fungovanie jednotného trhu, v súlade s právnymi predpismi v oblasti hospodárskej súťaže a tak, aby sa predišlo medzinárodnej súťaži v oblasti subvencií; zdôrazňuje, že cieľom daňových stimulov by malo byť prilákanie skutočných investícií, pričom by sa mali zohľadniť obavy týkajúce sa starnúcej spoločnosti, dôstojných pracovných a sociálnych noriem a zelenej a digitálnej transformácie;</w:t>
      </w:r>
    </w:p>
    <w:p w:rsidR="00797D71" w:rsidRPr="00BC236D" w:rsidRDefault="00797D71" w:rsidP="00797D71">
      <w:pPr>
        <w:pStyle w:val="NormalHanging12a"/>
      </w:pPr>
      <w:r w:rsidRPr="00BC236D">
        <w:t>17.</w:t>
      </w:r>
      <w:r w:rsidRPr="00BC236D">
        <w:tab/>
        <w:t xml:space="preserve">konštatuje, že členské štáty môžu zvážiť, že sa budú aktívne venovať politikám úplného účtovania kapitálových investícií a zabezpečia, že ustanovenia o kapitálových úľavách budú trvalé, aby sa zlepšili skutočné investície, najmä investície do výskumu a vývoja, a splnili klimatické ciele, a podporila konkurencieschopnosť Európy; domnieva sa, že úplné účtovanie kapitálových investícií si vyžaduje koordinované vykonávanie, </w:t>
      </w:r>
      <w:r w:rsidRPr="00BC236D">
        <w:lastRenderedPageBreak/>
        <w:t>starostlivý návrh a značnú administratívnu starostlivosť, aby sa predišlo tomu, že sa stane nástrojom neoprávnených daňových subvencií alebo zneužívania daňového systému; domnieva sa preto, že takéto politiky by mali byť spojené s pravidelným monitorovaním a analýzami vedľajších účinkov;</w:t>
      </w:r>
    </w:p>
    <w:p w:rsidR="00797D71" w:rsidRPr="00BC236D" w:rsidRDefault="00797D71" w:rsidP="00797D71">
      <w:pPr>
        <w:pStyle w:val="NormalHanging12a"/>
      </w:pPr>
      <w:r w:rsidRPr="00BC236D">
        <w:t>18.</w:t>
      </w:r>
      <w:r w:rsidRPr="00BC236D">
        <w:tab/>
        <w:t>vyzýva členské štáty, aby vzhľadom na vysokú mieru inflácie zmiernili zaťaženie spoločností, najmä MSP, napríklad prostredníctvom dočasných daňových opatrení na zmiernenie zvýšenia nákladov na energiu a aby využívali dodatočné príjmy pochádzajúce z vyšších cien energií na poskytovanie priamej a cielenej pomoci najzraniteľnejším občanom a strednej triede a zmiernenie zaťaženia občanov a spoločností, najmä MSP, ktoré boli vážne zasiahnuté krízou;</w:t>
      </w:r>
    </w:p>
    <w:p w:rsidR="00797D71" w:rsidRPr="00BC236D" w:rsidRDefault="00797D71" w:rsidP="00797D71">
      <w:pPr>
        <w:pStyle w:val="NormalHanging12a"/>
        <w:rPr>
          <w:b/>
          <w:i/>
        </w:rPr>
      </w:pPr>
      <w:r w:rsidRPr="00BC236D">
        <w:rPr>
          <w:b/>
          <w:i/>
        </w:rPr>
        <w:t xml:space="preserve">Dohoda o </w:t>
      </w:r>
      <w:proofErr w:type="spellStart"/>
      <w:r w:rsidRPr="00BC236D">
        <w:rPr>
          <w:b/>
          <w:i/>
        </w:rPr>
        <w:t>dvojpilierovom</w:t>
      </w:r>
      <w:proofErr w:type="spellEnd"/>
      <w:r w:rsidRPr="00BC236D">
        <w:rPr>
          <w:b/>
          <w:i/>
        </w:rPr>
        <w:t xml:space="preserve"> riešení</w:t>
      </w:r>
    </w:p>
    <w:p w:rsidR="00797D71" w:rsidRPr="00BC236D" w:rsidRDefault="00797D71" w:rsidP="00797D71">
      <w:pPr>
        <w:pStyle w:val="NormalHanging12a"/>
      </w:pPr>
      <w:r w:rsidRPr="00BC236D">
        <w:t>19.</w:t>
      </w:r>
      <w:r w:rsidRPr="00BC236D">
        <w:tab/>
        <w:t xml:space="preserve">víta skutočnosť, že v </w:t>
      </w:r>
      <w:proofErr w:type="spellStart"/>
      <w:r w:rsidRPr="00BC236D">
        <w:t>inkluzívnom</w:t>
      </w:r>
      <w:proofErr w:type="spellEnd"/>
      <w:r w:rsidRPr="00BC236D">
        <w:t xml:space="preserve"> rámci OECD/G20 bolo dohodnuté riešenie založené na dvoch pilieroch týkajúce sa rozdelenia práva zdaňovať a uplatňovania minimálnej efektívnej sadzby dane vo výške 15 % zo svetového zisku nadnárodných spoločností a že bola prijatá smernica o druhom pilieri, ktorou sa medzinárodná dohoda implementuje do práva EÚ; vyzýva Komisiu, aby Európskemu parlamentu predložila správu o úspešnosti procesu ratifikácie dohody o pilieri 2 v krajinách mimo EÚ;</w:t>
      </w:r>
    </w:p>
    <w:p w:rsidR="00797D71" w:rsidRPr="00BC236D" w:rsidRDefault="00797D71" w:rsidP="00797D71">
      <w:pPr>
        <w:pStyle w:val="NormalHanging12a"/>
      </w:pPr>
      <w:r w:rsidRPr="00BC236D">
        <w:t>20.</w:t>
      </w:r>
      <w:r w:rsidRPr="00BC236D">
        <w:tab/>
        <w:t>konštatuje, že okrem riešenia problémov súvisiacich s nestálym podnikateľským prostredím a rastúcim počtom daňových smerníc EÚ spoločnosti zameriavajú svoje finančné a ľudské zdroje na uplatňovanie pravidiel druhého piliera a dodržiavanie ďalších usmernení OECD a ďalších výkladov jednotlivými členskými štátmi; berie na vedomie balík opatrení na zjednodušenie zdaňovania pre MSP a BEFIT a transferového oceňovania, ktorý predložila Komisia 12. septembra 2023; so záujmom očakáva začatie rokovaní o rôznych spisoch a posúdenie účinnosti a vplyvu pravidiel druhého piliera, najmä v kontexte očakávaných cieľov, analýzy nákladov a prínosov, boja proti daňovým únikom a vyhýbaniu sa daňovým povinnostiam, škodlivej daňovej konkurencie a vyšších daňových príjmov;</w:t>
      </w:r>
    </w:p>
    <w:p w:rsidR="00797D71" w:rsidRPr="00BC236D" w:rsidRDefault="00797D71" w:rsidP="00797D71">
      <w:pPr>
        <w:pStyle w:val="NormalHanging12a"/>
        <w:rPr>
          <w:b/>
          <w:i/>
        </w:rPr>
      </w:pPr>
      <w:r w:rsidRPr="00BC236D">
        <w:t>21.</w:t>
      </w:r>
      <w:r w:rsidRPr="00BC236D">
        <w:rPr>
          <w:b/>
          <w:i/>
        </w:rPr>
        <w:tab/>
      </w:r>
      <w:r w:rsidRPr="00BC236D">
        <w:t>konštatuje, že pravidlá prvého a druhého piliera sa vzťahujú len na nadnárodné spoločnosti s obratom nad prahovou hodnotou 20 miliárd EUR</w:t>
      </w:r>
      <w:r w:rsidRPr="00BC236D">
        <w:rPr>
          <w:rStyle w:val="Heading1Char"/>
          <w:sz w:val="21"/>
          <w:shd w:val="clear" w:color="auto" w:fill="FFFFFF"/>
          <w:lang w:val="sk-SK"/>
        </w:rPr>
        <w:t xml:space="preserve"> </w:t>
      </w:r>
      <w:r w:rsidRPr="00BC236D">
        <w:t>a ziskovosťou nad 10 %, resp. 750 miliónov EUR; konštatuje, že väčšina spoločností, najmä MSP, je preto vyňatá z tejto dohody; berie na vedomie úsilie Komisie vybudovať BEFIT na základe medzinárodnej dohody o druhom pilieri a smernice EÚ o druhom pilieri;</w:t>
      </w:r>
    </w:p>
    <w:p w:rsidR="00797D71" w:rsidRPr="00BC236D" w:rsidRDefault="00797D71" w:rsidP="00797D71">
      <w:pPr>
        <w:pStyle w:val="NormalHanging12a"/>
      </w:pPr>
      <w:r w:rsidRPr="00BC236D">
        <w:t>22.</w:t>
      </w:r>
      <w:r w:rsidRPr="00BC236D">
        <w:tab/>
        <w:t xml:space="preserve">chápe, že dohoda G20/OECD – IR bola koncipovaná ako balík s cieľom dosiahnuť, aby oba piliere platili súčasne; berie na vedomie vyhlásenie OECD/F20 – IR o výstupe z 11. júla 2023 o </w:t>
      </w:r>
      <w:proofErr w:type="spellStart"/>
      <w:r w:rsidRPr="00BC236D">
        <w:t>dvojpilierovom</w:t>
      </w:r>
      <w:proofErr w:type="spellEnd"/>
      <w:r w:rsidRPr="00BC236D">
        <w:t> riešení daňových výziev vyplývajúcich z digitalizácie hospodárstva; vyjadruje poľutovanie nad tým, že pilier jeden a pilier dva majú odlišné harmonogramy; náležite berie na vedomie medzinárodný scenár transpozície smerníc prvého a druhého piliera;</w:t>
      </w:r>
    </w:p>
    <w:p w:rsidR="00797D71" w:rsidRPr="00BC236D" w:rsidRDefault="00797D71" w:rsidP="00797D71">
      <w:pPr>
        <w:pStyle w:val="NormalHanging12a"/>
      </w:pPr>
      <w:r w:rsidRPr="00BC236D">
        <w:t>23.</w:t>
      </w:r>
      <w:r w:rsidRPr="00BC236D">
        <w:tab/>
        <w:t>berie na vedomie nedávnu reformu skupiny pre kódex správania zameranú na rozšírenie jej rozsahu pôsobnosti v roku 2022; vyzýva Komisiu, členské štáty a skupinu pre kódex správania v oblasti zdaňovania podnikov, aby predložili posúdenie minulých reforiem; pripomína svoju pozíciu zo 7. októbra 2021, aby sa do posudzovania zahrnuli daňové opatrenia vedúce k nízkym úrovniam zdaňovania v súlade s druhým pilierom;</w:t>
      </w:r>
    </w:p>
    <w:p w:rsidR="00797D71" w:rsidRPr="00BC236D" w:rsidRDefault="00797D71" w:rsidP="00797D71">
      <w:pPr>
        <w:pStyle w:val="NormalHanging12a"/>
      </w:pPr>
      <w:r w:rsidRPr="00BC236D">
        <w:lastRenderedPageBreak/>
        <w:t>24.</w:t>
      </w:r>
      <w:r w:rsidRPr="00BC236D">
        <w:tab/>
        <w:t xml:space="preserve">berie na vedomie, že Komisia zvažuje potenciálne zavedenie nového vlastného zdroja založeného na rámci BEFIT po jeho prijatí v súlade s </w:t>
      </w:r>
      <w:proofErr w:type="spellStart"/>
      <w:r w:rsidRPr="00BC236D">
        <w:t>Medziinštitucionálnou</w:t>
      </w:r>
      <w:proofErr w:type="spellEnd"/>
      <w:r w:rsidRPr="00BC236D">
        <w:t xml:space="preserve"> dohodou zo 16. decembra 2020 medzi Európskym parlamentom, Radou Európskej únie a Európskou komisiou o rozpočtovej disciplíne, spolupráci v rozpočtových záležitostiach a správnom finančnom riadení, ako aj o nových vlastných zdrojoch vrátane plánu na zavedenie nových vlastných zdrojov (</w:t>
      </w:r>
      <w:proofErr w:type="spellStart"/>
      <w:r w:rsidRPr="00BC236D">
        <w:t>medziinštitucionálna</w:t>
      </w:r>
      <w:proofErr w:type="spellEnd"/>
      <w:r w:rsidRPr="00BC236D">
        <w:t xml:space="preserve"> dohoda)</w:t>
      </w:r>
      <w:r w:rsidRPr="00BC236D">
        <w:rPr>
          <w:rStyle w:val="FootnoteReference"/>
        </w:rPr>
        <w:footnoteReference w:id="31"/>
      </w:r>
      <w:r w:rsidRPr="00BC236D">
        <w:t>; pripomína, že Komisia sa zaviazala, že predloží návrh digitálnej dane, ak sa vykonávanie prvého piliera oneskorí nad rámec súčasného funkčného obdobia; berie na vedomie, že Komisia zopakovala svoje uznanie, že BEFIT je relevantný aj z hľadiska vlastných zdrojov;</w:t>
      </w:r>
    </w:p>
    <w:p w:rsidR="00797D71" w:rsidRPr="00BC236D" w:rsidRDefault="00797D71" w:rsidP="00797D71">
      <w:pPr>
        <w:pStyle w:val="NormalHanging12a"/>
      </w:pPr>
      <w:r w:rsidRPr="00BC236D">
        <w:t>25.</w:t>
      </w:r>
      <w:r w:rsidRPr="00BC236D">
        <w:tab/>
        <w:t xml:space="preserve">pripomína, že </w:t>
      </w:r>
      <w:r w:rsidR="00D230ED" w:rsidRPr="00BC236D">
        <w:t>Európsky p</w:t>
      </w:r>
      <w:r w:rsidRPr="00BC236D">
        <w:t>arlament už niekoľkokrát, aj v nedávno prijatom uznesení o vlastných zdrojoch: nový začiatok pre financie EÚ, nový začiatok pre Európu</w:t>
      </w:r>
      <w:r w:rsidRPr="00BC236D">
        <w:rPr>
          <w:rStyle w:val="FootnoteReference"/>
        </w:rPr>
        <w:footnoteReference w:id="32"/>
      </w:r>
      <w:r w:rsidRPr="00BC236D">
        <w:t xml:space="preserve">, vyjadril podporu novým vlastným zdrojom spojeným so zdaňovaním právnických osôb, ako sú spoločný konsolidovaný základ dane z príjmov právnických osôb (CCCTB), daň z digitálnych služieb a najnovšie vlastný zdroj založený na prvom pilieri v kontexte </w:t>
      </w:r>
      <w:proofErr w:type="spellStart"/>
      <w:r w:rsidRPr="00BC236D">
        <w:t>inkluzívneho</w:t>
      </w:r>
      <w:proofErr w:type="spellEnd"/>
      <w:r w:rsidRPr="00BC236D">
        <w:t xml:space="preserve"> rámca OECD pre boj proti BEPS; okrem toho pripomína svoju výzvu na zavedenie dane z finančných transakcií (DFT) v celej Únii a na vyhodnotenie ďalších možností v podobe spotrebnej dane zo spätného výkupu podnikových akcií, ako sa navrhuje v zákone USA o znížení inflácie, a spoločného a štandardizovaného rámca zrážkovej dane;</w:t>
      </w:r>
    </w:p>
    <w:p w:rsidR="00797D71" w:rsidRPr="00BC236D" w:rsidRDefault="00797D71" w:rsidP="00797D71">
      <w:pPr>
        <w:pStyle w:val="NormalHanging12a"/>
      </w:pPr>
      <w:r w:rsidRPr="00BC236D">
        <w:t xml:space="preserve">26. </w:t>
      </w:r>
      <w:r w:rsidRPr="00BC236D">
        <w:tab/>
        <w:t>zdôrazňuje, že dobre navrhnuté nové vlastné zdroje založené na daniach z príjmov právnických osôb musia byť plne zlučiteľné s cieľom zjednodušeného daňového režimu a môžu podporiť fiškálnu spravodlivosť; vyzýva Komisiu, aby identifikovala synergie medzi modernizáciou daňových pravidiel a potenciálnymi vlastnými zdrojmi založenými na daniach;</w:t>
      </w:r>
    </w:p>
    <w:p w:rsidR="00797D71" w:rsidRPr="00BC236D" w:rsidRDefault="00797D71" w:rsidP="00797D71">
      <w:pPr>
        <w:pStyle w:val="NormalHanging12a"/>
      </w:pPr>
      <w:r w:rsidRPr="00BC236D">
        <w:t>27.</w:t>
      </w:r>
      <w:r w:rsidRPr="00BC236D">
        <w:tab/>
        <w:t>berie na vedomie návrh Komisie na prechodný vlastný zdroj založený na štatistike spojený s podnikovým sektorom, ktorý by sa mohol uplatňovať až do možného vytvorenia vlastného zdroja spojeného s BEFIT; domnieva sa, že takýto logicky koncipovaný vlastný zdroj by mal motivovať členské štáty k tomu, aby urýchlili rokovania o BEFIT;</w:t>
      </w:r>
    </w:p>
    <w:p w:rsidR="00797D71" w:rsidRPr="00BC236D" w:rsidRDefault="00797D71" w:rsidP="00797D71">
      <w:pPr>
        <w:pStyle w:val="NormalHanging12a"/>
      </w:pPr>
      <w:r w:rsidRPr="00BC236D">
        <w:t>28.</w:t>
      </w:r>
      <w:r w:rsidRPr="00BC236D">
        <w:tab/>
        <w:t xml:space="preserve">opakuje svoju výzvu členským štátom, aby prijali nové vlastné zdroje určené na pokrytie splácania nákladov na prijaté úvery a pôžičky v rámci </w:t>
      </w:r>
      <w:proofErr w:type="spellStart"/>
      <w:r w:rsidRPr="00BC236D">
        <w:t>NextGenerationEU</w:t>
      </w:r>
      <w:proofErr w:type="spellEnd"/>
      <w:r w:rsidRPr="00BC236D">
        <w:t xml:space="preserve"> (NGEU) a aby čo najskôr dostatočne financovali svoje politiky a priority;</w:t>
      </w:r>
    </w:p>
    <w:p w:rsidR="00797D71" w:rsidRPr="00BC236D" w:rsidRDefault="00797D71" w:rsidP="00BC236D">
      <w:pPr>
        <w:pStyle w:val="NormalHanging12a"/>
        <w:ind w:left="0" w:firstLine="0"/>
        <w:rPr>
          <w:b/>
          <w:i/>
        </w:rPr>
      </w:pPr>
      <w:r w:rsidRPr="00BC236D">
        <w:rPr>
          <w:b/>
          <w:i/>
        </w:rPr>
        <w:t>K lepšie koordinovanému a zjednodušenému režimu dane z príjmov právnických osôb (BEFIT)</w:t>
      </w:r>
    </w:p>
    <w:p w:rsidR="00797D71" w:rsidRPr="00BC236D" w:rsidRDefault="00797D71" w:rsidP="00797D71">
      <w:pPr>
        <w:pStyle w:val="NormalHanging12a"/>
      </w:pPr>
      <w:r w:rsidRPr="00BC236D">
        <w:t>29.</w:t>
      </w:r>
      <w:r w:rsidRPr="00BC236D">
        <w:tab/>
        <w:t xml:space="preserve">berie na vedomie, že BEFIT a balík opatrení na pomoc MSP v oblasti zdaňovania sa navzájom dopĺňajú a sú zamerané na zlepšenie zjednodušenia pre podniky; vyzýva Komisiu, aby navrhla opatrenia, ktoré pomôžu všetkým členským štátom zaviesť zjednodušený, účinný a konkurencieschopný daňový systém s cieľom znížiť administratívnu záťaž pre spoločnosti, najmä MSP; uznáva, že zjednodušenie postupov vrátenia dane, odpočtov a súdnych sporov je ďalším riešením, ako znížiť administratívnu záťaž, najmä pre MSP; v tejto súvislosti berie na vedomie návrh Komisie z júna 2023 týkajúci sa rýchlejšej a bezpečnejšej úľavy pri nadmerných </w:t>
      </w:r>
      <w:r w:rsidRPr="00BC236D">
        <w:lastRenderedPageBreak/>
        <w:t>zrážkových daniach (FASTER), ktorého cieľom je podporiť cezhraničné investície a pomôcť predchádzať zneužívaniu daní prostredníctvom reformy postupov zrážkovej dane, a vyzýva na jeho urýchlené prijatie a vykonávanie;</w:t>
      </w:r>
    </w:p>
    <w:p w:rsidR="00797D71" w:rsidRPr="00BC236D" w:rsidRDefault="00797D71" w:rsidP="00797D71">
      <w:pPr>
        <w:pStyle w:val="NormalHanging12a"/>
      </w:pPr>
      <w:r w:rsidRPr="00BC236D">
        <w:t>30.</w:t>
      </w:r>
      <w:r w:rsidRPr="00BC236D">
        <w:tab/>
        <w:t>konštatuje, že od roku 1997 je kódex správania pri zdaňovaní podnikov hlavným nástrojom EÚ na predchádzanie škodlivej daňovej konkurencii medzi spoločnosťami; zdôrazňuje, že členské štáty by mali v tomto rámci prehodnotiť, zmeniť alebo zrušiť svoje existujúce daňové opatrenia, ktoré predstavujú škodlivú daňovú súťaž, a v budúcnosti nezavádzať takéto nové opatrenia; v tejto súvislosti víta závery Rady z 8. novembra 2022 o reforme kódexu správania pri zdaňovaní podnikov, pokiaľ ide o rozsah daňových opatrení, ktoré sa kontrolujú pri skúmaní škodlivých daňových praktík v EÚ; vyzýva skupinu pre kódex správania v oblasti zdaňovania podnikov, aby naplno využila svoj zrevidovaný mandát;</w:t>
      </w:r>
    </w:p>
    <w:p w:rsidR="00797D71" w:rsidRPr="00BC236D" w:rsidRDefault="00797D71" w:rsidP="00797D71">
      <w:pPr>
        <w:pStyle w:val="NormalHanging12a"/>
      </w:pPr>
      <w:r w:rsidRPr="00BC236D">
        <w:t>31.</w:t>
      </w:r>
      <w:r w:rsidRPr="00BC236D">
        <w:tab/>
        <w:t xml:space="preserve">vyzýva Radu, aby bezodkladne pokračovala v rokovaniach o návrhu UNSHELL; pripomína pôvodný zámer Komisie a pozíciu </w:t>
      </w:r>
      <w:r w:rsidR="00D230ED" w:rsidRPr="00BC236D">
        <w:t>Európskeho p</w:t>
      </w:r>
      <w:r w:rsidRPr="00BC236D">
        <w:t>arlamentu zo 17. januára 2023</w:t>
      </w:r>
      <w:r w:rsidRPr="00BC236D">
        <w:rPr>
          <w:rStyle w:val="FootnoteReference"/>
        </w:rPr>
        <w:footnoteReference w:id="33"/>
      </w:r>
      <w:r w:rsidRPr="00BC236D">
        <w:t>;</w:t>
      </w:r>
    </w:p>
    <w:p w:rsidR="00797D71" w:rsidRPr="00BC236D" w:rsidRDefault="00797D71" w:rsidP="00797D71">
      <w:pPr>
        <w:pStyle w:val="NormalHanging12a"/>
      </w:pPr>
      <w:r w:rsidRPr="00BC236D">
        <w:t>32.</w:t>
      </w:r>
      <w:r w:rsidRPr="00BC236D">
        <w:tab/>
        <w:t>so záujmom očakáva očakávané účinky iniciatív BEFIT a HOT na zníženie zložitosti právneho rámca pre systémy dane z príjmov právnických osôb, čím sa má pomôcť prilákať priame zahraničné investície, zlepšiť konkurencieschopnosť EÚ, a tak znížiť riziko premiestnenia spoločností do tretích krajín; berie na vedomie oznámenie Komisie o zdaňovaní podnikov v 21. storočí, v ktorom sa uvádza, že „neexistencia spoločného systému dane z príjmov právnických osôb na jednotnom trhu predstavuje prekážku pre konkurencieschopnosť... , a to vytvára konkurenčnú nevýhodu v porovnaní s trhmi tretích krajín“; pripomína, že jednoduchší rámec zároveň znižuje možnosti agresívneho daňového plánovania;</w:t>
      </w:r>
    </w:p>
    <w:p w:rsidR="00797D71" w:rsidRPr="00BC236D" w:rsidRDefault="00797D71" w:rsidP="00797D71">
      <w:pPr>
        <w:pStyle w:val="NormalHanging12a"/>
      </w:pPr>
      <w:r w:rsidRPr="00BC236D">
        <w:t>33.</w:t>
      </w:r>
      <w:r w:rsidRPr="00BC236D">
        <w:tab/>
        <w:t>berie na vedomie návrh Komisie BEFIT, ktorého cieľom je navrhnúť nový a jednotný súbor pravidiel EÚ v oblasti dane z príjmov právnických osôb a spoločný základ dane na zdaňovanie príjmov pre podniky; v tejto súvislosti vyzýva Komisiu, aby zabezpečila, že nový návrh poskytne spoločnostiam jasnosť a predvídateľnosť a uľahčí cezhraničnú hospodársku činnosť; zdôrazňuje, že každý takýto návrh musí zohľadniť dosiahnuté dohody alebo prebiehajúce diskusie na celosvetovej úrovni, a tak chrániť záujmy EÚ; opakuje, že dohody o rámcoch dane z príjmov právnických osôb sú najúčinnejšie, ak sa dosiahnu na celosvetovej úrovni;</w:t>
      </w:r>
    </w:p>
    <w:p w:rsidR="00797D71" w:rsidRPr="00BC236D" w:rsidRDefault="00797D71" w:rsidP="00797D71">
      <w:pPr>
        <w:pStyle w:val="NormalHanging12a"/>
      </w:pPr>
      <w:r w:rsidRPr="00BC236D">
        <w:t>34.</w:t>
      </w:r>
      <w:r w:rsidRPr="00BC236D">
        <w:tab/>
        <w:t>chápe, že iniciatíva BEFIT predstavuje príležitosť riešiť náklady spojené s dodržiavaním daňových predpisov a znižovať administratívnu záťaž a zároveň prispievať k minimalizácii agresívneho daňového plánovania a podpore rovnakých podmienok pre MSP; domnieva sa, že odstránenie medzier, ktoré umožňujú daňové úniky, vyhýbanie sa daňovým povinnostiam a podvody, by malo byť predmetom legislatívnych iniciatív v oblasti daní; konštatuje, že si to vyžaduje nepretržitú prácu na rámci dane z príjmov právnických osôb, aby sa v tejto súvislosti vykonali úpravy;</w:t>
      </w:r>
    </w:p>
    <w:p w:rsidR="00797D71" w:rsidRPr="00BC236D" w:rsidRDefault="00797D71" w:rsidP="00797D71">
      <w:pPr>
        <w:pStyle w:val="NormalHanging12a"/>
      </w:pPr>
      <w:r w:rsidRPr="00BC236D">
        <w:t>35.</w:t>
      </w:r>
      <w:r w:rsidRPr="00BC236D">
        <w:tab/>
        <w:t xml:space="preserve">pripomína, že sa domnieva, že iniciatíva BEFIT by sa mala opierať o politický proces pri budovaní politickej podpory pre zmenu; berie na vedomie revidovanú správu o posúdení vplyvu, v ktorej sa objasňujú poznatky získané z predchádzajúcich iniciatív v oblasti dane z príjmov právnických osôb a dopĺňajú prepojenia s prístupom OECD </w:t>
      </w:r>
      <w:r w:rsidRPr="00BC236D">
        <w:lastRenderedPageBreak/>
        <w:t>založeným na dvoch pilieroch;</w:t>
      </w:r>
    </w:p>
    <w:p w:rsidR="00797D71" w:rsidRPr="00BC236D" w:rsidRDefault="00797D71" w:rsidP="00797D71">
      <w:pPr>
        <w:pStyle w:val="NormalHanging12a"/>
      </w:pPr>
      <w:r w:rsidRPr="00BC236D">
        <w:t>36.</w:t>
      </w:r>
      <w:r w:rsidRPr="00BC236D">
        <w:tab/>
        <w:t>víta ciele iniciatívy BEFIT, ktoré sa uvádzajú vo výzve Komisie na predloženie dôkazov na posúdenie vplyvu, zvýšiť odolnosť podnikov znížením zložitosti spôsobenej rôznymi súbormi vnútroštátnych daňových pravidiel a nákladov na dodržiavanie predpisov, ktorým čelia podniky EÚ pri cezhraničných operáciách, odstrániť prekážky cezhraničných investícií a zabezpečiť, aby sa jednotný trh stal atraktívnejším miestom pre medzinárodné investície, vytvoriť prostredie priaznivé pre spravodlivý a udržateľný rast tým, že sa pripraví pôda pre administratívne zjednodušenie, a zabezpečiť udržateľné daňové príjmy do rozpočtov členských štátov, čo je obzvlášť dôležité v súčasnej náročnej hospodárskej situácii a vzhľadom na sociálne výzvy; zdôrazňuje, že zavedenie jednotného súboru daňových pravidiel by pomohlo znížiť priestor pre škodlivú daňovú konkurenciu a vyhýbaniu sa daňovým povinnostiam medzi členskými štátmi a zároveň zjednodušiť pravidlá zdaňovania právnických osôb v EÚ;</w:t>
      </w:r>
    </w:p>
    <w:p w:rsidR="00797D71" w:rsidRPr="00BC236D" w:rsidRDefault="00797D71" w:rsidP="00797D71">
      <w:pPr>
        <w:pStyle w:val="NormalHanging12a"/>
      </w:pPr>
      <w:r w:rsidRPr="00BC236D">
        <w:t>37.</w:t>
      </w:r>
      <w:r w:rsidRPr="00BC236D">
        <w:tab/>
        <w:t>zdôrazňuje významnú úlohu daňových správ pri zabezpečovaní realizácie reformy BEFIT; odporúča, aby členské štáty a budúci program FISCALIS vyčlenili dostatočné prostriedky vrátane odbornej prípravy;</w:t>
      </w:r>
    </w:p>
    <w:p w:rsidR="00797D71" w:rsidRPr="00BC236D" w:rsidRDefault="00797D71" w:rsidP="00797D71">
      <w:pPr>
        <w:pStyle w:val="NormalHanging12a"/>
      </w:pPr>
      <w:r w:rsidRPr="00BC236D">
        <w:t>38.</w:t>
      </w:r>
      <w:r w:rsidRPr="00BC236D">
        <w:tab/>
        <w:t>pripomína, že pri predchádzajúcich pokusoch Únie o vymedzenie spoločného súboru pravidiel sa zohľadňovali tri faktory: práca, majetok a tržby; berie na vedomie záväzok Komisie posúdiť v rámci komplexného preskúmania prechodného pravidla možnú zmenu s cieľom zaviesť rozdelenie základu dane BEFIT na základe vzorca;</w:t>
      </w:r>
    </w:p>
    <w:p w:rsidR="00797D71" w:rsidRPr="00BC236D" w:rsidRDefault="00797D71" w:rsidP="00797D71">
      <w:pPr>
        <w:pStyle w:val="NormalHanging12a"/>
      </w:pPr>
      <w:r w:rsidRPr="00BC236D">
        <w:t>39.</w:t>
      </w:r>
      <w:r w:rsidRPr="00BC236D">
        <w:tab/>
        <w:t>poznamenáva, že spoločnosti, ktoré podnikajú v celej EÚ, musia zvládať rôzne daňové predpisy a prichádzajú do styku s rôznymi daňovými orgánmi; vyzdvihuje myšlienku jednotného kontaktného miesta, ktoré by umožnilo podávanie jedného konsolidovaného daňového priznania ako možný spôsob zníženia administratívnej záťaže a minimalizácie daňových prekážok na jednotnom trhu; v tejto súvislosti vyzýva členské štáty, aby zintenzívnili svoje úsilie o zavedenie elektronického systému podávania dokumentov, ktorý by bol prínosom pre daňovníkov; vyzýva Komisiu, aby posúdila, či si zavedenie jednotného kontaktného miesta vyžaduje ďalšiu harmonizáciu základu dane z príjmov právnických osôb a vytvorenie vzorca pre spravodlivé a účinné rozdelenie daňových práv medzi členské štáty; vyzýva Komisiu, aby posúdila, či by sa jednotné kontaktné miesto mohlo potenciálne testovať v prípade skupín pôsobiacich na jednotnom trhu, ktoré uplatňujú pravidlá druhého piliera, na základe čoho by sa neskôr začlenili nové pravidlá BEFIT; v tejto súvislosti víta oznámenie Komisie zo 16. marca 2023 (COM(2023)0162), v ktorom sa zdôrazňuje užitočnosť jednotného kontaktného miesta na odstránenie prekážok;</w:t>
      </w:r>
    </w:p>
    <w:p w:rsidR="00797D71" w:rsidRPr="00BC236D" w:rsidRDefault="00797D71" w:rsidP="00797D71">
      <w:pPr>
        <w:pStyle w:val="NormalHanging12a"/>
      </w:pPr>
      <w:r w:rsidRPr="00BC236D">
        <w:t>40.</w:t>
      </w:r>
      <w:r w:rsidRPr="00BC236D">
        <w:tab/>
        <w:t>domnieva sa, že budúci návrh BEFIT by sa mal vzťahovať na všetky veľmi veľké podniky pôsobiace v EÚ; vyzýva Komisiu, aby zabezpečila splnenie špecifických požiadaviek MSP tým, že ponechá možnosť, aby bol BEFIT pre MSP voliteľný, najmä pre tie, ktoré nevykonávajú cezhraničnú činnosť; víta však každý návrh, ktorý by menším podnikom umožnil využívať dobrovoľný, zjednodušený a harmonizovaný rámec zdaňovania právnických osôb;</w:t>
      </w:r>
    </w:p>
    <w:p w:rsidR="00797D71" w:rsidRPr="00BC236D" w:rsidRDefault="00797D71" w:rsidP="00797D71">
      <w:pPr>
        <w:pStyle w:val="NormalHanging12a"/>
      </w:pPr>
      <w:r w:rsidRPr="00BC236D">
        <w:t>41.</w:t>
      </w:r>
      <w:r w:rsidRPr="00BC236D">
        <w:tab/>
        <w:t xml:space="preserve">zdôrazňuje, že zvýhodňovanie dlhu pri zdaňovaní právnických osôb, ktoré umožňuje veľkorysé daňové odpočty z úrokových platieb, zatiaľ čo podobné odpočítanie nákladov na kapitálové financovanie nie je možné, poukazuje na štrukturálne nevýhody spoločností odkázaných na kapitálové financovanie, pričom často ide o mladšie a </w:t>
      </w:r>
      <w:r w:rsidRPr="00BC236D">
        <w:lastRenderedPageBreak/>
        <w:t>menšie podniky s horším prístupom k úverom; berie na vedomie, že v minulosti sa úľavy spojené s vlastným imaním podnikov zneužívali na nezákonné činnosti; berie na vedomie návrh Komisie z 11. mája 2022, v ktorom sa zvýhodňovanie dlhu voči vlastnému imaniu rieši ako prostriedok na podporu financovania prostredníctvom kapitálových trhov namiesto odrádzania od dlhového financovania, pričom uznáva vlastníctvo členských štátov v daňových otázkach, a rozhodnutie Rady zo 6. decembra 2022 pozastaviť skúmanie návrhu; vyzýva Radu, aby prehodnotila tento návrh a s pomocou Komisie prípadne obnovila rokovania o ňom; podporuje začlenenie prísnych ustanovení proti vyhýbaniu sa daňovým povinnostiam vrátane ustanovení článku 5 do návrhu Komisie a v tejto súvislosti vyzýva členské štáty, aby zaručili vysokú úroveň ochrany pred narúšaním základu dane;</w:t>
      </w:r>
    </w:p>
    <w:p w:rsidR="00797D71" w:rsidRPr="00BC236D" w:rsidRDefault="00797D71" w:rsidP="00797D71">
      <w:pPr>
        <w:pStyle w:val="NormalHanging12a"/>
      </w:pPr>
      <w:r w:rsidRPr="00BC236D">
        <w:t>42.</w:t>
      </w:r>
      <w:r w:rsidRPr="00BC236D">
        <w:tab/>
        <w:t>domnieva sa, že daňová istota by sa posilnila, ak by členské štáty jednotne chápali to, čo sú daňové stimuly nenarúšajúce hospodársku súťaž; vyzýva Komisiu, aby vyhodnotila účinnosť režimu patentových kolónok a iných režimov duševného vlastníctva v rámci nového prístupu na základe spojitosti vymedzeného v opatrení 5 akčného plánu BEPS týkajúceho sa škodlivých daňových praktík;</w:t>
      </w:r>
    </w:p>
    <w:p w:rsidR="00797D71" w:rsidRPr="00BC236D" w:rsidRDefault="00797D71" w:rsidP="00797D71">
      <w:pPr>
        <w:pStyle w:val="NormalHanging12a"/>
      </w:pPr>
      <w:r w:rsidRPr="00BC236D">
        <w:t>43.</w:t>
      </w:r>
      <w:r w:rsidRPr="00BC236D">
        <w:tab/>
        <w:t xml:space="preserve">vyzýva Komisiu a členské štáty, aby koordinovaným spôsobom výrazne zvýšili rozpočet na výskum, vývoj a inovácie na dosiahnutie cieľa 3 % HDP EÚ; zdôrazňuje, že cielené daňové stimuly uplatňované fiškálne zodpovedným spôsobom na súkromný výskum a vývoj (napr. prostredníctvom daňových úľav, zvýšených úľav alebo upravených odpisových plánov) môžu pomôcť zvýšiť súkromné výdavky na tieto účely, čo môže často priniesť pozitívne </w:t>
      </w:r>
      <w:proofErr w:type="spellStart"/>
      <w:r w:rsidRPr="00BC236D">
        <w:t>externality</w:t>
      </w:r>
      <w:proofErr w:type="spellEnd"/>
      <w:r w:rsidRPr="00BC236D">
        <w:t xml:space="preserve">; zdôrazňuje, že by sa mala vykonávať pravidelná analýza takýchto pozitívnych </w:t>
      </w:r>
      <w:proofErr w:type="spellStart"/>
      <w:r w:rsidRPr="00BC236D">
        <w:t>externalít</w:t>
      </w:r>
      <w:proofErr w:type="spellEnd"/>
      <w:r w:rsidRPr="00BC236D">
        <w:t>, ktorá by sa upraviť alebo zrušiť, ak stimuly neprinesú zamýšľaný výsledok, a berie na vedomie záver, že takéto stimuly sú pre MSP účinnejšie, ak sú založené na výdavkoch</w:t>
      </w:r>
      <w:r w:rsidRPr="00BC236D">
        <w:rPr>
          <w:rStyle w:val="FootnoteReference"/>
        </w:rPr>
        <w:footnoteReference w:id="34"/>
      </w:r>
      <w:r w:rsidRPr="00BC236D">
        <w:t>; zdôrazňuje, že takéto daňové stimuly musia byť bezpodmienečne v súlade s existujúcimi právnymi predpismi a celkovými politickými prioritami EÚ; pripomína, že podľa správy Európskej investičnej banky o investíciách 2022/2023 boli výdavky podnikov na výskum a vývoj v roku 2020 v EÚ na úrovni 1,5 % HDP v porovnaní s 2,6 % v Spojených štátoch a Japonsku; konštatuje, že tento nedostatok by mohol znížiť dlhodobú konkurencieschopnosť EÚ; v tejto súvislosti víta oznámenie Komisie zo 16. marca 2023, ktoré nabáda členské štáty, aby poskytovali podporu na výskumné a inovačné činnosti; vyzýva Komisiu, aby predložila posúdenie najúčinnejších a najefektívnejších daňových stimulov na výskum a vývoj v súkromnom sektore;</w:t>
      </w:r>
    </w:p>
    <w:p w:rsidR="00797D71" w:rsidRPr="00BC236D" w:rsidRDefault="00797D71" w:rsidP="00797D71">
      <w:pPr>
        <w:pStyle w:val="NormalHanging12a"/>
      </w:pPr>
      <w:r w:rsidRPr="00BC236D">
        <w:t>44.</w:t>
      </w:r>
      <w:r w:rsidRPr="00BC236D">
        <w:tab/>
        <w:t>vyzýva Komisiu, aby vykonala posúdenie vplyvu využívania nových technológií na zlepšenie rýchlosti, účinnosti, spoľahlivosti, transparentnosti a odolnosti administratívnych postupov v oblasti daní; chápe, že Komisia môže v nadväznosti na toto posúdenie vplyvu predložiť návrh na posilnenie spolupráce medzi daňovými orgánmi s využitím zistených osvedčených postupov, čo povedie k vytvoreniu priaznivého podnikateľského prostredia s nižšou byrokraciou, nižšími nákladmi na dodržiavanie predpisov a nižšou administratívnou záťažou.</w:t>
      </w:r>
    </w:p>
    <w:p w:rsidR="00D230ED" w:rsidRPr="00BC236D" w:rsidRDefault="00D230ED" w:rsidP="00D230ED">
      <w:pPr>
        <w:pStyle w:val="NormalHanging12a"/>
        <w:widowControl/>
        <w:ind w:left="0" w:firstLine="0"/>
        <w:jc w:val="center"/>
      </w:pPr>
      <w:r w:rsidRPr="00BC236D">
        <w:t>°</w:t>
      </w:r>
    </w:p>
    <w:p w:rsidR="00D230ED" w:rsidRPr="00BC236D" w:rsidRDefault="00D230ED" w:rsidP="00D230ED">
      <w:pPr>
        <w:pStyle w:val="NormalHanging12a"/>
        <w:widowControl/>
        <w:ind w:left="0" w:firstLine="0"/>
        <w:jc w:val="center"/>
      </w:pPr>
      <w:r w:rsidRPr="00BC236D">
        <w:lastRenderedPageBreak/>
        <w:t>°     °</w:t>
      </w:r>
    </w:p>
    <w:p w:rsidR="00E365E1" w:rsidRPr="00BC236D" w:rsidRDefault="00797D71" w:rsidP="00D230ED">
      <w:pPr>
        <w:pStyle w:val="NormalHanging12a"/>
      </w:pPr>
      <w:r w:rsidRPr="00BC236D">
        <w:t>45.</w:t>
      </w:r>
      <w:r w:rsidRPr="00BC236D">
        <w:tab/>
        <w:t>poveruje svoju predsedníčku, aby postúpila toto uznesenie Rade a Komisii.</w:t>
      </w:r>
    </w:p>
    <w:sectPr w:rsidR="00E365E1" w:rsidRPr="00BC236D" w:rsidSect="00C942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C19" w:rsidRPr="00C94222" w:rsidRDefault="005F5C19">
      <w:r w:rsidRPr="00C94222">
        <w:separator/>
      </w:r>
    </w:p>
  </w:endnote>
  <w:endnote w:type="continuationSeparator" w:id="0">
    <w:p w:rsidR="005F5C19" w:rsidRPr="00C94222" w:rsidRDefault="005F5C19">
      <w:r w:rsidRPr="00C942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C19" w:rsidRPr="00C94222" w:rsidRDefault="005F5C19">
      <w:r w:rsidRPr="00C94222">
        <w:separator/>
      </w:r>
    </w:p>
  </w:footnote>
  <w:footnote w:type="continuationSeparator" w:id="0">
    <w:p w:rsidR="005F5C19" w:rsidRPr="00C94222" w:rsidRDefault="005F5C19">
      <w:r w:rsidRPr="00C94222">
        <w:continuationSeparator/>
      </w:r>
    </w:p>
  </w:footnote>
  <w:footnote w:id="1">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"https://eur-lex.europa.eu/legal-content/SK/TXT/PDF/?uri=CELEX:32003L0049" </w:instrText>
      </w:r>
      <w:r w:rsidR="004A24BF">
        <w:fldChar w:fldCharType="separate"/>
      </w:r>
      <w:r w:rsidRPr="00C94222">
        <w:rPr>
          <w:rStyle w:val="Hyperlink"/>
          <w:sz w:val="24"/>
          <w:lang w:val="sk-SK"/>
        </w:rPr>
        <w:t>Ú. v. EÚ L 157, 26.6.2003, s. 49</w:t>
      </w:r>
      <w:r w:rsidR="004A24BF">
        <w:rPr>
          <w:rStyle w:val="Hyperlink"/>
          <w:sz w:val="24"/>
          <w:lang w:val="sk-SK"/>
        </w:rPr>
        <w:fldChar w:fldCharType="end"/>
      </w:r>
      <w:r w:rsidRPr="00C94222">
        <w:rPr>
          <w:sz w:val="24"/>
          <w:lang w:val="sk-SK"/>
        </w:rPr>
        <w:t>.</w:t>
      </w:r>
    </w:p>
  </w:footnote>
  <w:footnote w:id="2">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"https://eur-lex.europa.eu/legal-content/SK/TXT/PDF/?uri=CELEX:32011L0096" </w:instrText>
      </w:r>
      <w:r w:rsidR="004A24BF">
        <w:fldChar w:fldCharType="separate"/>
      </w:r>
      <w:r w:rsidRPr="00C94222">
        <w:rPr>
          <w:rStyle w:val="Hyperlink"/>
          <w:sz w:val="24"/>
          <w:lang w:val="sk-SK"/>
        </w:rPr>
        <w:t>Ú. v. EÚ L 345, 29.12.2011, s. 8</w:t>
      </w:r>
      <w:r w:rsidR="004A24BF">
        <w:rPr>
          <w:rStyle w:val="Hyperlink"/>
          <w:sz w:val="24"/>
          <w:lang w:val="sk-SK"/>
        </w:rPr>
        <w:fldChar w:fldCharType="end"/>
      </w:r>
      <w:r w:rsidRPr="00C94222">
        <w:rPr>
          <w:sz w:val="24"/>
          <w:lang w:val="sk-SK"/>
        </w:rPr>
        <w:t>.</w:t>
      </w:r>
    </w:p>
  </w:footnote>
  <w:footnote w:id="3">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"https://eur-lex.europa.eu/legal-content/SK/TXT/PDF/?uri=CELEX:32016L1164" </w:instrText>
      </w:r>
      <w:r w:rsidR="004A24BF">
        <w:fldChar w:fldCharType="separate"/>
      </w:r>
      <w:r w:rsidRPr="00C94222">
        <w:rPr>
          <w:rStyle w:val="Hyperlink"/>
          <w:sz w:val="24"/>
          <w:lang w:val="sk-SK"/>
        </w:rPr>
        <w:t>Ú. v. EÚ L 193, 19.7.2016, s. 1</w:t>
      </w:r>
      <w:r w:rsidR="004A24BF">
        <w:rPr>
          <w:rStyle w:val="Hyperlink"/>
          <w:sz w:val="24"/>
          <w:lang w:val="sk-SK"/>
        </w:rPr>
        <w:fldChar w:fldCharType="end"/>
      </w:r>
      <w:r w:rsidRPr="00C94222">
        <w:rPr>
          <w:sz w:val="24"/>
          <w:lang w:val="sk-SK"/>
        </w:rPr>
        <w:t>.</w:t>
      </w:r>
    </w:p>
  </w:footnote>
  <w:footnote w:id="4">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"https://eur-lex.europa.eu/legal-content/SK/TXT/PDF/?uri=CELEX:32017L0952" </w:instrText>
      </w:r>
      <w:r w:rsidR="004A24BF">
        <w:fldChar w:fldCharType="separate"/>
      </w:r>
      <w:r w:rsidRPr="00C94222">
        <w:rPr>
          <w:rStyle w:val="Hyperlink"/>
          <w:sz w:val="24"/>
          <w:lang w:val="sk-SK"/>
        </w:rPr>
        <w:t>Ú. v. EÚ L 144, 7.6.2017, s. 1</w:t>
      </w:r>
      <w:r w:rsidR="004A24BF">
        <w:rPr>
          <w:rStyle w:val="Hyperlink"/>
          <w:sz w:val="24"/>
          <w:lang w:val="sk-SK"/>
        </w:rPr>
        <w:fldChar w:fldCharType="end"/>
      </w:r>
      <w:r w:rsidRPr="00C94222">
        <w:rPr>
          <w:sz w:val="24"/>
          <w:lang w:val="sk-SK"/>
        </w:rPr>
        <w:t>.</w:t>
      </w:r>
    </w:p>
  </w:footnote>
  <w:footnote w:id="5">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w:instrText>
      </w:r>
      <w:r w:rsidR="004A24BF" w:rsidRPr="004A24BF">
        <w:rPr>
          <w:lang w:val="es-ES"/>
        </w:rPr>
        <w:instrText xml:space="preserve">PERLINK "https://eur-lex.europa.eu/legal-content/SK/TXT/PDF/?uri=CELEX:32011L0016" </w:instrText>
      </w:r>
      <w:r w:rsidR="004A24BF">
        <w:fldChar w:fldCharType="separate"/>
      </w:r>
      <w:r w:rsidRPr="00C94222">
        <w:rPr>
          <w:rStyle w:val="Hyperlink"/>
          <w:sz w:val="24"/>
          <w:lang w:val="sk-SK"/>
        </w:rPr>
        <w:t>Ú. v. EÚ L 64, 11.3.2011, s. 1</w:t>
      </w:r>
      <w:r w:rsidR="004A24BF">
        <w:rPr>
          <w:rStyle w:val="Hyperlink"/>
          <w:sz w:val="24"/>
          <w:lang w:val="sk-SK"/>
        </w:rPr>
        <w:fldChar w:fldCharType="end"/>
      </w:r>
      <w:r w:rsidRPr="00C94222">
        <w:rPr>
          <w:sz w:val="24"/>
          <w:lang w:val="sk-SK"/>
        </w:rPr>
        <w:t>.</w:t>
      </w:r>
    </w:p>
  </w:footnote>
  <w:footnote w:id="6">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"https://eur-lex.europa.eu/legal-content/SK/TXT/PDF/?uri=CELEX:32014L0107" </w:instrText>
      </w:r>
      <w:r w:rsidR="004A24BF">
        <w:fldChar w:fldCharType="separate"/>
      </w:r>
      <w:r w:rsidRPr="00C94222">
        <w:rPr>
          <w:rStyle w:val="Hyperlink"/>
          <w:sz w:val="24"/>
          <w:lang w:val="sk-SK"/>
        </w:rPr>
        <w:t>Ú. v. EÚ L 359, 16.12.2014, s. 1</w:t>
      </w:r>
      <w:r w:rsidR="004A24BF">
        <w:rPr>
          <w:rStyle w:val="Hyperlink"/>
          <w:sz w:val="24"/>
          <w:lang w:val="sk-SK"/>
        </w:rPr>
        <w:fldChar w:fldCharType="end"/>
      </w:r>
      <w:r w:rsidRPr="00C94222">
        <w:rPr>
          <w:sz w:val="24"/>
          <w:lang w:val="sk-SK"/>
        </w:rPr>
        <w:t>.</w:t>
      </w:r>
    </w:p>
  </w:footnote>
  <w:footnote w:id="7">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w:instrText>
      </w:r>
      <w:r w:rsidR="004A24BF" w:rsidRPr="004A24BF">
        <w:rPr>
          <w:lang w:val="es-ES"/>
        </w:rPr>
        <w:instrText xml:space="preserve">K "https://eur-lex.europa.eu/legal-content/SK/TXT/PDF/?uri=CELEX:32015L2376" </w:instrText>
      </w:r>
      <w:r w:rsidR="004A24BF">
        <w:fldChar w:fldCharType="separate"/>
      </w:r>
      <w:r w:rsidRPr="00C94222">
        <w:rPr>
          <w:rStyle w:val="Hyperlink"/>
          <w:sz w:val="24"/>
          <w:lang w:val="sk-SK"/>
        </w:rPr>
        <w:t>Ú. v. EÚ L 332, 18.12.2015, s. 1</w:t>
      </w:r>
      <w:r w:rsidR="004A24BF">
        <w:rPr>
          <w:rStyle w:val="Hyperlink"/>
          <w:sz w:val="24"/>
          <w:lang w:val="sk-SK"/>
        </w:rPr>
        <w:fldChar w:fldCharType="end"/>
      </w:r>
      <w:r w:rsidRPr="00C94222">
        <w:rPr>
          <w:sz w:val="24"/>
          <w:lang w:val="sk-SK"/>
        </w:rPr>
        <w:t>.</w:t>
      </w:r>
    </w:p>
  </w:footnote>
  <w:footnote w:id="8">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"https://eur-lex.europa.eu/legal-content/SK/TXT/PDF/?uri=CELEX:32016L0881" </w:instrText>
      </w:r>
      <w:r w:rsidR="004A24BF">
        <w:fldChar w:fldCharType="separate"/>
      </w:r>
      <w:r w:rsidRPr="00C94222">
        <w:rPr>
          <w:rStyle w:val="Hyperlink"/>
          <w:sz w:val="24"/>
          <w:lang w:val="sk-SK"/>
        </w:rPr>
        <w:t>Ú. v. EÚ L 146, 3.6.2016, s. 8</w:t>
      </w:r>
      <w:r w:rsidR="004A24BF">
        <w:rPr>
          <w:rStyle w:val="Hyperlink"/>
          <w:sz w:val="24"/>
          <w:lang w:val="sk-SK"/>
        </w:rPr>
        <w:fldChar w:fldCharType="end"/>
      </w:r>
      <w:r w:rsidRPr="00C94222">
        <w:rPr>
          <w:sz w:val="24"/>
          <w:lang w:val="sk-SK"/>
        </w:rPr>
        <w:t>.</w:t>
      </w:r>
    </w:p>
  </w:footnote>
  <w:footnote w:id="9">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w:instrText>
      </w:r>
      <w:r w:rsidR="004A24BF" w:rsidRPr="004A24BF">
        <w:rPr>
          <w:lang w:val="es-ES"/>
        </w:rPr>
        <w:instrText xml:space="preserve">ps://eur-lex.europa.eu/legal-content/SK/TXT/PDF/?uri=CELEX:32016L2258" </w:instrText>
      </w:r>
      <w:r w:rsidR="004A24BF">
        <w:fldChar w:fldCharType="separate"/>
      </w:r>
      <w:r w:rsidRPr="00C94222">
        <w:rPr>
          <w:rStyle w:val="Hyperlink"/>
          <w:sz w:val="24"/>
          <w:lang w:val="sk-SK"/>
        </w:rPr>
        <w:t>Ú. v. EÚ L 342, 16.12.2016, s. 1</w:t>
      </w:r>
      <w:r w:rsidR="004A24BF">
        <w:rPr>
          <w:rStyle w:val="Hyperlink"/>
          <w:sz w:val="24"/>
          <w:lang w:val="sk-SK"/>
        </w:rPr>
        <w:fldChar w:fldCharType="end"/>
      </w:r>
      <w:r w:rsidRPr="00C94222">
        <w:rPr>
          <w:sz w:val="24"/>
          <w:lang w:val="sk-SK"/>
        </w:rPr>
        <w:t>.</w:t>
      </w:r>
    </w:p>
  </w:footnote>
  <w:footnote w:id="10">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"https://eur-lex.europa.eu/legal-content/SK/TXT/PDF/?uri=CELEX:32018L0822" </w:instrText>
      </w:r>
      <w:r w:rsidR="004A24BF">
        <w:fldChar w:fldCharType="separate"/>
      </w:r>
      <w:r w:rsidRPr="00C94222">
        <w:rPr>
          <w:rStyle w:val="Hyperlink"/>
          <w:sz w:val="24"/>
          <w:lang w:val="sk-SK"/>
        </w:rPr>
        <w:t>Ú. v. EÚ L 139, 5.6.2018, s. 1</w:t>
      </w:r>
      <w:r w:rsidR="004A24BF">
        <w:rPr>
          <w:rStyle w:val="Hyperlink"/>
          <w:sz w:val="24"/>
          <w:lang w:val="sk-SK"/>
        </w:rPr>
        <w:fldChar w:fldCharType="end"/>
      </w:r>
      <w:r w:rsidRPr="00C94222">
        <w:rPr>
          <w:sz w:val="24"/>
          <w:lang w:val="sk-SK"/>
        </w:rPr>
        <w:t>.</w:t>
      </w:r>
    </w:p>
  </w:footnote>
  <w:footnote w:id="11">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"https://eur-lex.europa.eu/legal-content/SK/TXT/PDF/?uri=CELEX:32021L0514" </w:instrText>
      </w:r>
      <w:r w:rsidR="004A24BF">
        <w:fldChar w:fldCharType="separate"/>
      </w:r>
      <w:r w:rsidRPr="00C94222">
        <w:rPr>
          <w:rStyle w:val="Hyperlink"/>
          <w:sz w:val="24"/>
          <w:lang w:val="sk-SK"/>
        </w:rPr>
        <w:t>Ú. v. EÚ L 104, 25.3.2021, s. 1</w:t>
      </w:r>
      <w:r w:rsidR="004A24BF">
        <w:rPr>
          <w:rStyle w:val="Hyperlink"/>
          <w:sz w:val="24"/>
          <w:lang w:val="sk-SK"/>
        </w:rPr>
        <w:fldChar w:fldCharType="end"/>
      </w:r>
      <w:r w:rsidRPr="00C94222">
        <w:rPr>
          <w:sz w:val="24"/>
          <w:lang w:val="sk-SK"/>
        </w:rPr>
        <w:t>.</w:t>
      </w:r>
    </w:p>
  </w:footnote>
  <w:footnote w:id="12">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"https://eur-lex.europa.eu/legal-content/SK/TXT/PDF/?uri=CELEX:32017L1852" </w:instrText>
      </w:r>
      <w:r w:rsidR="004A24BF">
        <w:fldChar w:fldCharType="separate"/>
      </w:r>
      <w:r w:rsidRPr="00C94222">
        <w:rPr>
          <w:rStyle w:val="Hyperlink"/>
          <w:sz w:val="24"/>
          <w:lang w:val="sk-SK"/>
        </w:rPr>
        <w:t>Ú. v. EÚ L 265, 14.10.2017, s. 1</w:t>
      </w:r>
      <w:r w:rsidR="004A24BF">
        <w:rPr>
          <w:rStyle w:val="Hyperlink"/>
          <w:sz w:val="24"/>
          <w:lang w:val="sk-SK"/>
        </w:rPr>
        <w:fldChar w:fldCharType="end"/>
      </w:r>
      <w:r w:rsidRPr="00C94222">
        <w:rPr>
          <w:sz w:val="24"/>
          <w:lang w:val="sk-SK"/>
        </w:rPr>
        <w:t>.</w:t>
      </w:r>
    </w:p>
  </w:footnote>
  <w:footnote w:id="13">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w:instrText>
      </w:r>
      <w:r w:rsidR="004A24BF" w:rsidRPr="004A24BF">
        <w:rPr>
          <w:lang w:val="es-ES"/>
        </w:rPr>
        <w:instrText xml:space="preserve">RLINK "https://eur-lex.europa.eu/legal-content/SK/TXT/PDF/?uri=CELEX:32021L2101" </w:instrText>
      </w:r>
      <w:r w:rsidR="004A24BF">
        <w:fldChar w:fldCharType="separate"/>
      </w:r>
      <w:r w:rsidRPr="00C94222">
        <w:rPr>
          <w:rStyle w:val="Hyperlink"/>
          <w:sz w:val="24"/>
          <w:lang w:val="sk-SK"/>
        </w:rPr>
        <w:t>Ú. v. EÚ L 429, 1.12.2021, s. 1</w:t>
      </w:r>
      <w:r w:rsidR="004A24BF">
        <w:rPr>
          <w:rStyle w:val="Hyperlink"/>
          <w:sz w:val="24"/>
          <w:lang w:val="sk-SK"/>
        </w:rPr>
        <w:fldChar w:fldCharType="end"/>
      </w:r>
      <w:r w:rsidRPr="00C94222">
        <w:rPr>
          <w:sz w:val="24"/>
          <w:lang w:val="sk-SK"/>
        </w:rPr>
        <w:t>.</w:t>
      </w:r>
    </w:p>
  </w:footnote>
  <w:footnote w:id="14">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"https://eur-lex.europa.eu/legal-content/SK/TXT/PDF/?uri=CELEX:32022L2523" </w:instrText>
      </w:r>
      <w:r w:rsidR="004A24BF">
        <w:fldChar w:fldCharType="separate"/>
      </w:r>
      <w:r w:rsidRPr="00C94222">
        <w:rPr>
          <w:rStyle w:val="Hyperlink"/>
          <w:sz w:val="24"/>
          <w:lang w:val="sk-SK"/>
        </w:rPr>
        <w:t>Ú. v. EÚ L 328, 22.12.2022, s. 1</w:t>
      </w:r>
      <w:r w:rsidR="004A24BF">
        <w:rPr>
          <w:rStyle w:val="Hyperlink"/>
          <w:sz w:val="24"/>
          <w:lang w:val="sk-SK"/>
        </w:rPr>
        <w:fldChar w:fldCharType="end"/>
      </w:r>
      <w:r w:rsidRPr="00C94222">
        <w:rPr>
          <w:sz w:val="24"/>
          <w:lang w:val="sk-SK"/>
        </w:rPr>
        <w:t>.</w:t>
      </w:r>
    </w:p>
  </w:footnote>
  <w:footnote w:id="15">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https://ec.europa.eu/commission/presscorner/detail/sk/IP_19_225.</w:t>
      </w:r>
    </w:p>
  </w:footnote>
  <w:footnote w:id="16">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https://ec.europa.eu/commission/presscorner/detail/sk/ip_21_7025.</w:t>
      </w:r>
    </w:p>
  </w:footnote>
  <w:footnote w:id="17">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"https://eur-lex.europa.eu/legal-content/SK/TXT/?uri=uriserv:OJ.C_.2022.479.01.0089.01.SLK" </w:instrText>
      </w:r>
      <w:r w:rsidR="004A24BF">
        <w:fldChar w:fldCharType="separate"/>
      </w:r>
      <w:r w:rsidRPr="00C94222">
        <w:rPr>
          <w:rStyle w:val="Hyperlink"/>
          <w:sz w:val="24"/>
          <w:lang w:val="sk-SK"/>
        </w:rPr>
        <w:t>Ú. v. EÚ C 479, 16.12.2022, s. 89</w:t>
      </w:r>
      <w:r w:rsidR="004A24BF">
        <w:rPr>
          <w:rStyle w:val="Hyperlink"/>
          <w:sz w:val="24"/>
          <w:lang w:val="sk-SK"/>
        </w:rPr>
        <w:fldChar w:fldCharType="end"/>
      </w:r>
      <w:r w:rsidRPr="00C94222">
        <w:rPr>
          <w:sz w:val="24"/>
          <w:lang w:val="sk-SK"/>
        </w:rPr>
        <w:t>.</w:t>
      </w:r>
    </w:p>
  </w:footnote>
  <w:footnote w:id="18">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https://ec.europa.eu/commission/presscorner/detail/sk/ip_23_3328.</w:t>
      </w:r>
    </w:p>
  </w:footnote>
  <w:footnote w:id="19">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"https://eur-lex.europa.eu/legal-content/SK/TXT/?uri=celex:52022IP0141" </w:instrText>
      </w:r>
      <w:r w:rsidR="004A24BF">
        <w:fldChar w:fldCharType="separate"/>
      </w:r>
      <w:r w:rsidRPr="00C94222">
        <w:rPr>
          <w:rStyle w:val="Hyperlink"/>
          <w:sz w:val="24"/>
          <w:lang w:val="sk-SK"/>
        </w:rPr>
        <w:t>Ú. v. EÚ C 465, 6.12.2022, s. 109</w:t>
      </w:r>
      <w:r w:rsidR="004A24BF">
        <w:rPr>
          <w:rStyle w:val="Hyperlink"/>
          <w:sz w:val="24"/>
          <w:lang w:val="sk-SK"/>
        </w:rPr>
        <w:fldChar w:fldCharType="end"/>
      </w:r>
      <w:r w:rsidRPr="00C94222">
        <w:rPr>
          <w:sz w:val="24"/>
          <w:lang w:val="sk-SK"/>
        </w:rPr>
        <w:t>.</w:t>
      </w:r>
    </w:p>
  </w:footnote>
  <w:footnote w:id="20">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https://taxation-customs.ec.europa.eu/taxation-1/economic-analysis-taxation/annual-report-taxation_en.</w:t>
      </w:r>
    </w:p>
  </w:footnote>
  <w:footnote w:id="21">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"https://eur-lex.europa.eu/legal-content/SK/TXT/PDF/?uri=CELEX:52021IP0416" </w:instrText>
      </w:r>
      <w:r w:rsidR="004A24BF">
        <w:fldChar w:fldCharType="separate"/>
      </w:r>
      <w:r w:rsidRPr="00C94222">
        <w:rPr>
          <w:rStyle w:val="Hyperlink"/>
          <w:sz w:val="24"/>
          <w:lang w:val="sk-SK"/>
        </w:rPr>
        <w:t>Ú. v. EÚ C 132, 24.3.2022, s. 167</w:t>
      </w:r>
      <w:r w:rsidR="004A24BF">
        <w:rPr>
          <w:rStyle w:val="Hyperlink"/>
          <w:sz w:val="24"/>
          <w:lang w:val="sk-SK"/>
        </w:rPr>
        <w:fldChar w:fldCharType="end"/>
      </w:r>
      <w:r w:rsidRPr="00C94222">
        <w:rPr>
          <w:sz w:val="24"/>
          <w:lang w:val="sk-SK"/>
        </w:rPr>
        <w:t>.</w:t>
      </w:r>
    </w:p>
  </w:footnote>
  <w:footnote w:id="22">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es-ES"/>
        </w:rPr>
        <w:instrText xml:space="preserve"> HYPERLINK "https://eur-lex.europa.eu/legal-content/SK/TXT/PDF/?uri=CELEX:52022IP0023" </w:instrText>
      </w:r>
      <w:r w:rsidR="004A24BF">
        <w:fldChar w:fldCharType="separate"/>
      </w:r>
      <w:r w:rsidRPr="00C94222">
        <w:rPr>
          <w:rStyle w:val="Hyperlink"/>
          <w:sz w:val="24"/>
          <w:lang w:val="sk-SK"/>
        </w:rPr>
        <w:t>Ú. v. EÚ C 342, 6.9.2022, s. 14</w:t>
      </w:r>
      <w:r w:rsidR="004A24BF">
        <w:rPr>
          <w:rStyle w:val="Hyperlink"/>
          <w:sz w:val="24"/>
          <w:lang w:val="sk-SK"/>
        </w:rPr>
        <w:fldChar w:fldCharType="end"/>
      </w:r>
      <w:r w:rsidRPr="00C94222">
        <w:rPr>
          <w:sz w:val="24"/>
          <w:lang w:val="sk-SK"/>
        </w:rPr>
        <w:t>.</w:t>
      </w:r>
    </w:p>
  </w:footnote>
  <w:footnote w:id="23">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sk-SK"/>
        </w:rPr>
        <w:instrText xml:space="preserve"> HYPERLINK "https://eur-lex.europa.eu/legal-content/SK/TXT/PDF/?uri=CELEX:52022IP0082" </w:instrText>
      </w:r>
      <w:r w:rsidR="004A24BF">
        <w:fldChar w:fldCharType="separate"/>
      </w:r>
      <w:r w:rsidRPr="00C94222">
        <w:rPr>
          <w:rStyle w:val="Hyperlink"/>
          <w:sz w:val="24"/>
          <w:lang w:val="sk-SK"/>
        </w:rPr>
        <w:t>Ú. v. EÚ C 347, 9.9.2022, s. 211</w:t>
      </w:r>
      <w:r w:rsidR="004A24BF">
        <w:rPr>
          <w:rStyle w:val="Hyperlink"/>
          <w:sz w:val="24"/>
          <w:lang w:val="sk-SK"/>
        </w:rPr>
        <w:fldChar w:fldCharType="end"/>
      </w:r>
      <w:r w:rsidRPr="00C94222">
        <w:rPr>
          <w:sz w:val="24"/>
          <w:lang w:val="sk-SK"/>
        </w:rPr>
        <w:t>.</w:t>
      </w:r>
    </w:p>
  </w:footnote>
  <w:footnote w:id="24">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Európsky parlament, </w:t>
      </w:r>
      <w:r w:rsidR="004A24BF">
        <w:fldChar w:fldCharType="begin"/>
      </w:r>
      <w:r w:rsidR="004A24BF" w:rsidRPr="004A24BF">
        <w:rPr>
          <w:lang w:val="sk-SK"/>
        </w:rPr>
        <w:instrText xml:space="preserve"> HYPERLINK "https://www.europarl.europa.eu/doceo/document/A-9-2022-0011_SK.html" </w:instrText>
      </w:r>
      <w:r w:rsidR="004A24BF">
        <w:fldChar w:fldCharType="separate"/>
      </w:r>
      <w:r w:rsidRPr="00C94222">
        <w:rPr>
          <w:rStyle w:val="Hyperlink"/>
          <w:i/>
          <w:sz w:val="24"/>
          <w:lang w:val="sk-SK"/>
        </w:rPr>
        <w:t>Správa o európskom rámci pre zrážkovú daň</w:t>
      </w:r>
      <w:r w:rsidR="004A24BF">
        <w:rPr>
          <w:rStyle w:val="Hyperlink"/>
          <w:i/>
          <w:sz w:val="24"/>
          <w:lang w:val="sk-SK"/>
        </w:rPr>
        <w:fldChar w:fldCharType="end"/>
      </w:r>
      <w:r w:rsidRPr="00C94222">
        <w:rPr>
          <w:i/>
          <w:sz w:val="24"/>
          <w:lang w:val="sk-SK"/>
        </w:rPr>
        <w:t xml:space="preserve">, </w:t>
      </w:r>
      <w:r w:rsidRPr="00C94222">
        <w:rPr>
          <w:sz w:val="24"/>
          <w:lang w:val="sk-SK"/>
        </w:rPr>
        <w:t xml:space="preserve">február 2022. </w:t>
      </w:r>
    </w:p>
  </w:footnote>
  <w:footnote w:id="25">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sk-SK"/>
        </w:rPr>
        <w:instrText xml:space="preserve"> HYPERLINK "https://eur-lex.europa.eu/legal-content/SK/TXT/PDF/?uri=CELEX:52022IP0335" </w:instrText>
      </w:r>
      <w:r w:rsidR="004A24BF">
        <w:fldChar w:fldCharType="separate"/>
      </w:r>
      <w:r w:rsidRPr="00C94222">
        <w:rPr>
          <w:rStyle w:val="Hyperlink"/>
          <w:sz w:val="24"/>
          <w:lang w:val="sk-SK"/>
        </w:rPr>
        <w:t>Ú. v. EÚ C 132, 14.4.2023, s. 15</w:t>
      </w:r>
      <w:r w:rsidR="004A24BF">
        <w:rPr>
          <w:rStyle w:val="Hyperlink"/>
          <w:sz w:val="24"/>
          <w:lang w:val="sk-SK"/>
        </w:rPr>
        <w:fldChar w:fldCharType="end"/>
      </w:r>
      <w:r w:rsidRPr="00C94222">
        <w:rPr>
          <w:sz w:val="24"/>
          <w:lang w:val="sk-SK"/>
        </w:rPr>
        <w:t>.</w:t>
      </w:r>
    </w:p>
  </w:footnote>
  <w:footnote w:id="26">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Study on </w:t>
      </w:r>
      <w:proofErr w:type="spellStart"/>
      <w:r w:rsidRPr="00C94222">
        <w:rPr>
          <w:sz w:val="24"/>
          <w:lang w:val="sk-SK"/>
        </w:rPr>
        <w:t>Structures</w:t>
      </w:r>
      <w:proofErr w:type="spellEnd"/>
      <w:r w:rsidRPr="00C94222">
        <w:rPr>
          <w:sz w:val="24"/>
          <w:lang w:val="sk-SK"/>
        </w:rPr>
        <w:t xml:space="preserve"> of </w:t>
      </w:r>
      <w:proofErr w:type="spellStart"/>
      <w:r w:rsidRPr="00C94222">
        <w:rPr>
          <w:sz w:val="24"/>
          <w:lang w:val="sk-SK"/>
        </w:rPr>
        <w:t>Aggressive</w:t>
      </w:r>
      <w:proofErr w:type="spellEnd"/>
      <w:r w:rsidRPr="00C94222">
        <w:rPr>
          <w:sz w:val="24"/>
          <w:lang w:val="sk-SK"/>
        </w:rPr>
        <w:t xml:space="preserve"> </w:t>
      </w:r>
      <w:proofErr w:type="spellStart"/>
      <w:r w:rsidRPr="00C94222">
        <w:rPr>
          <w:sz w:val="24"/>
          <w:lang w:val="sk-SK"/>
        </w:rPr>
        <w:t>Tax</w:t>
      </w:r>
      <w:proofErr w:type="spellEnd"/>
      <w:r w:rsidRPr="00C94222">
        <w:rPr>
          <w:sz w:val="24"/>
          <w:lang w:val="sk-SK"/>
        </w:rPr>
        <w:t xml:space="preserve"> </w:t>
      </w:r>
      <w:proofErr w:type="spellStart"/>
      <w:r w:rsidRPr="00C94222">
        <w:rPr>
          <w:sz w:val="24"/>
          <w:lang w:val="sk-SK"/>
        </w:rPr>
        <w:t>Planning</w:t>
      </w:r>
      <w:proofErr w:type="spellEnd"/>
      <w:r w:rsidRPr="00C94222">
        <w:rPr>
          <w:sz w:val="24"/>
          <w:lang w:val="sk-SK"/>
        </w:rPr>
        <w:t xml:space="preserve"> and </w:t>
      </w:r>
      <w:proofErr w:type="spellStart"/>
      <w:r w:rsidRPr="00C94222">
        <w:rPr>
          <w:sz w:val="24"/>
          <w:lang w:val="sk-SK"/>
        </w:rPr>
        <w:t>Indicators</w:t>
      </w:r>
      <w:proofErr w:type="spellEnd"/>
      <w:r w:rsidRPr="00C94222">
        <w:rPr>
          <w:sz w:val="24"/>
          <w:lang w:val="sk-SK"/>
        </w:rPr>
        <w:t xml:space="preserve"> – </w:t>
      </w:r>
      <w:proofErr w:type="spellStart"/>
      <w:r w:rsidRPr="00C94222">
        <w:rPr>
          <w:sz w:val="24"/>
          <w:lang w:val="sk-SK"/>
        </w:rPr>
        <w:t>Final</w:t>
      </w:r>
      <w:proofErr w:type="spellEnd"/>
      <w:r w:rsidRPr="00C94222">
        <w:rPr>
          <w:sz w:val="24"/>
          <w:lang w:val="sk-SK"/>
        </w:rPr>
        <w:t xml:space="preserve"> Report (dokument o zdaňovaní č. 61, 27. januára 2016), </w:t>
      </w:r>
      <w:proofErr w:type="spellStart"/>
      <w:r w:rsidRPr="00C94222">
        <w:rPr>
          <w:sz w:val="24"/>
          <w:lang w:val="sk-SK"/>
        </w:rPr>
        <w:t>The</w:t>
      </w:r>
      <w:proofErr w:type="spellEnd"/>
      <w:r w:rsidRPr="00C94222">
        <w:rPr>
          <w:sz w:val="24"/>
          <w:lang w:val="sk-SK"/>
        </w:rPr>
        <w:t xml:space="preserve"> </w:t>
      </w:r>
      <w:proofErr w:type="spellStart"/>
      <w:r w:rsidRPr="00C94222">
        <w:rPr>
          <w:sz w:val="24"/>
          <w:lang w:val="sk-SK"/>
        </w:rPr>
        <w:t>Impact</w:t>
      </w:r>
      <w:proofErr w:type="spellEnd"/>
      <w:r w:rsidRPr="00C94222">
        <w:rPr>
          <w:sz w:val="24"/>
          <w:lang w:val="sk-SK"/>
        </w:rPr>
        <w:t xml:space="preserve"> of </w:t>
      </w:r>
      <w:proofErr w:type="spellStart"/>
      <w:r w:rsidRPr="00C94222">
        <w:rPr>
          <w:sz w:val="24"/>
          <w:lang w:val="sk-SK"/>
        </w:rPr>
        <w:t>Tax</w:t>
      </w:r>
      <w:proofErr w:type="spellEnd"/>
      <w:r w:rsidRPr="00C94222">
        <w:rPr>
          <w:sz w:val="24"/>
          <w:lang w:val="sk-SK"/>
        </w:rPr>
        <w:t xml:space="preserve"> </w:t>
      </w:r>
      <w:proofErr w:type="spellStart"/>
      <w:r w:rsidRPr="00C94222">
        <w:rPr>
          <w:sz w:val="24"/>
          <w:lang w:val="sk-SK"/>
        </w:rPr>
        <w:t>Planning</w:t>
      </w:r>
      <w:proofErr w:type="spellEnd"/>
      <w:r w:rsidRPr="00C94222">
        <w:rPr>
          <w:sz w:val="24"/>
          <w:lang w:val="sk-SK"/>
        </w:rPr>
        <w:t xml:space="preserve"> on Forward-</w:t>
      </w:r>
      <w:proofErr w:type="spellStart"/>
      <w:r w:rsidRPr="00C94222">
        <w:rPr>
          <w:sz w:val="24"/>
          <w:lang w:val="sk-SK"/>
        </w:rPr>
        <w:t>Looking</w:t>
      </w:r>
      <w:proofErr w:type="spellEnd"/>
      <w:r w:rsidRPr="00C94222">
        <w:rPr>
          <w:sz w:val="24"/>
          <w:lang w:val="sk-SK"/>
        </w:rPr>
        <w:t xml:space="preserve"> </w:t>
      </w:r>
      <w:proofErr w:type="spellStart"/>
      <w:r w:rsidRPr="00C94222">
        <w:rPr>
          <w:sz w:val="24"/>
          <w:lang w:val="sk-SK"/>
        </w:rPr>
        <w:t>Effective</w:t>
      </w:r>
      <w:proofErr w:type="spellEnd"/>
      <w:r w:rsidRPr="00C94222">
        <w:rPr>
          <w:sz w:val="24"/>
          <w:lang w:val="sk-SK"/>
        </w:rPr>
        <w:t xml:space="preserve"> </w:t>
      </w:r>
      <w:proofErr w:type="spellStart"/>
      <w:r w:rsidRPr="00C94222">
        <w:rPr>
          <w:sz w:val="24"/>
          <w:lang w:val="sk-SK"/>
        </w:rPr>
        <w:t>Tax</w:t>
      </w:r>
      <w:proofErr w:type="spellEnd"/>
      <w:r w:rsidRPr="00C94222">
        <w:rPr>
          <w:sz w:val="24"/>
          <w:lang w:val="sk-SK"/>
        </w:rPr>
        <w:t xml:space="preserve"> </w:t>
      </w:r>
      <w:proofErr w:type="spellStart"/>
      <w:r w:rsidRPr="00C94222">
        <w:rPr>
          <w:sz w:val="24"/>
          <w:lang w:val="sk-SK"/>
        </w:rPr>
        <w:t>Rates</w:t>
      </w:r>
      <w:proofErr w:type="spellEnd"/>
      <w:r w:rsidRPr="00C94222">
        <w:rPr>
          <w:sz w:val="24"/>
          <w:lang w:val="sk-SK"/>
        </w:rPr>
        <w:t xml:space="preserve"> (dokument o zdaňovaní č. 64, 25. októbra 2016) a </w:t>
      </w:r>
      <w:proofErr w:type="spellStart"/>
      <w:r w:rsidRPr="00C94222">
        <w:rPr>
          <w:sz w:val="24"/>
          <w:lang w:val="sk-SK"/>
        </w:rPr>
        <w:t>Aggressive</w:t>
      </w:r>
      <w:proofErr w:type="spellEnd"/>
      <w:r w:rsidRPr="00C94222">
        <w:rPr>
          <w:sz w:val="24"/>
          <w:lang w:val="sk-SK"/>
        </w:rPr>
        <w:t xml:space="preserve"> </w:t>
      </w:r>
      <w:proofErr w:type="spellStart"/>
      <w:r w:rsidRPr="00C94222">
        <w:rPr>
          <w:sz w:val="24"/>
          <w:lang w:val="sk-SK"/>
        </w:rPr>
        <w:t>tax</w:t>
      </w:r>
      <w:proofErr w:type="spellEnd"/>
      <w:r w:rsidRPr="00C94222">
        <w:rPr>
          <w:sz w:val="24"/>
          <w:lang w:val="sk-SK"/>
        </w:rPr>
        <w:t xml:space="preserve"> </w:t>
      </w:r>
      <w:proofErr w:type="spellStart"/>
      <w:r w:rsidRPr="00C94222">
        <w:rPr>
          <w:sz w:val="24"/>
          <w:lang w:val="sk-SK"/>
        </w:rPr>
        <w:t>planning</w:t>
      </w:r>
      <w:proofErr w:type="spellEnd"/>
      <w:r w:rsidRPr="00C94222">
        <w:rPr>
          <w:sz w:val="24"/>
          <w:lang w:val="sk-SK"/>
        </w:rPr>
        <w:t xml:space="preserve"> </w:t>
      </w:r>
      <w:proofErr w:type="spellStart"/>
      <w:r w:rsidRPr="00C94222">
        <w:rPr>
          <w:sz w:val="24"/>
          <w:lang w:val="sk-SK"/>
        </w:rPr>
        <w:t>indicators</w:t>
      </w:r>
      <w:proofErr w:type="spellEnd"/>
      <w:r w:rsidRPr="00C94222">
        <w:rPr>
          <w:sz w:val="24"/>
          <w:lang w:val="sk-SK"/>
        </w:rPr>
        <w:t xml:space="preserve"> – </w:t>
      </w:r>
      <w:proofErr w:type="spellStart"/>
      <w:r w:rsidRPr="00C94222">
        <w:rPr>
          <w:sz w:val="24"/>
          <w:lang w:val="sk-SK"/>
        </w:rPr>
        <w:t>Final</w:t>
      </w:r>
      <w:proofErr w:type="spellEnd"/>
      <w:r w:rsidRPr="00C94222">
        <w:rPr>
          <w:sz w:val="24"/>
          <w:lang w:val="sk-SK"/>
        </w:rPr>
        <w:t xml:space="preserve"> Report (dokument o zdaňovaní č. 71, 7. marca 2018).</w:t>
      </w:r>
    </w:p>
  </w:footnote>
  <w:footnote w:id="27">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Európska komisia, </w:t>
      </w:r>
      <w:r w:rsidRPr="00C94222">
        <w:rPr>
          <w:i/>
          <w:sz w:val="24"/>
          <w:lang w:val="sk-SK"/>
        </w:rPr>
        <w:t xml:space="preserve">Posúdenie vplyvu pripojené k návrhu smernice Rady o stanovení pravidiel týkajúcich sa úľavy zvýhodňovania dlhu voči vlastnému imaniu a obmedzenia </w:t>
      </w:r>
      <w:proofErr w:type="spellStart"/>
      <w:r w:rsidRPr="00C94222">
        <w:rPr>
          <w:i/>
          <w:sz w:val="24"/>
          <w:lang w:val="sk-SK"/>
        </w:rPr>
        <w:t>odpočítateľnosti</w:t>
      </w:r>
      <w:proofErr w:type="spellEnd"/>
      <w:r w:rsidRPr="00C94222">
        <w:rPr>
          <w:i/>
          <w:sz w:val="24"/>
          <w:lang w:val="sk-SK"/>
        </w:rPr>
        <w:t xml:space="preserve"> úrokov na účely dane z príjmov právnických osôb</w:t>
      </w:r>
      <w:r w:rsidRPr="00C94222">
        <w:rPr>
          <w:sz w:val="24"/>
          <w:lang w:val="sk-SK"/>
        </w:rPr>
        <w:t xml:space="preserve">, (SWD(2022)0145). </w:t>
      </w:r>
    </w:p>
  </w:footnote>
  <w:footnote w:id="28">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OECD, </w:t>
      </w:r>
      <w:r w:rsidR="004A24BF">
        <w:fldChar w:fldCharType="begin"/>
      </w:r>
      <w:r w:rsidR="004A24BF" w:rsidRPr="004A24BF">
        <w:rPr>
          <w:lang w:val="sk-SK"/>
        </w:rPr>
        <w:instrText xml:space="preserve"> HYPERLINK "https://www.oecd.org/tax/aggressive/" </w:instrText>
      </w:r>
      <w:r w:rsidR="004A24BF">
        <w:fldChar w:fldCharType="separate"/>
      </w:r>
      <w:proofErr w:type="spellStart"/>
      <w:r w:rsidRPr="00C94222">
        <w:rPr>
          <w:rStyle w:val="Hyperlink"/>
          <w:sz w:val="24"/>
          <w:lang w:val="sk-SK"/>
        </w:rPr>
        <w:t>Aggressive</w:t>
      </w:r>
      <w:proofErr w:type="spellEnd"/>
      <w:r w:rsidRPr="00C94222">
        <w:rPr>
          <w:rStyle w:val="Hyperlink"/>
          <w:sz w:val="24"/>
          <w:lang w:val="sk-SK"/>
        </w:rPr>
        <w:t xml:space="preserve"> </w:t>
      </w:r>
      <w:proofErr w:type="spellStart"/>
      <w:r w:rsidRPr="00C94222">
        <w:rPr>
          <w:rStyle w:val="Hyperlink"/>
          <w:sz w:val="24"/>
          <w:lang w:val="sk-SK"/>
        </w:rPr>
        <w:t>Tax</w:t>
      </w:r>
      <w:proofErr w:type="spellEnd"/>
      <w:r w:rsidRPr="00C94222">
        <w:rPr>
          <w:rStyle w:val="Hyperlink"/>
          <w:sz w:val="24"/>
          <w:lang w:val="sk-SK"/>
        </w:rPr>
        <w:t xml:space="preserve"> </w:t>
      </w:r>
      <w:proofErr w:type="spellStart"/>
      <w:r w:rsidRPr="00C94222">
        <w:rPr>
          <w:rStyle w:val="Hyperlink"/>
          <w:sz w:val="24"/>
          <w:lang w:val="sk-SK"/>
        </w:rPr>
        <w:t>Planning</w:t>
      </w:r>
      <w:proofErr w:type="spellEnd"/>
      <w:r w:rsidR="004A24BF">
        <w:rPr>
          <w:rStyle w:val="Hyperlink"/>
          <w:sz w:val="24"/>
          <w:lang w:val="sk-SK"/>
        </w:rPr>
        <w:fldChar w:fldCharType="end"/>
      </w:r>
      <w:r w:rsidRPr="00C94222">
        <w:rPr>
          <w:sz w:val="24"/>
          <w:lang w:val="sk-SK"/>
        </w:rPr>
        <w:t xml:space="preserve"> (Agresívne daňové plánovanie).</w:t>
      </w:r>
    </w:p>
  </w:footnote>
  <w:footnote w:id="29">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Pozri najmä smernice o opatreniach proti vyhýbaniu sa daňovým povinnostiam (ATAD I a ATAD II), zmeny smernice o administratívnej spolupráci v oblasti daní (DAC 1 až DAC 7), revíziu smernice o materských a dcérskych spoločnostiach, smernicu EÚ o urovnávaní sporov, smernicu o podávaní správ podľa jednotlivých krajín alebo smernicu o druhom pilieri.</w:t>
      </w:r>
    </w:p>
  </w:footnote>
  <w:footnote w:id="30">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Prijaté texty, </w:t>
      </w:r>
      <w:r w:rsidR="004A24BF">
        <w:fldChar w:fldCharType="begin"/>
      </w:r>
      <w:r w:rsidR="004A24BF" w:rsidRPr="004A24BF">
        <w:rPr>
          <w:lang w:val="sk-SK"/>
        </w:rPr>
        <w:instrText xml:space="preserve"> HYPERLINK "https://www.europarl.europa.eu/doceo/document/TA-8-2018-0087_SK.html" </w:instrText>
      </w:r>
      <w:r w:rsidR="004A24BF">
        <w:fldChar w:fldCharType="separate"/>
      </w:r>
      <w:r w:rsidRPr="00C94222">
        <w:rPr>
          <w:rStyle w:val="Hyperlink"/>
          <w:sz w:val="24"/>
          <w:lang w:val="sk-SK"/>
        </w:rPr>
        <w:t>P8_TA(2018)0087</w:t>
      </w:r>
      <w:r w:rsidR="004A24BF">
        <w:rPr>
          <w:rStyle w:val="Hyperlink"/>
          <w:sz w:val="24"/>
          <w:lang w:val="sk-SK"/>
        </w:rPr>
        <w:fldChar w:fldCharType="end"/>
      </w:r>
      <w:r w:rsidRPr="00C94222">
        <w:rPr>
          <w:sz w:val="24"/>
          <w:lang w:val="sk-SK"/>
        </w:rPr>
        <w:t>.</w:t>
      </w:r>
    </w:p>
  </w:footnote>
  <w:footnote w:id="31">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004A24BF">
        <w:fldChar w:fldCharType="begin"/>
      </w:r>
      <w:r w:rsidR="004A24BF" w:rsidRPr="004A24BF">
        <w:rPr>
          <w:lang w:val="sk-SK"/>
        </w:rPr>
        <w:instrText xml:space="preserve"> HYPERLINK "https://eur-lex.europa.eu/legal-content/SK/TXT/?uri=uriserv%3AOJ.LI.2020.433.01.0028.01.ENG" </w:instrText>
      </w:r>
      <w:r w:rsidR="004A24BF">
        <w:fldChar w:fldCharType="separate"/>
      </w:r>
      <w:r w:rsidRPr="00C94222">
        <w:rPr>
          <w:rStyle w:val="Hyperlink"/>
          <w:sz w:val="24"/>
          <w:lang w:val="sk-SK"/>
        </w:rPr>
        <w:t>Ú. v. EÚ L 433</w:t>
      </w:r>
      <w:r w:rsidR="006024B0">
        <w:rPr>
          <w:rStyle w:val="Hyperlink"/>
          <w:sz w:val="24"/>
          <w:lang w:val="sk-SK"/>
        </w:rPr>
        <w:t xml:space="preserve"> </w:t>
      </w:r>
      <w:r w:rsidRPr="00C94222">
        <w:rPr>
          <w:rStyle w:val="Hyperlink"/>
          <w:sz w:val="24"/>
          <w:lang w:val="sk-SK"/>
        </w:rPr>
        <w:t>I, 22.12.2020, s. 28</w:t>
      </w:r>
      <w:r w:rsidR="004A24BF">
        <w:rPr>
          <w:rStyle w:val="Hyperlink"/>
          <w:sz w:val="24"/>
          <w:lang w:val="sk-SK"/>
        </w:rPr>
        <w:fldChar w:fldCharType="end"/>
      </w:r>
      <w:r w:rsidRPr="00C94222">
        <w:rPr>
          <w:sz w:val="24"/>
          <w:lang w:val="sk-SK"/>
        </w:rPr>
        <w:t>.</w:t>
      </w:r>
    </w:p>
  </w:footnote>
  <w:footnote w:id="32">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Prijaté texty, P9_TA(2023)0195.</w:t>
      </w:r>
    </w:p>
  </w:footnote>
  <w:footnote w:id="33">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 xml:space="preserve">Prijaté texty, </w:t>
      </w:r>
      <w:r w:rsidR="004A24BF">
        <w:fldChar w:fldCharType="begin"/>
      </w:r>
      <w:r w:rsidR="004A24BF" w:rsidRPr="004A24BF">
        <w:rPr>
          <w:lang w:val="sk-SK"/>
        </w:rPr>
        <w:instrText xml:space="preserve"> HYPERLINK "https://www.europarl.europa.eu/doceo/document/</w:instrText>
      </w:r>
      <w:r w:rsidR="004A24BF" w:rsidRPr="004A24BF">
        <w:rPr>
          <w:lang w:val="sk-SK"/>
        </w:rPr>
        <w:instrText xml:space="preserve">TA-9-2023-0004_SK.html" </w:instrText>
      </w:r>
      <w:r w:rsidR="004A24BF">
        <w:fldChar w:fldCharType="separate"/>
      </w:r>
      <w:r w:rsidRPr="00C94222">
        <w:rPr>
          <w:rStyle w:val="Hyperlink"/>
          <w:sz w:val="24"/>
          <w:lang w:val="sk-SK"/>
        </w:rPr>
        <w:t>P9_TA(2023)0004</w:t>
      </w:r>
      <w:r w:rsidR="004A24BF">
        <w:rPr>
          <w:rStyle w:val="Hyperlink"/>
          <w:sz w:val="24"/>
          <w:lang w:val="sk-SK"/>
        </w:rPr>
        <w:fldChar w:fldCharType="end"/>
      </w:r>
      <w:r w:rsidRPr="00C94222">
        <w:rPr>
          <w:sz w:val="24"/>
          <w:lang w:val="sk-SK"/>
        </w:rPr>
        <w:t>.</w:t>
      </w:r>
    </w:p>
  </w:footnote>
  <w:footnote w:id="34">
    <w:p w:rsidR="00797D71" w:rsidRPr="00C94222" w:rsidRDefault="00797D71" w:rsidP="00C94222">
      <w:pPr>
        <w:pStyle w:val="FootnoteText"/>
        <w:ind w:left="567" w:hanging="567"/>
        <w:rPr>
          <w:sz w:val="24"/>
          <w:lang w:val="sk-SK"/>
        </w:rPr>
      </w:pPr>
      <w:r w:rsidRPr="00C94222">
        <w:rPr>
          <w:rStyle w:val="FootnoteReference"/>
          <w:sz w:val="24"/>
          <w:lang w:val="sk-SK"/>
        </w:rPr>
        <w:footnoteRef/>
      </w:r>
      <w:r w:rsidR="00C94222" w:rsidRPr="00C94222">
        <w:rPr>
          <w:sz w:val="24"/>
          <w:lang w:val="sk-SK"/>
        </w:rPr>
        <w:t xml:space="preserve"> </w:t>
      </w:r>
      <w:r w:rsidR="00C94222" w:rsidRPr="00C94222">
        <w:rPr>
          <w:sz w:val="24"/>
          <w:lang w:val="sk-SK"/>
        </w:rPr>
        <w:tab/>
      </w:r>
      <w:r w:rsidRPr="00C94222">
        <w:rPr>
          <w:sz w:val="24"/>
          <w:lang w:val="sk-SK"/>
        </w:rPr>
        <w:t>Podvýbor pre daňové záležitosti, vypočutie na tému Úloha daňových stimulov a výnimiek v rámci reformy zdaňovania príjmov právnických osôb a podpory konkurencieschopnosti európskych hospodárstiev, 11. júla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2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SK"/>
    <w:docVar w:name="dvnumam" w:val="0"/>
    <w:docVar w:name="dvpe" w:val="736.738"/>
    <w:docVar w:name="dvrapporteur" w:val="Spravodajkyňa: "/>
    <w:docVar w:name="dvtitre" w:val="Uznesenie Európskeho parlamentu z xx. decembra 2023 o ďalšej reforme pravidiel zdaňovania príjmov právnických osôb(2022/2146(INI))"/>
  </w:docVars>
  <w:rsids>
    <w:rsidRoot w:val="005F5C19"/>
    <w:rsid w:val="00002272"/>
    <w:rsid w:val="0004725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4BF"/>
    <w:rsid w:val="004C0004"/>
    <w:rsid w:val="004C5D52"/>
    <w:rsid w:val="005001F9"/>
    <w:rsid w:val="0050519A"/>
    <w:rsid w:val="005072A1"/>
    <w:rsid w:val="00514517"/>
    <w:rsid w:val="00545827"/>
    <w:rsid w:val="00560270"/>
    <w:rsid w:val="005A0F6B"/>
    <w:rsid w:val="005C2568"/>
    <w:rsid w:val="005D7D6B"/>
    <w:rsid w:val="005F5C19"/>
    <w:rsid w:val="006024B0"/>
    <w:rsid w:val="006037C0"/>
    <w:rsid w:val="006631B6"/>
    <w:rsid w:val="00680577"/>
    <w:rsid w:val="006F74FA"/>
    <w:rsid w:val="00731ADD"/>
    <w:rsid w:val="00734777"/>
    <w:rsid w:val="00747932"/>
    <w:rsid w:val="00751A4A"/>
    <w:rsid w:val="00756632"/>
    <w:rsid w:val="00762C74"/>
    <w:rsid w:val="00786EC0"/>
    <w:rsid w:val="00797D71"/>
    <w:rsid w:val="007D1690"/>
    <w:rsid w:val="007E22AD"/>
    <w:rsid w:val="00817416"/>
    <w:rsid w:val="00827E0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36D"/>
    <w:rsid w:val="00BD48FE"/>
    <w:rsid w:val="00BD7BD8"/>
    <w:rsid w:val="00BE6ADC"/>
    <w:rsid w:val="00C05BFE"/>
    <w:rsid w:val="00C23CD4"/>
    <w:rsid w:val="00C61C0C"/>
    <w:rsid w:val="00C941CB"/>
    <w:rsid w:val="00C94222"/>
    <w:rsid w:val="00CC2357"/>
    <w:rsid w:val="00CF071A"/>
    <w:rsid w:val="00CF622E"/>
    <w:rsid w:val="00D058B8"/>
    <w:rsid w:val="00D230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3C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69E15"/>
  <w15:chartTrackingRefBased/>
  <w15:docId w15:val="{68A938DE-EB6E-4B10-A918-31831516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97D71"/>
    <w:rPr>
      <w:b/>
      <w:kern w:val="28"/>
      <w:sz w:val="28"/>
      <w:lang w:val="fr-FR" w:eastAsia="fr-FR"/>
    </w:rPr>
  </w:style>
  <w:style w:type="paragraph" w:customStyle="1" w:styleId="NormalHanging12a">
    <w:name w:val="NormalHanging12a"/>
    <w:basedOn w:val="Normal"/>
    <w:rsid w:val="00797D71"/>
    <w:pPr>
      <w:spacing w:after="240"/>
      <w:ind w:left="567" w:hanging="567"/>
    </w:pPr>
  </w:style>
  <w:style w:type="paragraph" w:customStyle="1" w:styleId="EPComma">
    <w:name w:val="EPComma"/>
    <w:basedOn w:val="Normal"/>
    <w:rsid w:val="00797D71"/>
    <w:pPr>
      <w:spacing w:before="480" w:after="240"/>
    </w:pPr>
  </w:style>
  <w:style w:type="character" w:customStyle="1" w:styleId="BoldItalic">
    <w:name w:val="BoldItalic"/>
    <w:basedOn w:val="DefaultParagraphFont"/>
    <w:uiPriority w:val="1"/>
    <w:qFormat/>
    <w:rsid w:val="00797D71"/>
    <w:rPr>
      <w:rFonts w:ascii="Times New Roman" w:hAnsi="Times New Roman" w:cs="Times New Roman" w:hint="default"/>
      <w:b/>
      <w:bCs w:val="0"/>
      <w:i/>
      <w:iCs w:val="0"/>
      <w:sz w:val="24"/>
    </w:rPr>
  </w:style>
  <w:style w:type="character" w:styleId="Hyperlink">
    <w:name w:val="Hyperlink"/>
    <w:basedOn w:val="DefaultParagraphFont"/>
    <w:uiPriority w:val="99"/>
    <w:rsid w:val="00797D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4A239-9F61-4026-BA01-A739D5E5B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6130</Words>
  <Characters>37533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2024-01-26T10:26:00Z</dcterms:created>
  <dcterms:modified xsi:type="dcterms:W3CDTF">2024-01-26T10:26:00Z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A9-0359/2023</vt:lpwstr>
  </property>
  <property fmtid="{D5CDD505-2E9C-101B-9397-08002B2CF9AE}" pid="4" name="&lt;Type&gt;">
    <vt:lpwstr>RR</vt:lpwstr>
  </property>
</Properties>
</file>