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66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6609" w:rsidRDefault="00617CDA" w:rsidP="0010095E">
            <w:pPr>
              <w:pStyle w:val="EPName"/>
            </w:pPr>
            <w:r w:rsidRPr="00566609">
              <w:t>Parlament Europejski</w:t>
            </w:r>
          </w:p>
          <w:p w:rsidR="00751A4A" w:rsidRPr="005666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66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66609" w:rsidRDefault="00187494" w:rsidP="0010095E">
            <w:pPr>
              <w:pStyle w:val="EPLogo"/>
            </w:pPr>
            <w:r w:rsidRPr="00566609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6609" w:rsidRDefault="00D058B8" w:rsidP="004C5D52">
      <w:pPr>
        <w:pStyle w:val="LineTop"/>
      </w:pPr>
    </w:p>
    <w:p w:rsidR="00680577" w:rsidRPr="00566609" w:rsidRDefault="00617CDA" w:rsidP="00680577">
      <w:pPr>
        <w:pStyle w:val="EPBodyTA1"/>
      </w:pPr>
      <w:r w:rsidRPr="00566609">
        <w:t>TEKSTY PRZYJĘTE</w:t>
      </w:r>
    </w:p>
    <w:p w:rsidR="00D058B8" w:rsidRPr="00566609" w:rsidRDefault="00D058B8" w:rsidP="00D058B8">
      <w:pPr>
        <w:pStyle w:val="LineBottom"/>
      </w:pPr>
    </w:p>
    <w:p w:rsidR="00617CDA" w:rsidRPr="00566609" w:rsidRDefault="00617CDA" w:rsidP="00617CDA">
      <w:pPr>
        <w:pStyle w:val="ATHeading1"/>
      </w:pPr>
      <w:bookmarkStart w:id="0" w:name="TANumber"/>
      <w:r w:rsidRPr="00566609">
        <w:t>P9_TA(2023)0</w:t>
      </w:r>
      <w:bookmarkEnd w:id="0"/>
      <w:r w:rsidR="00A62276">
        <w:t>461</w:t>
      </w:r>
    </w:p>
    <w:p w:rsidR="00617CDA" w:rsidRPr="00FA0B08" w:rsidRDefault="00FA0B08" w:rsidP="00FA0B08">
      <w:pPr>
        <w:pStyle w:val="ATHeading2"/>
      </w:pPr>
      <w:r w:rsidRPr="00FA0B08">
        <w:t>Przekszta</w:t>
      </w:r>
      <w:r w:rsidRPr="00FA0B08">
        <w:rPr>
          <w:rFonts w:hint="eastAsia"/>
        </w:rPr>
        <w:t>ł</w:t>
      </w:r>
      <w:r w:rsidRPr="00FA0B08">
        <w:t>cenie przysz</w:t>
      </w:r>
      <w:r w:rsidRPr="00FA0B08">
        <w:rPr>
          <w:rFonts w:hint="eastAsia"/>
        </w:rPr>
        <w:t>ł</w:t>
      </w:r>
      <w:r w:rsidRPr="00FA0B08">
        <w:t>ych ram funduszy strukturalnych UE w celu wsparcia region</w:t>
      </w:r>
      <w:r w:rsidRPr="00FA0B08">
        <w:rPr>
          <w:rFonts w:hint="eastAsia"/>
        </w:rPr>
        <w:t>ó</w:t>
      </w:r>
      <w:r w:rsidRPr="00FA0B08">
        <w:t>w szczeg</w:t>
      </w:r>
      <w:r w:rsidRPr="00FA0B08">
        <w:rPr>
          <w:rFonts w:hint="eastAsia"/>
        </w:rPr>
        <w:t>ó</w:t>
      </w:r>
      <w:r w:rsidRPr="00FA0B08">
        <w:t>lnie</w:t>
      </w:r>
      <w:r>
        <w:t xml:space="preserve"> </w:t>
      </w:r>
      <w:r w:rsidRPr="00FA0B08">
        <w:t>dotkni</w:t>
      </w:r>
      <w:r w:rsidRPr="00FA0B08">
        <w:rPr>
          <w:rFonts w:hint="eastAsia"/>
        </w:rPr>
        <w:t>ę</w:t>
      </w:r>
      <w:r w:rsidRPr="00FA0B08">
        <w:t>tych problemami zwi</w:t>
      </w:r>
      <w:r w:rsidRPr="00FA0B08">
        <w:rPr>
          <w:rFonts w:hint="eastAsia"/>
        </w:rPr>
        <w:t>ą</w:t>
      </w:r>
      <w:r w:rsidRPr="00FA0B08">
        <w:t>zanymi z transformacj</w:t>
      </w:r>
      <w:r w:rsidRPr="00FA0B08">
        <w:rPr>
          <w:rFonts w:hint="eastAsia"/>
        </w:rPr>
        <w:t>ą</w:t>
      </w:r>
      <w:r w:rsidRPr="00FA0B08">
        <w:t xml:space="preserve"> motoryzacyjn</w:t>
      </w:r>
      <w:r w:rsidRPr="00FA0B08">
        <w:rPr>
          <w:rFonts w:hint="eastAsia"/>
        </w:rPr>
        <w:t>ą</w:t>
      </w:r>
      <w:r w:rsidRPr="00FA0B08">
        <w:t>, ekologiczn</w:t>
      </w:r>
      <w:r w:rsidRPr="00FA0B08">
        <w:rPr>
          <w:rFonts w:hint="eastAsia"/>
        </w:rPr>
        <w:t>ą</w:t>
      </w:r>
      <w:r w:rsidRPr="00FA0B08">
        <w:t xml:space="preserve"> i cyfrow</w:t>
      </w:r>
      <w:r w:rsidRPr="00FA0B08">
        <w:rPr>
          <w:rFonts w:hint="eastAsia"/>
        </w:rPr>
        <w:t>ą</w:t>
      </w:r>
    </w:p>
    <w:p w:rsidR="00617CDA" w:rsidRPr="00566609" w:rsidRDefault="00617CDA" w:rsidP="00617CDA">
      <w:pPr>
        <w:rPr>
          <w:i/>
          <w:vanish/>
        </w:rPr>
      </w:pPr>
      <w:r w:rsidRPr="00566609">
        <w:rPr>
          <w:i/>
        </w:rPr>
        <w:fldChar w:fldCharType="begin"/>
      </w:r>
      <w:r w:rsidRPr="00566609">
        <w:rPr>
          <w:i/>
        </w:rPr>
        <w:instrText xml:space="preserve"> TC"(</w:instrText>
      </w:r>
      <w:bookmarkStart w:id="1" w:name="DocNumber"/>
      <w:r w:rsidRPr="00566609">
        <w:rPr>
          <w:i/>
        </w:rPr>
        <w:instrText>A9-0326/2023</w:instrText>
      </w:r>
      <w:bookmarkEnd w:id="1"/>
      <w:r w:rsidRPr="00566609">
        <w:rPr>
          <w:i/>
        </w:rPr>
        <w:instrText xml:space="preserve"> - Sprawozdawca: Susana Solís Pérez)"\l3 \n&gt; \* MERGEFORMAT </w:instrText>
      </w:r>
      <w:r w:rsidRPr="00566609">
        <w:rPr>
          <w:i/>
        </w:rPr>
        <w:fldChar w:fldCharType="end"/>
      </w:r>
    </w:p>
    <w:p w:rsidR="00617CDA" w:rsidRPr="00566609" w:rsidRDefault="00617CDA" w:rsidP="00617CDA">
      <w:pPr>
        <w:rPr>
          <w:vanish/>
        </w:rPr>
      </w:pPr>
      <w:bookmarkStart w:id="2" w:name="Commission"/>
      <w:r w:rsidRPr="00566609">
        <w:rPr>
          <w:vanish/>
        </w:rPr>
        <w:t>Komisja Rozwoju Regionalnego</w:t>
      </w:r>
      <w:bookmarkEnd w:id="2"/>
    </w:p>
    <w:p w:rsidR="00617CDA" w:rsidRPr="00566609" w:rsidRDefault="00617CDA" w:rsidP="00617CDA">
      <w:pPr>
        <w:rPr>
          <w:vanish/>
        </w:rPr>
      </w:pPr>
      <w:bookmarkStart w:id="3" w:name="PE"/>
      <w:r w:rsidRPr="00566609">
        <w:rPr>
          <w:vanish/>
        </w:rPr>
        <w:t>PE748.970</w:t>
      </w:r>
      <w:bookmarkEnd w:id="3"/>
    </w:p>
    <w:p w:rsidR="00617CDA" w:rsidRPr="00566609" w:rsidRDefault="00617CDA" w:rsidP="00617CDA">
      <w:pPr>
        <w:pStyle w:val="ATHeading3"/>
      </w:pPr>
      <w:bookmarkStart w:id="4" w:name="Sujet"/>
      <w:r w:rsidRPr="00566609">
        <w:t xml:space="preserve">Rezolucja Parlamentu Europejskiego z dnia </w:t>
      </w:r>
      <w:r w:rsidR="00FA0B08">
        <w:t>12 grudnia</w:t>
      </w:r>
      <w:r w:rsidRPr="00566609">
        <w:t xml:space="preserve"> 2023 r. w sprawie przekształcenia przyszłych ram funduszy strukturalnych UE w celu wsparcia regionów szczególnie dotkniętych problemami związanymi z transformacją motoryzacyjną, ekologiczną i cyfrową</w:t>
      </w:r>
      <w:bookmarkEnd w:id="4"/>
      <w:r w:rsidRPr="00566609">
        <w:t xml:space="preserve"> </w:t>
      </w:r>
      <w:bookmarkStart w:id="5" w:name="References"/>
      <w:r w:rsidRPr="00566609">
        <w:t>(2023/2061(INI))</w:t>
      </w:r>
      <w:bookmarkEnd w:id="5"/>
    </w:p>
    <w:p w:rsidR="00617CDA" w:rsidRPr="00566609" w:rsidRDefault="00617CDA" w:rsidP="00617CDA"/>
    <w:p w:rsidR="00C62B9E" w:rsidRPr="00566609" w:rsidRDefault="00C62B9E" w:rsidP="00C62B9E">
      <w:pPr>
        <w:pStyle w:val="EPComma"/>
      </w:pPr>
      <w:bookmarkStart w:id="6" w:name="TextBodyBegin"/>
      <w:bookmarkEnd w:id="6"/>
      <w:r w:rsidRPr="00566609">
        <w:rPr>
          <w:rStyle w:val="Italic"/>
        </w:rPr>
        <w:t>Parlament Europejski</w:t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art. 2 i 3 Traktatu o Unii Europejskiej,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art. 174–178 i 349 Traktatu o funkcjonowaniu Unii Europejskiej,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Pr="00566609">
        <w:rPr>
          <w:rStyle w:val="FootnoteReference"/>
        </w:rPr>
        <w:footnoteReference w:id="1"/>
      </w:r>
      <w:r w:rsidRPr="00566609">
        <w:t xml:space="preserve"> (rozporządzenie w sprawie wspólnych przepisów),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 Rady (UE) 2021/1058 z dnia 24 czerwca 2021 r. w sprawie Europejskiego Funduszu Rozwoju Regionalnego i Funduszu Spójności</w:t>
      </w:r>
      <w:r w:rsidRPr="00566609">
        <w:rPr>
          <w:rStyle w:val="FootnoteReference"/>
        </w:rPr>
        <w:footnoteReference w:id="2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 Rady (UE) 2021/1056 z dnia 24 czerwca 2021 r. ustanawiające Fundusz na rzecz Sprawiedliwej Transformacji</w:t>
      </w:r>
      <w:r w:rsidRPr="00566609">
        <w:rPr>
          <w:rStyle w:val="FootnoteReference"/>
        </w:rPr>
        <w:footnoteReference w:id="3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lastRenderedPageBreak/>
        <w:t>–</w:t>
      </w:r>
      <w:r w:rsidRPr="00566609">
        <w:tab/>
        <w:t>uwzględniając rozporządzenie Parlamentu Europejskiego i Rady (UE) 2021/1057 z dnia 24 czerwca 2021 r. ustanawiające Europejski Fundusz Społeczny Plus (EFS+) oraz uchylające rozporządzenie (UE) nr 1296/2013</w:t>
      </w:r>
      <w:r w:rsidRPr="00566609">
        <w:rPr>
          <w:rStyle w:val="FootnoteReference"/>
        </w:rPr>
        <w:footnoteReference w:id="4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 Rady (UE) 2020/460 z dnia 30 marca 2020 r. zmieniające rozporządzenie (UE) nr 1303/2013, rozporządzenie (UE) nr 1301/2013 oraz rozporządzenie (UE) nr 508/2014 w odniesieniu do szczególnych środków w celu uruchomienia inwestycji w systemach ochrony zdrowia państw członkowskich oraz w innych sektorach ich gospodarek w odpowiedzi na epidemię COVID-19 (Inicjatywa inwestycyjna w odpowiedzi na koronawirusa)</w:t>
      </w:r>
      <w:r w:rsidRPr="00566609">
        <w:rPr>
          <w:rStyle w:val="FootnoteReference"/>
        </w:rPr>
        <w:footnoteReference w:id="5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pakiet „Gotowi na 55” przyjęty przez Komisję 14 lipca 2021 r.,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 Rady (UE) 2021/1119 z 30 czerwca 2021 r. w sprawie ustanowienia ram na potrzeby osiągnięcia neutralności klimatycznej i zmiany rozporządzeń (WE) nr 401/2009 i (UE) 2018/1999 (Europejskie prawo o klimacie)</w:t>
      </w:r>
      <w:r w:rsidRPr="00566609">
        <w:rPr>
          <w:rStyle w:val="FootnoteReference"/>
        </w:rPr>
        <w:footnoteReference w:id="6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 Rady (UE) 2023/851 z dnia 19 kwietnia 2023 r. zmieniające rozporządzenie (UE) 2019/631 w odniesieniu do wzmocnienia norm emisji CO</w:t>
      </w:r>
      <w:r w:rsidRPr="00566609">
        <w:rPr>
          <w:vertAlign w:val="subscript"/>
        </w:rPr>
        <w:t>2</w:t>
      </w:r>
      <w:r w:rsidRPr="00566609">
        <w:t xml:space="preserve"> dla nowych samochodów osobowych i dla nowych lekkich pojazdów użytkowych zgodnie z ambitniejszymi celami klimatycznymi Unii</w:t>
      </w:r>
      <w:r w:rsidRPr="00566609">
        <w:rPr>
          <w:rStyle w:val="FootnoteReference"/>
        </w:rPr>
        <w:footnoteReference w:id="7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rozporządzenie Parlamentu Europejskiego i Rady (UE</w:t>
      </w:r>
      <w:proofErr w:type="gramStart"/>
      <w:r w:rsidRPr="00566609">
        <w:t>) 2023/435 z</w:t>
      </w:r>
      <w:proofErr w:type="gramEnd"/>
      <w:r w:rsidRPr="00566609">
        <w:t> dnia 27 lutego 2023 r. w sprawie zmiany rozporządzenia (UE) 2021/241 w odniesieniu do rozdziałów REPowerEU w planach odbudowy i zwiększania odporności oraz zmiany rozporządzeń (UE) nr 1303/2013, (UE) 2021/1060 i (UE) 2021/1755 oraz dyrektywy 2003/87/WE</w:t>
      </w:r>
      <w:r w:rsidRPr="00566609">
        <w:rPr>
          <w:rStyle w:val="FootnoteReference"/>
        </w:rPr>
        <w:footnoteReference w:id="8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wniosek Komisji dotyczący rozporządzenia zmieniającego rozporządzenie (UE) 2019/1242 w odniesieniu do wzmocnienia norm emisji CO</w:t>
      </w:r>
      <w:r w:rsidRPr="00566609">
        <w:rPr>
          <w:vertAlign w:val="subscript"/>
        </w:rPr>
        <w:t>2</w:t>
      </w:r>
      <w:r w:rsidRPr="00566609">
        <w:t xml:space="preserve"> dla nowych pojazdów ciężkich oraz włączenia obowiązków sprawozdawczych, a także uchylającego rozporządzenie (UE) 2018/956 (COM(2023)0088),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 xml:space="preserve">uwzględniając wniosek Komisji dotyczący rozporządzenia w sprawie homologacji typu pojazdów silnikowych i silników oraz układów, komponentów i oddzielnych zespołów technicznych przeznaczonych do tych pojazdów w odniesieniu do emisji i trwałości akumulatorów (Euro 7) </w:t>
      </w:r>
      <w:r w:rsidR="00425F89" w:rsidRPr="00425F89">
        <w:t>oraz uchylenia rozporządzeń (WE) nr 715/2007 i (WE) nr 595/2009</w:t>
      </w:r>
      <w:bookmarkStart w:id="7" w:name="_GoBack"/>
      <w:r w:rsidR="00425F89" w:rsidRPr="00425F89">
        <w:t xml:space="preserve"> </w:t>
      </w:r>
      <w:bookmarkEnd w:id="7"/>
      <w:r w:rsidRPr="00566609">
        <w:t>(COM(2022)0586),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 xml:space="preserve">uwzględniając wniosek Komisji dotyczący rozporządzenia ustanawiającego ramy służące zapewnieniu bezpiecznych i zrównoważonych dostaw surowców krytycznych oraz zmieniającego rozporządzenia (UE) </w:t>
      </w:r>
      <w:r w:rsidR="00135B57">
        <w:t xml:space="preserve">nr </w:t>
      </w:r>
      <w:r w:rsidRPr="00566609">
        <w:t xml:space="preserve">168/2013, (UE) 2018/858, </w:t>
      </w:r>
      <w:r w:rsidR="00135B57">
        <w:t xml:space="preserve">(UE) </w:t>
      </w:r>
      <w:r w:rsidRPr="00566609">
        <w:t>2018/1724 i (UE) 2019/1020 (COM(2023)0160),</w:t>
      </w:r>
    </w:p>
    <w:p w:rsidR="00C62B9E" w:rsidRPr="00566609" w:rsidRDefault="00C62B9E" w:rsidP="00C62B9E">
      <w:pPr>
        <w:pStyle w:val="NormalHanging12a"/>
      </w:pPr>
      <w:r w:rsidRPr="00566609">
        <w:lastRenderedPageBreak/>
        <w:t>–</w:t>
      </w:r>
      <w:r w:rsidRPr="00566609">
        <w:tab/>
        <w:t>uwzględniając komunikat Komisji z 1 lutego 2023 r. zatytułowany „Plan przemysłowy Zielonego Ładu na miarę epoki neutralności emisyjnej” (COM(2023)0062),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sprawozdanie Komisji z dnia 30 stycznia 2023 r. pt. „Europejskie fundusze strukturalne i inwestycyjne Sprawozdanie za 2022 r. podsumowujące roczne sprawozdania z wdrażania programów, obejmujące ich realizację w latach 2014–2020” (COM(2023)0039),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 xml:space="preserve">uwzględniając komunikat Komisji Europejskiej z 4 lutego 2022 r. dotyczący 8. </w:t>
      </w:r>
      <w:proofErr w:type="gramStart"/>
      <w:r w:rsidRPr="00566609">
        <w:t>sprawozdania</w:t>
      </w:r>
      <w:proofErr w:type="gramEnd"/>
      <w:r w:rsidRPr="00566609">
        <w:t xml:space="preserve"> na temat spójności: Spójność w Europie do 2050 r. (COM(2022)0034),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Rocznik regionalny Eurostatu – wydanie z 2022 r.,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komunikat Komisji zatytułowany „Śródokresowa rewizja wieloletnich ram finansowych 2021 – 2027”, (COM(2023)0336),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opracowany przez Komisję indeks gospodarki cyfrowej i społeczeństwa cyfrowego (DESI) na 2022 r.,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dokument roboczy służb Komisji w sprawie terytorialnych planów sprawiedliwej transformacji (SWD(2021)0275),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sprawozdanie OECD z lutego 2023 r. zatytułowane „Regionalna transformacja przemysłowa w kierunku neutralności klimatycznej”</w:t>
      </w:r>
      <w:r w:rsidRPr="00566609">
        <w:rPr>
          <w:rStyle w:val="FootnoteReference"/>
        </w:rPr>
        <w:footnoteReference w:id="9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opinię Europejskiego Komitetu Regionów z 13 lipca 2022 r. zatytułowaną „W kierunku bezemisyjnego transportu drogowego: rozwój infrastruktury paliw alternatywnych i wzmocnienie norm emisji CO</w:t>
      </w:r>
      <w:r w:rsidRPr="00566609">
        <w:rPr>
          <w:rStyle w:val="Sub"/>
        </w:rPr>
        <w:t>2</w:t>
      </w:r>
      <w:r w:rsidRPr="00566609">
        <w:t>”</w:t>
      </w:r>
      <w:r w:rsidRPr="00566609">
        <w:rPr>
          <w:rStyle w:val="FootnoteReference"/>
        </w:rPr>
        <w:footnoteReference w:id="10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opinię Europejskiego Komitetu Regionów z dnia 12 października 2022 r. w sprawie sprawiedliwej i zrównoważonej transformacji w regionach górniczych i wysokoemisyjnych</w:t>
      </w:r>
      <w:r w:rsidRPr="00566609">
        <w:rPr>
          <w:rStyle w:val="FootnoteReference"/>
        </w:rPr>
        <w:footnoteReference w:id="11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opinię Europejskiego Komitetu Regionów z dnia 12 października 2022 r. w sprawie spójności cyfrowej</w:t>
      </w:r>
      <w:r w:rsidRPr="00566609">
        <w:rPr>
          <w:rStyle w:val="FootnoteReference"/>
        </w:rPr>
        <w:footnoteReference w:id="12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opinię Europejskiego Komitetu Regionów z dnia 10 października 2023 r. zatytułowaną „Sprawiedliwa i zrównoważona transformacja w regionach związanych z przemysłem motoryzacyjnym”</w:t>
      </w:r>
      <w:r w:rsidRPr="00566609">
        <w:rPr>
          <w:rStyle w:val="FootnoteReference"/>
        </w:rPr>
        <w:footnoteReference w:id="13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roczne sprawozdanie UE na temat stanu regionów i miast, opublikowane przez Europejski Komitet Regionów 11 października 2022 r.,</w:t>
      </w:r>
    </w:p>
    <w:p w:rsidR="00C62B9E" w:rsidRPr="00566609" w:rsidRDefault="00C62B9E" w:rsidP="00C62B9E">
      <w:pPr>
        <w:pStyle w:val="NormalHanging12a"/>
      </w:pPr>
      <w:r w:rsidRPr="00566609">
        <w:lastRenderedPageBreak/>
        <w:t>–</w:t>
      </w:r>
      <w:r w:rsidRPr="00566609">
        <w:tab/>
        <w:t>uwzględniając swoją rezolucję z dnia 15 września 2022 r. w sprawie spójności gospodarczej, społecznej i terytorialnej w UE: ósme sprawozdanie w sprawie spójności</w:t>
      </w:r>
      <w:r w:rsidRPr="00566609">
        <w:rPr>
          <w:rStyle w:val="FootnoteReference"/>
        </w:rPr>
        <w:footnoteReference w:id="14"/>
      </w:r>
      <w:r w:rsidRPr="00566609">
        <w:t>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badanie pt. „Cohesion Policy in EU Coal Regions” [Polityka spójności a zmiana klimatu], opublikowane przez Dyrekcję Generalną ds. Polityki Wewnętrznej 31 stycznia 2023 r.,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badanie pt. „The Future of the EU Automotive Sector” [Przyszłość unijnego sektora motoryzacyjnego], opublikowane przez Dyrekcję Generalną ds. Polityki Wewnętrznej 30 września 2021 r.,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badanie pt. „A Just Transition Fund – How the EU budget can best assessment in the necessary transition from fossil fuel to sustainable energy” [Fundusz na rzecz Sprawiedliwej Transformacji – jak budżet UE może najlepiej pomóc w niezbędnym przejściu od paliw kopalnych do zrównoważonej energii” opublikowane przez Dyrekcję Generalną ds. Polityki Wewnętrznej 15 kwietnia 2020 r.,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art. 54 Regulaminu,</w:t>
      </w:r>
    </w:p>
    <w:p w:rsidR="00C62B9E" w:rsidRPr="00566609" w:rsidRDefault="00C62B9E" w:rsidP="00C62B9E">
      <w:pPr>
        <w:pStyle w:val="NormalHanging12a"/>
      </w:pPr>
      <w:r w:rsidRPr="00566609">
        <w:t>–</w:t>
      </w:r>
      <w:r w:rsidRPr="00566609">
        <w:tab/>
        <w:t>uwzględniając sprawozdanie Komisji Rozwoju Regionalnego (A9-0326/2023),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A.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transformacja ekologiczna i cyfrowa, w tym dywersyfikacja dostaw energii i surowców, a także rozwój technologii stwarzają nowe wyzwania, ale także nowe możliwości dla spójności gospodarczej, społecznej i terytorialnej Unii Europejskiej;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B.</w:t>
      </w:r>
      <w:r w:rsidRPr="00566609">
        <w:tab/>
        <w:t>mając na uwadze, że strategie polityczne UE związane z klimatem mogą przyczynić się do rozwoju gospodarczego i społecznego Unii i że powinny im towarzyszyć kompleksowe oceny oddziaływania terytorialnego pozwalające określić ich potencjalny wpływ na regiony w okresie transformacji, tak aby promować odporność, pozytywną konwergencję społeczną, sprawiedliwość społeczną, zrównoważony rozwój i spójność, przeciwdziałać negatywnym skutkom dystrybucyjnym i zmniejszać nierówności poprzez udzielanie ukierunkowanego wsparcia ludziom i sektorom oraz wdrażanie dostosowanych strategii;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C.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Fundusz na rzecz Sprawiedliwej Transformacji opracowano specjalnie w celu zapewnienia, aby nikt nie został pominięty w miarę postępów UE na drodze do neutralności klimatycznej; mając na uwadze, że obejmuje to udzielanie ukierunkowanego wsparcia regionom najbardziej dotkniętym transformacją, aby uniknąć wzrostu nierówności regionalnych w Unii;</w:t>
      </w:r>
    </w:p>
    <w:p w:rsidR="00C62B9E" w:rsidRPr="00566609" w:rsidRDefault="00C62B9E" w:rsidP="00C62B9E">
      <w:pPr>
        <w:pStyle w:val="NormalHanging12a"/>
      </w:pPr>
      <w:r w:rsidRPr="00566609">
        <w:t>D.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polityka spójności w latach 2014–2020 utorowała już drogę do transformacji regionów górniczych przez włączenie do swoich programów wielu celów szczegółowych i istotnych z punktu widzenia transformacji, a w końcu również przez inwestowanie znacznych środków w powiązane dziedziny; mając na uwadze, że inne regiony dotknięte transformacją również potrzebują takiego samego poziomu wsparcia, aby ograniczyć negatywne skutki gospodarcze procesu głębokiej transformacji, któremu podlegają;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lastRenderedPageBreak/>
        <w:t>E.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istnieją znaczne różnice między cechami społeczno-ekonomicznymi i demograficznymi poszczególnych regionów UE oraz mając na uwadze, że stoją one przed różnymi wyzwaniami, co oznacza, że nie istnieje uniwersalne rozwiązanie dla wszystkich potrzeb terytorialnych i społeczno-gospodarczych; mając na uwadze, że europejskie fundusze strukturalne i inwestycyjne (EFSI) mogą stać się lepszym instrumentem UE służącym łagodzeniu wszelkich negatywnych skutków dwojakiej transformacji – ekologicznej i cyfrowej, w tym w regionach borykających się z fundamentalnymi przemianami w sektorze motoryzacyjnym lub powiązanych branżach i usługach;</w:t>
      </w:r>
    </w:p>
    <w:p w:rsidR="00C62B9E" w:rsidRPr="00566609" w:rsidRDefault="00C62B9E" w:rsidP="00C62B9E">
      <w:pPr>
        <w:pStyle w:val="NormalHanging12a"/>
      </w:pPr>
      <w:r w:rsidRPr="00566609">
        <w:t>F.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choć łączne wykorzystanie zasobów budżetowych UE z wieloletnich ram finansowych (WRF) i z Instrumentu na rzecz Odbudowy i Zwiększania Odporności umożliwia wdrażanie ambitnych reform i duże inwestycje, stworzyło to również poważne trudności dla regionów i władz lokalnych pod względem fragmentacji polityki, zdolności administracyjnych i złożoności planowania i wdrażania funduszy zaprogramowanych na lata 2021–2027; mając na uwadze, że należy przyspieszyć absorpcję funduszy z polityki spójności i realizację projektów lokalnych;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G.</w:t>
      </w:r>
      <w:r w:rsidRPr="00566609">
        <w:tab/>
        <w:t>mając na uwadze, że transport drogowy ma największy udział w całkowitych emisjach z transportu; mając na uwadze, że w miarę postępu dwojakiej transformacji – ekologicznej i cyfrowej – mogą one stanowić wyzwanie dla tego sektora; mając na uwadze, że aby podtrzymać konkurencyjność gospodarki UE oraz chronić produkcję i miejsca pracy w Europie, trzeba monitorować wpływ polityki UE na kluczowe sektory oraz dysponować narzędziami umożliwiającymi reagowanie na czas na nowe wyzwania związane z transformacją ekologiczną i cyfrową;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H.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przemysł motoryzacyjny przechodzi obecnie poważną transformację ze względu na zmiany w systemie transportowym spowodowane pojawieniem się alternatywnych i przyjaznych dla środowiska rodzajów transportu oraz wdrażaniem technologii bezemisyjnych i niskoemisyjnych, cyfryzacji i automatyzacji;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I.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w związku z tym przemysł motoryzacyjny powinien stać się częścią szerszej „transformacji w zakresie mobilności”, która zmieni modele biznesowe i łańcuchy wartości w tym sektorze oraz pociągnie za sobą istotne zmiany w zatrudnieniu i zmiany społeczne o różnych wzorcach w poszczególnych państwach członkowskich i regionach; mając na uwadze, że potrzebne są znaczne inwestycje we wszystkich obszarach łańcucha wartości, w tym w przemyśle wytwórczym, w celu dostosowania sektora do nowych norm emisji CO</w:t>
      </w:r>
      <w:r w:rsidRPr="00566609">
        <w:rPr>
          <w:vertAlign w:val="subscript"/>
        </w:rPr>
        <w:t>2</w:t>
      </w:r>
      <w:r w:rsidRPr="00566609">
        <w:t xml:space="preserve"> oraz stopniowego wycofywania pojazdów emitujących CO</w:t>
      </w:r>
      <w:r w:rsidRPr="00566609">
        <w:rPr>
          <w:vertAlign w:val="subscript"/>
        </w:rPr>
        <w:t>2</w:t>
      </w:r>
      <w:r w:rsidRPr="00566609">
        <w:t xml:space="preserve"> z UE;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J.</w:t>
      </w:r>
      <w:r w:rsidRPr="00566609">
        <w:tab/>
        <w:t xml:space="preserve">mając na uwadze, że UE jest jednym z największych na świecie producentów pojazdów silnikowych, a przemysł motoryzacyjny jest jednym z głównych europejskich gałęzi przemysłu o obrotach przekraczających 7 % produktu krajowego brutto (PKB) UE, który w niektórych regionach stanowi do 25 % regionalnego PKB, a tym samym sektor ten stał się największym inwestorem prywatnym w dziedzinie badań i rozwoju w UE; 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K.</w:t>
      </w:r>
      <w:r w:rsidRPr="00566609">
        <w:tab/>
        <w:t xml:space="preserve">mając na uwadze, że europejski sektor motoryzacyjny pozostaje siłą napędową zatrudnienia w przemyśle, ponieważ odpowiada za ponad 6 % całkowitego zatrudnienia w Europie, zapewniając bezpośrednie i pośrednie miejsca pracy 13,8 mln Europejczyków i 8,5 % miejsc pracy w europejskim przemyśle wytwórczym; 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lastRenderedPageBreak/>
        <w:t>L.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sektor motoryzacyjny obejmuje około 3000 przedsiębiorstw, z czego 2500 to małe i średnie przedsiębiorstwa (MŚP), które są niezależnymi dostawcami dla producentów samochodów i napotykają dodatkowe przeszkody w transformacji ekologicznej i cyfrowej; mając na uwadze, że aby sprostać tym wyzwaniom, regiony i przemysł motoryzacyjny muszą znacznie inwestować w technologie, badania i rozwój, a także w restrukturyzację łańcuchów dostaw, szkolenie pracowników i dostosowanie do nowych modeli biznesowych; 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M.</w:t>
      </w:r>
      <w:r w:rsidRPr="00566609">
        <w:tab/>
        <w:t>mając jednak na uwadze, że przyszły potencjał UE w zakresie wartości dodanej w sektorze motoryzacyjnym jest ograniczony z powodu dużej zależności UE od importu z zagranicy w kluczowych sektorach pomocniczych i surowców potrzebnych do produkcji samochodów przyszłości, a także z powodu braku silnego sektora ICT i dużych europejskich firm cyfrowych, które tworzyłyby wartość dzięki dostępowi do danych, ekosystemom cyfrowym i technologiom łączności;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N.</w:t>
      </w:r>
      <w:r w:rsidRPr="00566609">
        <w:tab/>
        <w:t>mając na uwadze, że finansowanie w ramach polityki spójności oferuje możliwości inwestowania w bardziej ekologiczną Europę oraz wspierania regionów i sektorów w okresie transformacji; mając na uwadze, że obecne ramy regulacyjne nie przewidują specjalnych środków wsparcia ani finansowania dla regionów europejskich, których PKB jest w dużej mierze generowany przez sektor motoryzacyjny, co skłania państwa członkowskie do stosowania w tym sektorze różnych strategii pomocy państwa, które mają wpływ na spójność terytorialną UE;</w:t>
      </w:r>
    </w:p>
    <w:p w:rsidR="00C62B9E" w:rsidRPr="00566609" w:rsidRDefault="00C62B9E" w:rsidP="00C62B9E">
      <w:pPr>
        <w:pStyle w:val="NormalHanging12a"/>
      </w:pPr>
      <w:r w:rsidRPr="00566609">
        <w:t>O.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same tylko samochody osobowe i dostawcze odpowiadają za 15 % całkowitych emisji gazów cieplarnianych w Europie, a transport jest jedynym sektorem, w którym poziomy emisji gazów cieplarnianych nie zmniejszyły się w porównaniu z poziomami z 1990 r.;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P.</w:t>
      </w:r>
      <w:r w:rsidRPr="00566609">
        <w:tab/>
        <w:t xml:space="preserve">mając na uwadze, że szybkie wdrożenie rozporządzenia w sprawie rozwoju infrastruktury paliw alternatywnych powinno zapewnić wykonalność przejścia na niskoemisyjne systemy transportowe; mając na uwadze, że istnieją znaczne różnice między krajami i regionami pod względem gotowości do przejścia na transport zdekarbonizowany; mając na uwadze, że udział samochodów osobowych starszych niż 20 lat waha się od ponad 40 % w Polsce do mniej niż 5 % w Luksemburgu, a udział nowo zarejestrowanych pojazdów elektrycznych wynosi od 46 % w Szwecji do 1 % w Republice Czeskiej i na Słowacji; mając na uwadze, że podobne różnice występują pod względem liczby stacji ładowania pojazdów elektrycznych, na przykład liczba punktów ładowania w Niderlandach </w:t>
      </w:r>
      <w:proofErr w:type="gramStart"/>
      <w:r w:rsidRPr="00566609">
        <w:t>jest</w:t>
      </w:r>
      <w:proofErr w:type="gramEnd"/>
      <w:r w:rsidRPr="00566609">
        <w:t xml:space="preserve"> prawie 1600 razy wyższa niż na Cyprze; </w:t>
      </w:r>
    </w:p>
    <w:p w:rsidR="00C62B9E" w:rsidRPr="00566609" w:rsidRDefault="00C62B9E" w:rsidP="00C62B9E">
      <w:pPr>
        <w:pStyle w:val="NormalHanging12a"/>
      </w:pPr>
      <w:r w:rsidRPr="00566609">
        <w:t>Q.</w:t>
      </w:r>
      <w:r w:rsidRPr="00566609">
        <w:tab/>
      </w:r>
      <w:proofErr w:type="gramStart"/>
      <w:r w:rsidRPr="00566609">
        <w:t>mając</w:t>
      </w:r>
      <w:proofErr w:type="gramEnd"/>
      <w:r w:rsidRPr="00566609">
        <w:t xml:space="preserve"> na uwadze, że polityka UE nie może być ślepa na różnice terytorialne, ponieważ musi unikać pogłębiania się determinowanego geograficznie niezadowolenia oraz uzyskać akceptację przemysłu, samorządów lokalnych i ludności dla głównych wspólnych celów w zakresie dekarbonizacji gospodarki; mając na uwadze, że zasadnicze znaczenie ma dostosowanie polityki do indywidualnej sytuacji regionów poprzemysłowych, tak aby stały się one znowu atrakcyjne, zwłaszcza biorąc pod uwagę, że w regionach tych silnie odczuwalna jest tendencja do wyludniania się, drenażu mózgów i stagnacji gospodarczej; mając na uwadze, że skuteczne strategie mające na celu zwiększenie atrakcyjności regionów poprzemysłowych obejmują poprawę jakości życia, inwestowanie w edukację, zdrowie, infrastrukturę </w:t>
      </w:r>
      <w:proofErr w:type="gramStart"/>
      <w:r w:rsidRPr="00566609">
        <w:t>i</w:t>
      </w:r>
      <w:proofErr w:type="gramEnd"/>
      <w:r w:rsidRPr="00566609">
        <w:t xml:space="preserve"> lokalne przedsiębiorstwa, ułatwianie dostępu do przystępnych cenowo mieszkań oraz </w:t>
      </w:r>
      <w:r w:rsidRPr="00566609">
        <w:lastRenderedPageBreak/>
        <w:t>zachęcanie młodych specjalistów i rodzin do pozostania na tych obszarach lub do przeprowadzenia się na nie;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R.</w:t>
      </w:r>
      <w:r w:rsidRPr="00566609">
        <w:tab/>
        <w:t>mając na uwadze, że pomimo obecnej zależności UE od importu surowców z zagranicy sektor motoryzacyjny jest najbardziej zintegrowanym ekosystemem w wewnątrzunijnych łańcuchach wartości, ponieważ ponad 45 % jego produkcji zależy od transgranicznych łańcuchów wartości; mając na uwadze, że te wewnątrzunijne łańcuchy wartości skupiają producentów pojazdów, dostawców samochodów, producentów akumulatorów silnikowych, sprzętu elektrycznego i opon, dostawców surowców i dostawców usług obsługi pojazdów; mając na uwadze, że te łańcuchy wartości stanowią w sposób naturalny podstawę wzajemnej zależności i współpracy między regionami;</w:t>
      </w:r>
    </w:p>
    <w:p w:rsidR="00C62B9E" w:rsidRPr="00566609" w:rsidRDefault="00C62B9E" w:rsidP="00C62B9E">
      <w:pPr>
        <w:pStyle w:val="NormalHanging12a"/>
      </w:pPr>
      <w:r w:rsidRPr="00566609">
        <w:t>S.</w:t>
      </w:r>
      <w:r w:rsidRPr="00566609">
        <w:tab/>
        <w:t>mając na uwadze, że cel UE polegający na inwestowaniu 3 % unijnego PKB w badania i rozwój nie został jeszcze osiągnięty;</w:t>
      </w:r>
    </w:p>
    <w:p w:rsidR="00C62B9E" w:rsidRPr="00566609" w:rsidRDefault="00C62B9E" w:rsidP="00C62B9E">
      <w:pPr>
        <w:pStyle w:val="NormalHanging12a"/>
      </w:pPr>
      <w:r w:rsidRPr="00566609">
        <w:rPr>
          <w:rStyle w:val="BoldItalic"/>
        </w:rPr>
        <w:t>Przekształcenie przyszłych ram dla funduszy strukturalnych i inwestycyjnych UE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1.</w:t>
      </w:r>
      <w:r w:rsidRPr="00566609">
        <w:tab/>
      </w:r>
      <w:proofErr w:type="gramStart"/>
      <w:r w:rsidRPr="00566609">
        <w:t>potwierdza</w:t>
      </w:r>
      <w:proofErr w:type="gramEnd"/>
      <w:r w:rsidRPr="00566609">
        <w:t>, że polityka spójności nie powinna rekompensować ograniczeń budżetowych ani podlegać cięciom spowodowanym kryzysami oraz że jako długoterminowa strategia inwestycyjna powinna przygotować regiony do radzenia sobie z transformacją przemysłową, technologiczną, ekologiczną, energetyczną, cyfrową oraz przemianami społecznymi i demograficznymi oraz do współtworzenia tej transformacji; podkreśla, że polityka spójności może wypełniać wszystkie te zadania tylko wtedy, gdy będzie osadzona w solidnym programie finansowania, i w związku z tym uważa, że w WRF na okres po 2027 r. należy zapewnić silną politykę spójności z większym finansowaniem;</w:t>
      </w:r>
    </w:p>
    <w:p w:rsidR="00C62B9E" w:rsidRPr="00566609" w:rsidRDefault="00C62B9E" w:rsidP="00C62B9E">
      <w:pPr>
        <w:pStyle w:val="NormalHanging12a"/>
      </w:pPr>
      <w:r w:rsidRPr="00566609">
        <w:t>2.</w:t>
      </w:r>
      <w:r w:rsidRPr="00566609">
        <w:tab/>
      </w:r>
      <w:proofErr w:type="gramStart"/>
      <w:r w:rsidRPr="00566609">
        <w:t>przypomina</w:t>
      </w:r>
      <w:proofErr w:type="gramEnd"/>
      <w:r w:rsidRPr="00566609">
        <w:t>, że regiony najbardziej oddalone stoją przed szczególnymi wyzwaniami w procesie transformacji w kierunku bardziej ekologicznej, cyfrowej i mniej zależnej od transportu napędzanego silnikami spalinowymi Unii ze względu na ich oddalenie od sieci kontynentalnej;</w:t>
      </w:r>
    </w:p>
    <w:p w:rsidR="00C62B9E" w:rsidRPr="00566609" w:rsidRDefault="00C62B9E" w:rsidP="00C62B9E">
      <w:pPr>
        <w:pStyle w:val="NormalHanging12a"/>
      </w:pPr>
      <w:r w:rsidRPr="00566609">
        <w:t>3.</w:t>
      </w:r>
      <w:r w:rsidRPr="00566609">
        <w:tab/>
      </w:r>
      <w:proofErr w:type="gramStart"/>
      <w:r w:rsidRPr="00566609">
        <w:t>przyznaje</w:t>
      </w:r>
      <w:proofErr w:type="gramEnd"/>
      <w:r w:rsidRPr="00566609">
        <w:t>, że transformacja ekologiczna i cyfrowa stanowi poważne wyzwanie w odniesieniu do celu spójności gospodarczej, społecznej i terytorialnej zapisanego w traktatach; jest świadomy ryzyka zwiększenia dysproporcji regionalnych, pogłębienia nierówności społecznych i wzrostu determinowanego geograficznie niezadowolenia, ponieważ niezbędne dostosowania i potencjalne korzyści wynikające z dwojakiej transformacji różnią się znacznie w zależności od regionu Europy, a dysproporcje regionalne będą się pogłębiać w nadchodzących latach; uważa, że polityka spójności musi stawić czoła czynnikom ekonomicznym, które sprzyjają rosnącej koncentracji dochodowej działalności gospodarczej w ośrodkach miejskich i przemysłowych, jeżeli Unia ma utrzymać cel spójności gospodarczej, społecznej i terytorialnej zapisany w traktatach;</w:t>
      </w:r>
    </w:p>
    <w:p w:rsidR="00C62B9E" w:rsidRPr="00566609" w:rsidRDefault="00C62B9E" w:rsidP="00C62B9E">
      <w:pPr>
        <w:pStyle w:val="NormalHanging12a"/>
      </w:pPr>
      <w:r w:rsidRPr="00566609">
        <w:t>4.</w:t>
      </w:r>
      <w:r w:rsidRPr="00566609">
        <w:tab/>
      </w:r>
      <w:proofErr w:type="gramStart"/>
      <w:r w:rsidRPr="00566609">
        <w:t>podkreśla</w:t>
      </w:r>
      <w:proofErr w:type="gramEnd"/>
      <w:r w:rsidRPr="00566609">
        <w:t>, że plany ograniczenia emisji gazów cieplarnianych o co najmniej 55 % do 2030 r. oraz osiągnięcia pełnej neutralności klimatycznej do 2050 r. będą miały znaczący wpływ na spójność gospodarczą, społeczną i terytorialną UE;</w:t>
      </w:r>
    </w:p>
    <w:p w:rsidR="00C62B9E" w:rsidRPr="00566609" w:rsidRDefault="00C62B9E" w:rsidP="00C62B9E">
      <w:pPr>
        <w:pStyle w:val="NormalHanging12a"/>
      </w:pPr>
      <w:r w:rsidRPr="00566609">
        <w:t>5.</w:t>
      </w:r>
      <w:r w:rsidRPr="00566609">
        <w:tab/>
      </w:r>
      <w:proofErr w:type="gramStart"/>
      <w:r w:rsidRPr="00566609">
        <w:t>podkreśla</w:t>
      </w:r>
      <w:proofErr w:type="gramEnd"/>
      <w:r w:rsidRPr="00566609">
        <w:t xml:space="preserve"> znaczenie zwrócenia dodatkowej uwagi na terytoria o szczególnych uwarunkowaniach geograficznych, takie jak regiony wiejskie, wyspy, regiony najbardziej oddalone, regiony górskie i regiony słabiej zaludnione, zwłaszcza te, które </w:t>
      </w:r>
      <w:r w:rsidRPr="00566609">
        <w:lastRenderedPageBreak/>
        <w:t>są odizolowane i w dużym stopniu uzależnione od paliw kopalnych lub konkretnych gałęzi przemysłu podlegających stopniowemu wygaszaniu produkcji;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6.</w:t>
      </w:r>
      <w:r w:rsidRPr="00566609">
        <w:tab/>
      </w:r>
      <w:proofErr w:type="gramStart"/>
      <w:r w:rsidRPr="00566609">
        <w:t>zdecydowanie</w:t>
      </w:r>
      <w:proofErr w:type="gramEnd"/>
      <w:r w:rsidRPr="00566609">
        <w:t xml:space="preserve"> zaleca, aby polityka spójności UE po 2027 r. obejmowała między innymi konkretny cel polityczny dotyczący transformacji przemysłowej; podkreśla, że cel ten powinien przyczynić się do strategicznej autonomii Europy i zaradzić trudnym skutkom ubocznym transformacji ekologicznej i cyfrowej oraz że należy go realizować w jeszcze szybszym tempie w ścisłej współpracy z władzami lokalnymi i regionalnymi, aby zwiększyć zatrudnienie dzięki wysokiej jakości miejscom pracy, promować przekwalifikowanie i podnoszenie kwalifikacji pracowników, w szczególności osób znajdujących się w niekorzystnej sytuacji społecznej i długotrwale bezrobotnych, oraz złagodzić negatywne skutki dla zatrudnienia i dobrobytu społecznego poprzez wspieranie i dywersyfikację gospodarek lokalnych, regionalnych i krajowych;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7.</w:t>
      </w:r>
      <w:r w:rsidRPr="00566609">
        <w:tab/>
      </w:r>
      <w:proofErr w:type="gramStart"/>
      <w:r w:rsidRPr="00566609">
        <w:t>uważa</w:t>
      </w:r>
      <w:proofErr w:type="gramEnd"/>
      <w:r w:rsidRPr="00566609">
        <w:t>, że przy określaniu polityki spójności UE na okres po 2027 r. należy przyjąć bardziej zróżnicowane i ukierunkowane podejście, uzupełniając kryteria związane z dochodami stosowane do ustalania poziomów wsparcia o dodatkowe kryteria uwzględniające również specyfikę regionów i specyficzne wyzwania, przed którymi stoją one pod względem przyszłego potencjału wzrostu, takie jak bezrobocie młodzieży, stopa bezrobocia długotrwałego, wskaźniki ubóstwa, zależność od miejsc pracy w sektorach dotkniętych transformacją oraz inwestycje w badania i rozwój, spadek liczby ludności, starzenie się społeczeństwa, drenaż mózgów i istniejące niedobory wykwalifikowanej siły roboczej;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8.</w:t>
      </w:r>
      <w:r w:rsidRPr="00566609">
        <w:tab/>
      </w:r>
      <w:proofErr w:type="gramStart"/>
      <w:r w:rsidRPr="00566609">
        <w:t>wzywa</w:t>
      </w:r>
      <w:proofErr w:type="gramEnd"/>
      <w:r w:rsidRPr="00566609">
        <w:t xml:space="preserve"> do kontynuowania Funduszu na rzecz Sprawiedliwej Transformacji (FST) w okresie programowania po 2027 r., a sam fundusz powinien zostać wyposażony w dodatkowe środki finansowe, aby wspierać regiony silnie uzależnione od sektorów przechodzących głęboką transformację, takich jak sektor motoryzacyjny, biorąc pod uwagę szacowaną utratę zatrudnienia netto, której oczekuje się w związku z transformacją w przemyśle motoryzacyjnym; uważa, że ta kontynuacja FST powinna koncentrować się na odpowiedniej nomenklaturze jednostek terytorialnych do celów statystycznych (NUTS), uwzględniać specyfikę regionalną, mieć szerszy zakres niż obecny FST i być zaprojektowana w taki sposób, aby umożliwić szybkie reagowanie na nowo pojawiające się wyzwania w różnych sektorach i </w:t>
      </w:r>
      <w:proofErr w:type="gramStart"/>
      <w:r w:rsidRPr="00566609">
        <w:t>branżach</w:t>
      </w:r>
      <w:proofErr w:type="gramEnd"/>
      <w:r w:rsidRPr="00566609">
        <w:t>, oraz że powinna ona stanowić integralną część rozporządzenia w sprawie wspólnych przepisów, opierając się na zasadach partnerstwa i wielopoziomowego sprawowania rządów i podejściu terytorialnym; wzywa ponadto Eurostat do oszacowania utraty zatrudnienia netto w sektorze motoryzacyjnym, która wyniknie z transformacji ekologicznej i cyfrowej;</w:t>
      </w:r>
    </w:p>
    <w:p w:rsidR="00C62B9E" w:rsidRPr="00566609" w:rsidRDefault="00C62B9E" w:rsidP="00C62B9E">
      <w:pPr>
        <w:pStyle w:val="NormalHanging12a"/>
      </w:pPr>
      <w:r w:rsidRPr="00566609">
        <w:t>9.</w:t>
      </w:r>
      <w:r w:rsidRPr="00566609">
        <w:tab/>
      </w:r>
      <w:proofErr w:type="gramStart"/>
      <w:r w:rsidRPr="00566609">
        <w:t>rozumie</w:t>
      </w:r>
      <w:proofErr w:type="gramEnd"/>
      <w:r w:rsidRPr="00566609">
        <w:t>, że w celu ustalenia, czy dany region należy uznać za wysoce zależny od przemysłu motoryzacyjnego, należy wziąć pod uwagę następujące wskaźniki: wkład przemysłu motoryzacyjnego w regionalny PKB, udział produktów motoryzacyjnych w eksporcie regionalnym, wkład przemysłu motoryzacyjnego w regionalne zatrudnienie oraz wkład przemysłu motoryzacyjnego w całkowite inwestycje w badania i rozwój w regionie;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10.</w:t>
      </w:r>
      <w:r w:rsidRPr="00566609">
        <w:tab/>
      </w:r>
      <w:proofErr w:type="gramStart"/>
      <w:r w:rsidRPr="00566609">
        <w:t>wzywa</w:t>
      </w:r>
      <w:proofErr w:type="gramEnd"/>
      <w:r w:rsidRPr="00566609">
        <w:t xml:space="preserve"> Komisję do uproszczenia sprawozdawczości, na przykład poprzez rozszerzenie, w stosownych przypadkach, podejścia opartego na finansowaniu pozakosztowym i znalezienie równowagi między koncentracją na wynikach i skutkach a koncentracją na wydatkach, aby osiągnąć skuteczniejsze wdrażanie, przy jednoczesnym utrzymaniu ścisłego monitorowania wykorzystania funduszy; uważa, że uproszczona metoda </w:t>
      </w:r>
      <w:r w:rsidRPr="00566609">
        <w:lastRenderedPageBreak/>
        <w:t>rozliczania kosztów miała dobre rezultaty i wzywa Komisję i instytucje zarządzające do rozszerzenia jej stosowania na projekty przemysłowe, ekologiczne i cyfrowe;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11.</w:t>
      </w:r>
      <w:r w:rsidRPr="00566609">
        <w:tab/>
      </w:r>
      <w:proofErr w:type="gramStart"/>
      <w:r w:rsidRPr="00566609">
        <w:t>podkreśla</w:t>
      </w:r>
      <w:proofErr w:type="gramEnd"/>
      <w:r w:rsidRPr="00566609">
        <w:t xml:space="preserve"> potrzebę zapewnienia sprawiedliwego traktowania mikroprzedsiębiorstw oraz małych i średnich przedsiębiorstw (MMŚP) oraz małych spółek o średniej kapitalizacji przy przydzielaniu środków z europejskich funduszy strukturalnych i inwestycyjnych poprzez uproszczenie kroków administracyjnych niezbędnych do uzyskania dostępu do tych funduszy oraz poczynienie postępów na drodze do pełnego wdrożenia zasady jednorazowości, co oznacza, że obywatele i przedsiębiorstwa muszą przekazywać organom publicznym pewne standardowe informacje tylko raz; uznaje, że MMŚP odgrywają zasadniczą rolę w transformacji przemysłowej i podkreśla znaczenie zapewnienia ich aktywnego udziału w projektach oraz zagwarantowania im odpowiedniego finansowania za pośrednictwem takich mechanizmów jak konsorcja lub instrumenty alternatywne;</w:t>
      </w:r>
    </w:p>
    <w:p w:rsidR="00C62B9E" w:rsidRPr="00566609" w:rsidRDefault="00C62B9E" w:rsidP="00C62B9E">
      <w:pPr>
        <w:pStyle w:val="NormalHanging12a"/>
        <w:rPr>
          <w:b/>
        </w:rPr>
      </w:pPr>
      <w:r w:rsidRPr="00566609">
        <w:rPr>
          <w:rStyle w:val="BoldItalic"/>
        </w:rPr>
        <w:t>Budowanie odpornych regionów: polityka spójności na rzecz bardziej ekologicznej przyszłości dostosowanej do ery cyfrowej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12.</w:t>
      </w:r>
      <w:r w:rsidRPr="00566609">
        <w:tab/>
      </w:r>
      <w:proofErr w:type="gramStart"/>
      <w:r w:rsidRPr="00566609">
        <w:t>uznaje</w:t>
      </w:r>
      <w:proofErr w:type="gramEnd"/>
      <w:r w:rsidRPr="00566609">
        <w:t>, że niezależnie od faktu, że cyfryzacja nadal przynosi korzyści gospodarcze wszystkim regionom, transformacja cyfrowa stwarza poważne trudności w przypadku regionów słabiej rozwiniętych; podkreśla znaczenie inwestowania w infrastrukturę cyfrową i budowania umiejętności cyfrowych wśród ogółu społeczeństwa i siły roboczej w celu przejścia od technologii pracochłonnych do kapitałochłonnych i uniknięcia zjawiska drenażu mózgów; podkreśla w związku z tym kluczową rolę lokalnych, regionalnych i centralnych instytucji edukacyjnych i badawczych w wiodących ośrodkach innowacji cyfrowych i wskazuje na marnotrawstwo wiedzy specjalistycznej spowodowane nieskoordynowaną polityką regionalną;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13.</w:t>
      </w:r>
      <w:r w:rsidRPr="00566609">
        <w:tab/>
      </w:r>
      <w:proofErr w:type="gramStart"/>
      <w:r w:rsidRPr="00566609">
        <w:t>podkreśla</w:t>
      </w:r>
      <w:proofErr w:type="gramEnd"/>
      <w:r w:rsidRPr="00566609">
        <w:t>, że potrzebne jest znaczne wsparcie, aby pomóc regionom w ich wysiłkach na rzecz cyfryzacji i realizacji celów cyfrowych określonych w programie polityki „Droga ku cyfrowej dekadzie” do 2030 r.; uważa w związku z tym, że partnerstwa publiczno-prywatne są jednym z możliwych sposobów wsparcia rozwoju kluczowych umiejętności i poprawy możliwości zatrudnienia, a także poprawy zdolności dostosowawczych rynków pracy oraz ich wskaźników wydajności i efektywności, co sprawia, że są one kluczowymi czynnikami udanej cyfryzacji; uważa, że nikt nie powinien pozostać pominięty w transformacji ekologicznej i cyfrowej UE, niezależnie od sektora pracy, rodzaju umowy, płci, wieku czy lokalizacji geograficznej;</w:t>
      </w:r>
    </w:p>
    <w:p w:rsidR="00C62B9E" w:rsidRPr="00566609" w:rsidRDefault="00C62B9E" w:rsidP="00C62B9E">
      <w:pPr>
        <w:pStyle w:val="NormalHanging12a"/>
      </w:pPr>
      <w:r w:rsidRPr="00566609">
        <w:t>14.</w:t>
      </w:r>
      <w:r w:rsidRPr="00566609">
        <w:tab/>
      </w:r>
      <w:proofErr w:type="gramStart"/>
      <w:r w:rsidRPr="00566609">
        <w:t>zwraca</w:t>
      </w:r>
      <w:proofErr w:type="gramEnd"/>
      <w:r w:rsidRPr="00566609">
        <w:t xml:space="preserve"> uwagę, że sektory wytwórcze funkcjonujące w warunkach globalnej konkurencji oraz zależne od nich regiony mogą stanąć w obliczu wyzwań podczas transformacji ekologicznej, zwłaszcza jeżeli międzynarodowi konkurenci czerpią korzyści z niższych cen energii i będą w mniejszym stopniu stosować energię odnawialną; podkreśla, że koszty energii ze źródeł odnawialnych również odegrają istotną rolę w tej dynamice;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15.</w:t>
      </w:r>
      <w:r w:rsidRPr="00566609">
        <w:tab/>
      </w:r>
      <w:proofErr w:type="gramStart"/>
      <w:r w:rsidRPr="00566609">
        <w:t>przypomina</w:t>
      </w:r>
      <w:proofErr w:type="gramEnd"/>
      <w:r w:rsidRPr="00566609">
        <w:t xml:space="preserve">, że regiony słabiej rozwinięte prawdopodobnie zostaną dotknięte nieproporcjonalnymi skutkami transformacji ekologicznej, w szczególności w kontekście transformacji sektora transportu w kierunku rozwiązań o obniżonej emisyjności; uważa, że należy opracować konkretne instrumenty wspierające łańcuch wartości w kontekście transformacji ekologicznej pojazdów, w szczególności w </w:t>
      </w:r>
      <w:r w:rsidRPr="00566609">
        <w:lastRenderedPageBreak/>
        <w:t>sektorach półprzewodników, baterii i komponentów niezbędnych do produkcji silników elektrycznych, jazdy autonomicznej, cyfryzacji i łączności;</w:t>
      </w:r>
    </w:p>
    <w:p w:rsidR="00C62B9E" w:rsidRPr="00566609" w:rsidRDefault="00C62B9E" w:rsidP="00C62B9E">
      <w:pPr>
        <w:pStyle w:val="NormalHanging12a"/>
        <w:rPr>
          <w:b/>
        </w:rPr>
      </w:pPr>
      <w:r w:rsidRPr="00566609">
        <w:rPr>
          <w:rStyle w:val="BoldItalic"/>
        </w:rPr>
        <w:t>Sprawiedliwa transformacja dla regionów związanych z przemysłem motoryzacyjnym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16.</w:t>
      </w:r>
      <w:r w:rsidRPr="00566609">
        <w:tab/>
      </w:r>
      <w:proofErr w:type="gramStart"/>
      <w:r w:rsidRPr="00566609">
        <w:t>uważa</w:t>
      </w:r>
      <w:proofErr w:type="gramEnd"/>
      <w:r w:rsidRPr="00566609">
        <w:t xml:space="preserve">, że dekarbonizacja transportu drogowego, która wymaga przekształcenia całego łańcucha wartości przemysłu motoryzacyjnego wraz ze stopniowym wycofywaniem silników spalinowych do 2035 r., musi opierać się na dobrze zaplanowanej strategii „transformacji w zakresie mobilności”, a strategia ta musi wprowadzić niezbędne zmiany w całym łańcuchu wartości, w tym w procesach produkcyjnych, aby uniknąć przenoszenia produkcji poza UE; podkreśla ponadto, że strategia ta musi zapewnić pracownikom i przedsiębiorstwom sprawną i akceptowaną społecznie transformację, zwłaszcza w słabiej rozwiniętych regionach i regionach borykających się z wyzwaniami demograficznymi lub terytorialnymi; jest zdania, że zdekarbonizowany transport kolejowy i autobusowy odegra w przyszłości ważną rolę w transporcie neutralnym emisyjnie </w:t>
      </w:r>
      <w:proofErr w:type="gramStart"/>
      <w:r w:rsidRPr="00566609">
        <w:t>i</w:t>
      </w:r>
      <w:proofErr w:type="gramEnd"/>
      <w:r w:rsidRPr="00566609">
        <w:t xml:space="preserve"> powinien być wspierany długoterminowym planowaniem publicznym poprzez rozbudowę infrastruktury kolejowej i transportu publicznego;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17.</w:t>
      </w:r>
      <w:r w:rsidRPr="00566609">
        <w:tab/>
      </w:r>
      <w:proofErr w:type="gramStart"/>
      <w:r w:rsidRPr="00566609">
        <w:t>uważa</w:t>
      </w:r>
      <w:proofErr w:type="gramEnd"/>
      <w:r w:rsidRPr="00566609">
        <w:t xml:space="preserve">, że strategia transformacji w zakresie mobilności powinna również obejmować szczegółowy plan przekwalifikowania i podnoszenia kwalifikacji pracowników lub, w razie potrzeby, zapewniać alternatywne możliwości zatrudnienia osobom obecnie pracującym w sektorze motoryzacyjnym; podkreśla, że plan ten powinien również obejmować środki mające na celu zwiększenie udziału kobiet w tym sektorze zdominowanym przez mężczyzn oraz promowanie integracji osób z niepełnosprawnościami w miejscu pracy; uważa ponadto, że plan powinien przewidywać zachęty i wsparcie w celu zagwarantowania, że nowe zakłady przemysłowe powstałe w wyniku transformacji pozostaną w danych regionach, dzięki gwarantowaniu im korzyści płynących z ich produkcji, co pozwoli utrzymać efekt mnożnikowy na tych obszarach; </w:t>
      </w:r>
      <w:proofErr w:type="gramStart"/>
      <w:r w:rsidRPr="00566609">
        <w:t>zaleca</w:t>
      </w:r>
      <w:proofErr w:type="gramEnd"/>
      <w:r w:rsidRPr="00566609">
        <w:t xml:space="preserve"> opracowanie zrównoważonych projektów przemysłowych kończących cały łańcuch dostaw na tych terytoriach;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18.</w:t>
      </w:r>
      <w:r w:rsidRPr="00566609">
        <w:tab/>
      </w:r>
      <w:proofErr w:type="gramStart"/>
      <w:r w:rsidRPr="00566609">
        <w:t>wzywa</w:t>
      </w:r>
      <w:proofErr w:type="gramEnd"/>
      <w:r w:rsidRPr="00566609">
        <w:t xml:space="preserve"> Komisję do przedstawienia niezbędnego wniosku w celu zagwarantowania ciągłości mechanizmu sprawiedliwej transformacji i zapewnienia mu wystarczających i dodatkowych środków finansowych, aby można było udzielać wsparcia regionom bezpośrednio lub pośrednio zależnym od dostaw części samochodowych i zamiennych dla przemysłu i usług, w szczególności z odpowiedniego Funduszu na rzecz Sprawiedliwej Transformacji włączonego do głównego nurtu polityki spójności, tak aby różne fundusze i programy europejskie mogły wspierać synergię i efekty mnożnikowe w celu uwzględnienia procesu transformacji regionalnej;</w:t>
      </w:r>
    </w:p>
    <w:p w:rsidR="00C62B9E" w:rsidRPr="00566609" w:rsidRDefault="00C62B9E" w:rsidP="00C62B9E">
      <w:pPr>
        <w:pStyle w:val="NormalHanging12a"/>
      </w:pPr>
      <w:r w:rsidRPr="00566609">
        <w:t>19.</w:t>
      </w:r>
      <w:r w:rsidRPr="00566609">
        <w:tab/>
      </w:r>
      <w:proofErr w:type="gramStart"/>
      <w:r w:rsidRPr="00566609">
        <w:t>przypomina</w:t>
      </w:r>
      <w:proofErr w:type="gramEnd"/>
      <w:r w:rsidRPr="00566609">
        <w:t>, że władze lokalne i regionalne są często w dużej mierze odpowiedzialne za wdrażanie strategii politycznych w dziedzinie szkoleń i że w związku z tym konieczne jest uwzględnienie wymiaru terytorialnego tych strategii politycznych; przypomina w związku z tym o znaczeniu równych zdolności administracyjnych oraz dostępu do finansowania i informacji we wszystkich regionach UE;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20.</w:t>
      </w:r>
      <w:r w:rsidRPr="00566609">
        <w:tab/>
      </w:r>
      <w:proofErr w:type="gramStart"/>
      <w:r w:rsidRPr="00566609">
        <w:t>uważa</w:t>
      </w:r>
      <w:proofErr w:type="gramEnd"/>
      <w:r w:rsidRPr="00566609">
        <w:t xml:space="preserve">, że plany sprawiedliwej transformacji dla regionów zależnych od przemysłu motoryzacyjnego powinny konsekwentnie opierać się na podejściu ukierunkowanym na konkretny obszar i być zarządzane przez właściwe organy w oparciu o zasady partnerstwa i wielopoziomowego sprawowania rządów, a także promować międzyregionalną i transgraniczną współpracę między regionami znajdującymi się w </w:t>
      </w:r>
      <w:r w:rsidRPr="00566609">
        <w:lastRenderedPageBreak/>
        <w:t>okresie transformacji; podkreśla ponadto, że priorytetowo należy potraktować inwestycje w niezbędną transformację sektora, aby umożliwić mu dostosowanie się do nowych norm emisji CO</w:t>
      </w:r>
      <w:r w:rsidRPr="00566609">
        <w:rPr>
          <w:vertAlign w:val="subscript"/>
        </w:rPr>
        <w:t>2</w:t>
      </w:r>
      <w:r w:rsidRPr="00566609">
        <w:t xml:space="preserve">, a także w programy szkoleń, przekwalifikowania i podnoszenia kwalifikacji oraz zrównoważone strategie dywersyfikacji gospodarczej w całym łańcuchu wartości, co zapewni pracownikom oraz gospodarce lokalnej i regionalnej sprawną i sprzyjającą </w:t>
      </w:r>
      <w:proofErr w:type="gramStart"/>
      <w:r w:rsidRPr="00566609">
        <w:t>włączeniu</w:t>
      </w:r>
      <w:proofErr w:type="gramEnd"/>
      <w:r w:rsidRPr="00566609">
        <w:t xml:space="preserve"> społecznemu transformację;</w:t>
      </w:r>
    </w:p>
    <w:p w:rsidR="00C62B9E" w:rsidRPr="00566609" w:rsidRDefault="00C62B9E" w:rsidP="00C62B9E">
      <w:pPr>
        <w:pStyle w:val="NormalHanging12a"/>
      </w:pPr>
      <w:r w:rsidRPr="00566609">
        <w:t>21.</w:t>
      </w:r>
      <w:r w:rsidRPr="00566609">
        <w:tab/>
      </w:r>
      <w:proofErr w:type="gramStart"/>
      <w:r w:rsidRPr="00566609">
        <w:t>przypomina</w:t>
      </w:r>
      <w:proofErr w:type="gramEnd"/>
      <w:r w:rsidRPr="00566609">
        <w:t>, że wszelkie strategiczne decyzje podejmowane przez producentów oryginalnego sprzętu o przejściu na mobilność elektryczną oraz inne rozwiązania techniczne, takie jak jazda autonomiczna, cyfryzacja i dodatkowe funkcje bezpieczeństwa w samochodach, będą nieuchronnie miały efekt domina i będą oddziaływać na kolejne ogniwa lokalnego i regionalnego łańcucha wartości;</w:t>
      </w:r>
    </w:p>
    <w:p w:rsidR="00C62B9E" w:rsidRPr="00566609" w:rsidRDefault="00C62B9E" w:rsidP="00C62B9E">
      <w:pPr>
        <w:pStyle w:val="NormalHanging12a"/>
      </w:pPr>
      <w:r w:rsidRPr="00566609">
        <w:t>22.</w:t>
      </w:r>
      <w:r w:rsidRPr="00566609">
        <w:tab/>
      </w:r>
      <w:proofErr w:type="gramStart"/>
      <w:r w:rsidRPr="00566609">
        <w:t>proponuje</w:t>
      </w:r>
      <w:proofErr w:type="gramEnd"/>
      <w:r w:rsidRPr="00566609">
        <w:t>, aby rozważona została możliwość wdrożenia planów transformacji z wykorzystaniem podejścia zorientowanego na rezultaty, obejmująca grupy projektów, które beneficjent musi przeprowadzić, aby przyczynić się do osiągnięcia celów tych planów; uważa, że aby uprościć i wzmocnić zorientowanie na rezultaty, zarządzanie mogłoby opierać się wyłącznie na celach pośrednich, produktach i rezultatach uzgodnionych wcześniej między Komisją a instytucjami zarządzającymi; jest zdania, że kontrola i audyt planu transformacji powinny również ograniczać się do sprawdzenia, czy osiąga on swoje cele pośrednie i końcowe;</w:t>
      </w:r>
    </w:p>
    <w:p w:rsidR="00C62B9E" w:rsidRPr="00566609" w:rsidRDefault="00C62B9E" w:rsidP="00C62B9E">
      <w:pPr>
        <w:pStyle w:val="NormalHanging12a"/>
        <w:rPr>
          <w:szCs w:val="24"/>
        </w:rPr>
      </w:pPr>
      <w:r w:rsidRPr="00566609">
        <w:t>23.</w:t>
      </w:r>
      <w:r w:rsidRPr="00566609">
        <w:tab/>
      </w:r>
      <w:proofErr w:type="gramStart"/>
      <w:r w:rsidRPr="00566609">
        <w:t>uznaje</w:t>
      </w:r>
      <w:proofErr w:type="gramEnd"/>
      <w:r w:rsidRPr="00566609">
        <w:t xml:space="preserve"> znaczenie zapewnienia wsparcia wszystkim przedsiębiorstwom w sektorach przechodzących transformację, ze szczególnym uwzględnieniem MMŚP i małych spółek o średniej kapitalizacji, które mogą mieć ograniczone zasoby na przeprowadzenie niezbędnej transformacji; podkreśla znaczenie ukierunkowanego wsparcia dla MMŚP i małych spółek o średniej kapitalizacji w nabywaniu, modernizowaniu i utrzymywaniu aktywów rzeczowych i infrastruktury, a także w inwestowaniu w badania i rozwój; podkreśla potrzebę specjalnych programów finansowania, inicjatyw na rzecz budowania zdolności, wymiany wiedzy i najlepszych praktyk oraz pomocy technicznej specjalnie dostosowanej do potrzeb MMŚP i małych spółek o średniej kapitalizacji, aby zapewnić ich skuteczną integrację i udział w zmieniającym się otoczeniu sektora;</w:t>
      </w:r>
    </w:p>
    <w:p w:rsidR="00C62B9E" w:rsidRPr="00566609" w:rsidRDefault="00C62B9E" w:rsidP="00C62B9E">
      <w:pPr>
        <w:pStyle w:val="NormalHanging12a"/>
      </w:pPr>
      <w:r w:rsidRPr="00566609">
        <w:t>24.</w:t>
      </w:r>
      <w:r w:rsidRPr="00566609">
        <w:tab/>
      </w:r>
      <w:proofErr w:type="gramStart"/>
      <w:r w:rsidRPr="00566609">
        <w:t>podkreśla</w:t>
      </w:r>
      <w:proofErr w:type="gramEnd"/>
      <w:r w:rsidRPr="00566609">
        <w:t xml:space="preserve"> potrzebę zlikwidowania luki inwestycyjnej w dziedzinie badań i rozwój w UE oraz osiągnięcia celu, jakim jest inwestowanie 3 % unijnego PKB UE w badania i rozwój;</w:t>
      </w:r>
    </w:p>
    <w:p w:rsidR="00C62B9E" w:rsidRPr="00566609" w:rsidRDefault="00C62B9E" w:rsidP="00C62B9E">
      <w:pPr>
        <w:pStyle w:val="NormalHanging12a"/>
      </w:pPr>
      <w:r w:rsidRPr="00566609">
        <w:t>25.</w:t>
      </w:r>
      <w:r w:rsidRPr="00566609">
        <w:tab/>
      </w:r>
      <w:proofErr w:type="gramStart"/>
      <w:r w:rsidRPr="00566609">
        <w:t>wzywa</w:t>
      </w:r>
      <w:proofErr w:type="gramEnd"/>
      <w:r w:rsidRPr="00566609">
        <w:t xml:space="preserve"> państwa członkowskie do ustanowienia odpowiedniego i sprawiedliwego ekosystemu wdrażania elektromobilności zgodnie z rozporządzeniem w sprawie rozwoju infrastruktury paliw alternatywnych; przypomina, że niektóre koncepcje, które służą obszarom miejskim, są mniej wykonalne lub niewystarczające dla obszarów wiejskich, i podkreśla znaczenie zapewnienia publicznej infrastruktury paliw alternatywnych w regionach wiejskich, wyspiarskich i oddalonych oraz w regionach o niskiej gęstości zaludnienia, gdzie oferta prywatnych usługodawców jest niewystarczająca, aby zaspokoić potrzeby lokalnych mieszkańców i odwiedzających; uważa w związku z tym, że cena tej usługi publicznej musi być konkurencyjna w stosunku do średniej ceny usługi oferowanej przez prywatnych usługodawców; uważa, że w tym celu ramy polityki </w:t>
      </w:r>
      <w:proofErr w:type="gramStart"/>
      <w:r w:rsidRPr="00566609">
        <w:t>i</w:t>
      </w:r>
      <w:proofErr w:type="gramEnd"/>
      <w:r w:rsidRPr="00566609">
        <w:t xml:space="preserve"> ramy regulacyjne dotyczące elektromobilności muszą zostać opracowane na podstawie dogłębnej analizy sytuacji w celu określenia głównych wyzwań dla tej polityki i wskazania możliwości zapewniających jej powodzenie;</w:t>
      </w:r>
    </w:p>
    <w:p w:rsidR="00C62B9E" w:rsidRPr="00566609" w:rsidRDefault="00C62B9E" w:rsidP="00C62B9E">
      <w:pPr>
        <w:pStyle w:val="NormalHanging12a"/>
      </w:pPr>
      <w:r w:rsidRPr="00566609">
        <w:lastRenderedPageBreak/>
        <w:t>26.</w:t>
      </w:r>
      <w:r w:rsidRPr="00566609">
        <w:tab/>
      </w:r>
      <w:proofErr w:type="gramStart"/>
      <w:r w:rsidRPr="00566609">
        <w:t>zwraca</w:t>
      </w:r>
      <w:proofErr w:type="gramEnd"/>
      <w:r w:rsidRPr="00566609">
        <w:t xml:space="preserve"> się do Komisji o rozszerzenie unijnego programu exchangeEU i programu „TARGET” (pomoc techniczna na rzecz zielonej transformacji energetycznej) na regiony związane z przemysłem motoryzacyjnym przechodzące transformację, aby promować wymianę doświadczeń i wyników między regionami doświadczającymi zaniku jakiegoś sektora, jak na przykład wydobycie węgla czy torfu, a regionami, w których zachodzą przemiany w sektorach takich jak sektor motoryzacyjny i jego dostawcy; jest przekonany, że ta wymiana doświadczeń, wraz z wdrażaniem planów transformacji wspieranych ze środków europejskich funduszy strukturalnych i inwestycyjnych, mogłaby pomóc regionom o rozwiniętym sektorze motoryzacyjnym i będącym dostawcami w płynnym przejściu na działalność neutralną dla klimatu;</w:t>
      </w:r>
    </w:p>
    <w:p w:rsidR="00C62B9E" w:rsidRPr="00566609" w:rsidRDefault="00C62B9E" w:rsidP="00C62B9E">
      <w:pPr>
        <w:pStyle w:val="NormalHanging12a"/>
        <w:jc w:val="center"/>
      </w:pPr>
      <w:r w:rsidRPr="00566609">
        <w:t>°</w:t>
      </w:r>
    </w:p>
    <w:p w:rsidR="00C62B9E" w:rsidRPr="00566609" w:rsidRDefault="00C62B9E" w:rsidP="00C62B9E">
      <w:pPr>
        <w:pStyle w:val="NormalHanging12a"/>
        <w:jc w:val="center"/>
      </w:pPr>
      <w:r w:rsidRPr="00566609">
        <w:t>°</w:t>
      </w:r>
      <w:r w:rsidRPr="00566609">
        <w:tab/>
        <w:t>°</w:t>
      </w:r>
    </w:p>
    <w:p w:rsidR="00C62B9E" w:rsidRPr="00566609" w:rsidRDefault="00C62B9E" w:rsidP="00C62B9E">
      <w:pPr>
        <w:pStyle w:val="NormalHanging12a"/>
      </w:pPr>
      <w:r w:rsidRPr="00566609">
        <w:t>27.</w:t>
      </w:r>
      <w:r w:rsidRPr="00566609">
        <w:tab/>
      </w:r>
      <w:proofErr w:type="gramStart"/>
      <w:r w:rsidRPr="00566609">
        <w:t>zobowiązuje</w:t>
      </w:r>
      <w:proofErr w:type="gramEnd"/>
      <w:r w:rsidRPr="00566609">
        <w:t xml:space="preserve"> swoją przewodniczącą do przekazania niniejszej rezolucji Radzie, Komisji, a także parlamentom narodowym i regionalnym państw członkowskich.</w:t>
      </w:r>
    </w:p>
    <w:p w:rsidR="00E365E1" w:rsidRPr="00566609" w:rsidRDefault="00E365E1" w:rsidP="00617CDA">
      <w:bookmarkStart w:id="8" w:name="TextBodyEnd"/>
      <w:bookmarkEnd w:id="8"/>
    </w:p>
    <w:sectPr w:rsidR="00E365E1" w:rsidRPr="00566609" w:rsidSect="005666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CDA" w:rsidRPr="00566609" w:rsidRDefault="00617CDA">
      <w:r w:rsidRPr="00566609">
        <w:separator/>
      </w:r>
    </w:p>
  </w:endnote>
  <w:endnote w:type="continuationSeparator" w:id="0">
    <w:p w:rsidR="00617CDA" w:rsidRPr="00566609" w:rsidRDefault="00617CDA">
      <w:r w:rsidRPr="005666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6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6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6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CDA" w:rsidRPr="00566609" w:rsidRDefault="00617CDA">
      <w:r w:rsidRPr="00566609">
        <w:separator/>
      </w:r>
    </w:p>
  </w:footnote>
  <w:footnote w:type="continuationSeparator" w:id="0">
    <w:p w:rsidR="00617CDA" w:rsidRPr="00566609" w:rsidRDefault="00617CDA">
      <w:r w:rsidRPr="00566609">
        <w:continuationSeparator/>
      </w:r>
    </w:p>
  </w:footnote>
  <w:footnote w:id="1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1" w:history="1">
        <w:r w:rsidRPr="00FA0B08">
          <w:rPr>
            <w:sz w:val="24"/>
            <w:lang w:val="pl-PL"/>
          </w:rPr>
          <w:t xml:space="preserve">Dz.U. L 231 </w:t>
        </w:r>
        <w:r w:rsidR="00135B57">
          <w:rPr>
            <w:sz w:val="24"/>
            <w:lang w:val="pl-PL"/>
          </w:rPr>
          <w:t xml:space="preserve">z </w:t>
        </w:r>
        <w:r w:rsidRPr="00FA0B08">
          <w:rPr>
            <w:sz w:val="24"/>
            <w:lang w:val="pl-PL"/>
          </w:rPr>
          <w:t xml:space="preserve">30.6.2021,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159.</w:t>
        </w:r>
      </w:hyperlink>
    </w:p>
  </w:footnote>
  <w:footnote w:id="2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2" w:history="1">
        <w:r w:rsidRPr="00FA0B08">
          <w:rPr>
            <w:sz w:val="24"/>
            <w:lang w:val="pl-PL"/>
          </w:rPr>
          <w:t xml:space="preserve">Dz.U. L 231 </w:t>
        </w:r>
        <w:r w:rsidR="00135B57">
          <w:rPr>
            <w:sz w:val="24"/>
            <w:lang w:val="pl-PL"/>
          </w:rPr>
          <w:t xml:space="preserve">z </w:t>
        </w:r>
        <w:r w:rsidRPr="00FA0B08">
          <w:rPr>
            <w:sz w:val="24"/>
            <w:lang w:val="pl-PL"/>
          </w:rPr>
          <w:t xml:space="preserve">30.6.2021,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60.</w:t>
        </w:r>
      </w:hyperlink>
    </w:p>
  </w:footnote>
  <w:footnote w:id="3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3" w:history="1">
        <w:r w:rsidRPr="00FA0B08">
          <w:rPr>
            <w:sz w:val="24"/>
            <w:lang w:val="pl-PL"/>
          </w:rPr>
          <w:t xml:space="preserve">Dz.U. L 231 z 30.6.2021,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1.</w:t>
        </w:r>
      </w:hyperlink>
    </w:p>
  </w:footnote>
  <w:footnote w:id="4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4" w:history="1">
        <w:r w:rsidRPr="00FA0B08">
          <w:rPr>
            <w:sz w:val="24"/>
            <w:lang w:val="pl-PL"/>
          </w:rPr>
          <w:t xml:space="preserve">Dz.U. L 231 z 30.6.2021,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21.</w:t>
        </w:r>
      </w:hyperlink>
    </w:p>
  </w:footnote>
  <w:footnote w:id="5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5" w:history="1">
        <w:r w:rsidRPr="00FA0B08">
          <w:rPr>
            <w:sz w:val="24"/>
            <w:lang w:val="pl-PL"/>
          </w:rPr>
          <w:t xml:space="preserve">Dz.U. L 99 z 31.3.2020,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5.</w:t>
        </w:r>
      </w:hyperlink>
    </w:p>
  </w:footnote>
  <w:footnote w:id="6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6" w:history="1">
        <w:r w:rsidRPr="00FA0B08">
          <w:rPr>
            <w:sz w:val="24"/>
            <w:lang w:val="pl-PL"/>
          </w:rPr>
          <w:t xml:space="preserve">Dz.U. L 243 z 9.7.2021,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1.</w:t>
        </w:r>
      </w:hyperlink>
    </w:p>
  </w:footnote>
  <w:footnote w:id="7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7" w:history="1">
        <w:r w:rsidRPr="00FA0B08">
          <w:rPr>
            <w:sz w:val="24"/>
            <w:lang w:val="pl-PL"/>
          </w:rPr>
          <w:t xml:space="preserve">Dz.U. L 110 z 25.4.2023,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5.</w:t>
        </w:r>
      </w:hyperlink>
    </w:p>
  </w:footnote>
  <w:footnote w:id="8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8" w:history="1">
        <w:r w:rsidRPr="00FA0B08">
          <w:rPr>
            <w:sz w:val="24"/>
            <w:lang w:val="pl-PL"/>
          </w:rPr>
          <w:t xml:space="preserve">Dz.U. L 63 z 28.2.2023,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1.</w:t>
        </w:r>
      </w:hyperlink>
    </w:p>
  </w:footnote>
  <w:footnote w:id="9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9" w:history="1">
        <w:r w:rsidRPr="00FA0B08">
          <w:rPr>
            <w:color w:val="0033CC"/>
            <w:sz w:val="24"/>
            <w:lang w:val="pl-PL"/>
          </w:rPr>
          <w:t>https://doi.org/10.1787/35247cc7-en.</w:t>
        </w:r>
      </w:hyperlink>
    </w:p>
  </w:footnote>
  <w:footnote w:id="10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10" w:history="1">
        <w:r w:rsidRPr="00FA0B08">
          <w:rPr>
            <w:sz w:val="24"/>
            <w:lang w:val="pl-PL"/>
          </w:rPr>
          <w:t xml:space="preserve">Dz.U. C 270 z 13.7.2022,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38.</w:t>
        </w:r>
      </w:hyperlink>
    </w:p>
  </w:footnote>
  <w:footnote w:id="11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11" w:history="1">
        <w:r w:rsidRPr="00FA0B08">
          <w:rPr>
            <w:sz w:val="24"/>
            <w:lang w:val="pl-PL"/>
          </w:rPr>
          <w:t xml:space="preserve">Dz.U. C 498 z 30.12.2022,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36.</w:t>
        </w:r>
      </w:hyperlink>
    </w:p>
  </w:footnote>
  <w:footnote w:id="12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12" w:history="1">
        <w:r w:rsidRPr="00FA0B08">
          <w:rPr>
            <w:sz w:val="24"/>
            <w:lang w:val="pl-PL"/>
          </w:rPr>
          <w:t xml:space="preserve">Dz.U. C 498 z 30.12.2022,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39.</w:t>
        </w:r>
      </w:hyperlink>
    </w:p>
  </w:footnote>
  <w:footnote w:id="13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13" w:history="1">
        <w:r w:rsidRPr="00FA0B08">
          <w:rPr>
            <w:sz w:val="24"/>
            <w:lang w:val="pl-PL"/>
          </w:rPr>
          <w:t>CDR 1449/2023.</w:t>
        </w:r>
      </w:hyperlink>
    </w:p>
  </w:footnote>
  <w:footnote w:id="14">
    <w:p w:rsidR="00C62B9E" w:rsidRPr="00FA0B08" w:rsidRDefault="00C62B9E" w:rsidP="00566609">
      <w:pPr>
        <w:pStyle w:val="FootnoteText"/>
        <w:ind w:left="567" w:hanging="567"/>
        <w:rPr>
          <w:sz w:val="24"/>
          <w:lang w:val="pl-PL"/>
        </w:rPr>
      </w:pPr>
      <w:r w:rsidRPr="00FA0B08">
        <w:rPr>
          <w:rStyle w:val="FootnoteReference"/>
          <w:sz w:val="24"/>
          <w:lang w:val="pl-PL"/>
        </w:rPr>
        <w:footnoteRef/>
      </w:r>
      <w:r w:rsidR="00566609" w:rsidRPr="00FA0B08">
        <w:rPr>
          <w:sz w:val="24"/>
          <w:lang w:val="pl-PL"/>
        </w:rPr>
        <w:t xml:space="preserve"> </w:t>
      </w:r>
      <w:r w:rsidR="00566609" w:rsidRPr="00FA0B08">
        <w:rPr>
          <w:sz w:val="24"/>
          <w:lang w:val="pl-PL"/>
        </w:rPr>
        <w:tab/>
      </w:r>
      <w:hyperlink r:id="rId14" w:history="1">
        <w:r w:rsidRPr="00FA0B08">
          <w:rPr>
            <w:sz w:val="24"/>
            <w:lang w:val="pl-PL"/>
          </w:rPr>
          <w:t xml:space="preserve">Dz.U. C 125 z 5.4.2023, </w:t>
        </w:r>
        <w:proofErr w:type="gramStart"/>
        <w:r w:rsidRPr="00FA0B08">
          <w:rPr>
            <w:sz w:val="24"/>
            <w:lang w:val="pl-PL"/>
          </w:rPr>
          <w:t>s</w:t>
        </w:r>
        <w:proofErr w:type="gramEnd"/>
        <w:r w:rsidRPr="00FA0B08">
          <w:rPr>
            <w:sz w:val="24"/>
            <w:lang w:val="pl-PL"/>
          </w:rPr>
          <w:t>. 100.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6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6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6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26/2023"/>
    <w:docVar w:name="dvlangue" w:val="PL"/>
    <w:docVar w:name="dvnumam" w:val="0"/>
    <w:docVar w:name="dvpe" w:val="748.970"/>
    <w:docVar w:name="dvrapporteur" w:val="Sprawozdawca: "/>
    <w:docVar w:name="dvstar" w:val="??"/>
    <w:docVar w:name="dvtitre" w:val="Rezolucja Parlamentu Europejskiego z dnia  2023 r. w sprawie przekształcenia przyszłych ram funduszy strukturalnych UE w celu wsparcia regionów szczególnie dotkniętych problemami związanymi z transformacją motoryzacyjną, ekologiczną i cyfrową(2023/2061(INI))"/>
  </w:docVars>
  <w:rsids>
    <w:rsidRoot w:val="00617CDA"/>
    <w:rsid w:val="00002272"/>
    <w:rsid w:val="00064002"/>
    <w:rsid w:val="000677B9"/>
    <w:rsid w:val="000831BA"/>
    <w:rsid w:val="000A42CC"/>
    <w:rsid w:val="000E7DD9"/>
    <w:rsid w:val="0010095E"/>
    <w:rsid w:val="00125B37"/>
    <w:rsid w:val="00135B5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F8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609"/>
    <w:rsid w:val="005C2568"/>
    <w:rsid w:val="006037C0"/>
    <w:rsid w:val="00617CDA"/>
    <w:rsid w:val="006631B6"/>
    <w:rsid w:val="00680577"/>
    <w:rsid w:val="006860C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27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B9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B0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7F5AE"/>
  <w15:chartTrackingRefBased/>
  <w15:docId w15:val="{1AC8DD8A-C8E6-4BFA-A5A6-1F3EED16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2B9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C62B9E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C62B9E"/>
    <w:rPr>
      <w:b/>
      <w:i/>
      <w:u w:val="none"/>
    </w:rPr>
  </w:style>
  <w:style w:type="character" w:customStyle="1" w:styleId="Italic">
    <w:name w:val="Italic"/>
    <w:uiPriority w:val="1"/>
    <w:rsid w:val="00C62B9E"/>
    <w:rPr>
      <w:i/>
    </w:rPr>
  </w:style>
  <w:style w:type="character" w:customStyle="1" w:styleId="Sub">
    <w:name w:val="Sub"/>
    <w:uiPriority w:val="1"/>
    <w:qFormat/>
    <w:rsid w:val="00C62B9E"/>
    <w:rPr>
      <w:vertAlign w:val="subscript"/>
    </w:rPr>
  </w:style>
  <w:style w:type="character" w:customStyle="1" w:styleId="NormalHanging12aChar">
    <w:name w:val="NormalHanging12a Char"/>
    <w:basedOn w:val="DefaultParagraphFont"/>
    <w:link w:val="NormalHanging12a"/>
    <w:rsid w:val="00C62B9E"/>
    <w:rPr>
      <w:snapToGrid w:val="0"/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uri=CELEX:32023R0435&amp;qid=1687347762670" TargetMode="External"/><Relationship Id="rId13" Type="http://schemas.openxmlformats.org/officeDocument/2006/relationships/hyperlink" Target="https://cor.europa.eu/en/our-work/Pages/OpinionTimeline.aspx?opId=CDR-1449-2023" TargetMode="External"/><Relationship Id="rId3" Type="http://schemas.openxmlformats.org/officeDocument/2006/relationships/hyperlink" Target="https://eur-lex.europa.eu/legal-content/PL/TXT/?uri=CELEX:32021R1056" TargetMode="External"/><Relationship Id="rId7" Type="http://schemas.openxmlformats.org/officeDocument/2006/relationships/hyperlink" Target="https://eur-lex.europa.eu/eli/reg/2023/851/oj." TargetMode="External"/><Relationship Id="rId12" Type="http://schemas.openxmlformats.org/officeDocument/2006/relationships/hyperlink" Target="https://eur-lex.europa.eu/legal-content/PL/TXT/?uri=CELEX:52022IR0195&amp;qid=1686560608864" TargetMode="External"/><Relationship Id="rId2" Type="http://schemas.openxmlformats.org/officeDocument/2006/relationships/hyperlink" Target="https://eur-lex.europa.eu/legal-content/pl/ALL/?uri=CELEX:32021R1058" TargetMode="External"/><Relationship Id="rId1" Type="http://schemas.openxmlformats.org/officeDocument/2006/relationships/hyperlink" Target="https://eur-lex.europa.eu/legal-content/PL/TXT/?uri=CELEX:32021R1060" TargetMode="External"/><Relationship Id="rId6" Type="http://schemas.openxmlformats.org/officeDocument/2006/relationships/hyperlink" Target="https://eur-lex.europa.eu/legal-content/PL/ALL/?uri=celex:32021R1119" TargetMode="External"/><Relationship Id="rId11" Type="http://schemas.openxmlformats.org/officeDocument/2006/relationships/hyperlink" Target="https://eur-lex.europa.eu/legal-content/PL/TXT/?uri=CELEX:52022IR4074&amp;qid=1686560368603" TargetMode="External"/><Relationship Id="rId5" Type="http://schemas.openxmlformats.org/officeDocument/2006/relationships/hyperlink" Target="https://eur-lex.europa.eu/legal-content/PL/TXT/?uri=CELEX:52020PC0113" TargetMode="External"/><Relationship Id="rId10" Type="http://schemas.openxmlformats.org/officeDocument/2006/relationships/hyperlink" Target="https://eur-lex.europa.eu/legal-content/PL/TXT/?uri=CELEX:52021AR4913&amp;qid=1660390864879" TargetMode="External"/><Relationship Id="rId4" Type="http://schemas.openxmlformats.org/officeDocument/2006/relationships/hyperlink" Target="https://eur-lex.europa.eu/legal-content/PL/TXT/?uri=CELEX:32021R1057" TargetMode="External"/><Relationship Id="rId9" Type="http://schemas.openxmlformats.org/officeDocument/2006/relationships/hyperlink" Target="https://doi.org/10.1787/35247cc7-en" TargetMode="External"/><Relationship Id="rId14" Type="http://schemas.openxmlformats.org/officeDocument/2006/relationships/hyperlink" Target="https://eur-lex.europa.eu/legal-content/PL/TXT/?uri=celex:52022IP0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A64B2-FBA7-462A-94F7-B11B6F87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4318</Words>
  <Characters>29570</Characters>
  <Application>Microsoft Office Word</Application>
  <DocSecurity>0</DocSecurity>
  <Lines>246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2024-01-15T07:09:00Z</dcterms:created>
  <dcterms:modified xsi:type="dcterms:W3CDTF">2024-01-15T07:09:00Z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A9-0326/2023</vt:lpwstr>
  </property>
  <property fmtid="{D5CDD505-2E9C-101B-9397-08002B2CF9AE}" pid="4" name="&lt;Type&gt;">
    <vt:lpwstr>RR</vt:lpwstr>
  </property>
</Properties>
</file>