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6A4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6A49" w:rsidRDefault="00355EF7" w:rsidP="0010095E">
            <w:pPr>
              <w:pStyle w:val="EPName"/>
            </w:pPr>
            <w:r w:rsidRPr="00696A49">
              <w:t>Evropský parlament</w:t>
            </w:r>
          </w:p>
          <w:p w:rsidR="00751A4A" w:rsidRPr="00696A4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6A4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96A49" w:rsidRDefault="00187494" w:rsidP="0010095E">
            <w:pPr>
              <w:pStyle w:val="EPLogo"/>
            </w:pPr>
            <w:r w:rsidRPr="00696A4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6A49" w:rsidRDefault="00D058B8" w:rsidP="004C5D52">
      <w:pPr>
        <w:pStyle w:val="LineTop"/>
      </w:pPr>
    </w:p>
    <w:p w:rsidR="00680577" w:rsidRPr="00696A49" w:rsidRDefault="00355EF7" w:rsidP="00680577">
      <w:pPr>
        <w:pStyle w:val="EPBodyTA1"/>
      </w:pPr>
      <w:r w:rsidRPr="00696A49">
        <w:t>PŘIJATÉ TEXTY</w:t>
      </w:r>
    </w:p>
    <w:p w:rsidR="00D058B8" w:rsidRPr="00696A49" w:rsidRDefault="00D058B8" w:rsidP="00D058B8">
      <w:pPr>
        <w:pStyle w:val="LineBottom"/>
      </w:pPr>
    </w:p>
    <w:p w:rsidR="00355EF7" w:rsidRPr="00696A49" w:rsidRDefault="00355EF7" w:rsidP="00355EF7">
      <w:pPr>
        <w:pStyle w:val="ATHeading1"/>
      </w:pPr>
      <w:bookmarkStart w:id="0" w:name="TANumber"/>
      <w:r w:rsidRPr="00696A49">
        <w:t>P9_TA(2024)000</w:t>
      </w:r>
      <w:r w:rsidR="00B06903">
        <w:t>4</w:t>
      </w:r>
      <w:bookmarkEnd w:id="0"/>
    </w:p>
    <w:p w:rsidR="00355EF7" w:rsidRPr="00696A49" w:rsidRDefault="00355EF7" w:rsidP="00355EF7">
      <w:pPr>
        <w:pStyle w:val="ATHeading2"/>
      </w:pPr>
      <w:bookmarkStart w:id="1" w:name="title"/>
      <w:r w:rsidRPr="00696A49">
        <w:t>Změna nařízení o trzích finančních nástrojů</w:t>
      </w:r>
      <w:bookmarkEnd w:id="1"/>
    </w:p>
    <w:p w:rsidR="00355EF7" w:rsidRPr="00696A49" w:rsidRDefault="00355EF7" w:rsidP="00355EF7">
      <w:pPr>
        <w:rPr>
          <w:i/>
          <w:vanish/>
        </w:rPr>
      </w:pPr>
      <w:r w:rsidRPr="00696A49">
        <w:rPr>
          <w:i/>
        </w:rPr>
        <w:fldChar w:fldCharType="begin"/>
      </w:r>
      <w:r w:rsidRPr="00696A49">
        <w:rPr>
          <w:i/>
        </w:rPr>
        <w:instrText xml:space="preserve"> TC"(</w:instrText>
      </w:r>
      <w:bookmarkStart w:id="2" w:name="DocNumber"/>
      <w:r w:rsidRPr="00696A49">
        <w:rPr>
          <w:i/>
        </w:rPr>
        <w:instrText>A9-0040/2023</w:instrText>
      </w:r>
      <w:bookmarkEnd w:id="2"/>
      <w:r w:rsidRPr="00696A49">
        <w:rPr>
          <w:i/>
        </w:rPr>
        <w:instrText xml:space="preserve"> - Zpravodajka: Danuta Maria Hübner)"\l3 \n&gt; \* MERGEFORMAT </w:instrText>
      </w:r>
      <w:r w:rsidRPr="00696A49">
        <w:rPr>
          <w:i/>
        </w:rPr>
        <w:fldChar w:fldCharType="end"/>
      </w:r>
    </w:p>
    <w:p w:rsidR="00355EF7" w:rsidRPr="00696A49" w:rsidRDefault="00355EF7" w:rsidP="00355EF7">
      <w:pPr>
        <w:rPr>
          <w:vanish/>
        </w:rPr>
      </w:pPr>
      <w:bookmarkStart w:id="3" w:name="Commission"/>
      <w:r w:rsidRPr="00696A49">
        <w:rPr>
          <w:vanish/>
        </w:rPr>
        <w:t>Hospodářský a měnový výbor</w:t>
      </w:r>
      <w:bookmarkEnd w:id="3"/>
    </w:p>
    <w:p w:rsidR="00355EF7" w:rsidRPr="00696A49" w:rsidRDefault="00355EF7" w:rsidP="00355EF7">
      <w:pPr>
        <w:rPr>
          <w:vanish/>
        </w:rPr>
      </w:pPr>
      <w:bookmarkStart w:id="4" w:name="PE"/>
      <w:r w:rsidRPr="00696A49">
        <w:rPr>
          <w:vanish/>
        </w:rPr>
        <w:t>PE731.644</w:t>
      </w:r>
      <w:bookmarkEnd w:id="4"/>
    </w:p>
    <w:p w:rsidR="00355EF7" w:rsidRPr="00696A49" w:rsidRDefault="00355EF7" w:rsidP="00355EF7">
      <w:pPr>
        <w:pStyle w:val="ATHeading3"/>
      </w:pPr>
      <w:bookmarkStart w:id="5" w:name="Sujet"/>
      <w:r w:rsidRPr="00696A49">
        <w:t xml:space="preserve">Legislativní usnesení </w:t>
      </w:r>
      <w:r w:rsidR="00154C82">
        <w:t xml:space="preserve">Evropského parlamentu ze dne </w:t>
      </w:r>
      <w:r w:rsidR="000E4FD4">
        <w:t>16</w:t>
      </w:r>
      <w:r w:rsidR="00154C82">
        <w:t>. ledna</w:t>
      </w:r>
      <w:r w:rsidRPr="00696A49">
        <w:t xml:space="preserve"> 2024 o návrhu nařízení Evropského parlamentu a Rady, kterým se mění nařízení (EU) č. 600/2014, pokud jde o zvýšení transparentnosti údajů o trhu, odstranění překážek vzniku konsolidovaných obchodních informací, optimalizaci obchodních povinností a zákaz přijímání plateb za předávání pokynů zákazníků</w:t>
      </w:r>
      <w:bookmarkEnd w:id="5"/>
      <w:r w:rsidRPr="00696A49">
        <w:t xml:space="preserve"> </w:t>
      </w:r>
      <w:bookmarkStart w:id="6" w:name="References"/>
      <w:r w:rsidRPr="00696A49">
        <w:t>(COM(2021)0727 – C9-0440/2021 – 2021/0385(COD))</w:t>
      </w:r>
      <w:bookmarkEnd w:id="6"/>
    </w:p>
    <w:p w:rsidR="000F7017" w:rsidRPr="00696A49" w:rsidRDefault="000F7017" w:rsidP="00E53752">
      <w:pPr>
        <w:pStyle w:val="NormalBold"/>
        <w:spacing w:before="240"/>
      </w:pPr>
      <w:bookmarkStart w:id="7" w:name="TextBodyBegin"/>
      <w:bookmarkEnd w:id="7"/>
      <w:r w:rsidRPr="00696A49">
        <w:t>(Řádný legislativní postup: první čtení)</w:t>
      </w:r>
    </w:p>
    <w:p w:rsidR="000F7017" w:rsidRPr="00696A49" w:rsidRDefault="000F7017" w:rsidP="000F7017">
      <w:pPr>
        <w:pStyle w:val="EPComma"/>
      </w:pPr>
      <w:r w:rsidRPr="00696A49">
        <w:rPr>
          <w:i/>
        </w:rPr>
        <w:t>Evropský parlament</w:t>
      </w:r>
      <w:r w:rsidRPr="00696A49">
        <w:t>,</w:t>
      </w:r>
    </w:p>
    <w:p w:rsidR="000F7017" w:rsidRPr="00696A49" w:rsidRDefault="000F7017" w:rsidP="000F7017">
      <w:pPr>
        <w:pStyle w:val="NormalHanging12a"/>
      </w:pPr>
      <w:r w:rsidRPr="00696A49">
        <w:t>–</w:t>
      </w:r>
      <w:r w:rsidRPr="00696A49">
        <w:tab/>
        <w:t>s ohledem na návrh Komise předložený Evropskému parlamentu a Radě (COM(2021)</w:t>
      </w:r>
      <w:r w:rsidR="006207A5">
        <w:t>0</w:t>
      </w:r>
      <w:r w:rsidRPr="00696A49">
        <w:t>727),</w:t>
      </w:r>
    </w:p>
    <w:p w:rsidR="000F7017" w:rsidRPr="00696A49" w:rsidRDefault="000F7017" w:rsidP="000F7017">
      <w:pPr>
        <w:pStyle w:val="NormalHanging12a"/>
      </w:pPr>
      <w:r w:rsidRPr="00696A49">
        <w:t>–</w:t>
      </w:r>
      <w:r w:rsidRPr="00696A49">
        <w:tab/>
        <w:t xml:space="preserve">s ohledem na čl. 294 odst. 2 a článek 114 Smlouvy o fungování Evropské unie, v souladu </w:t>
      </w:r>
      <w:r w:rsidR="00154C82">
        <w:t>se kterými</w:t>
      </w:r>
      <w:r w:rsidRPr="00696A49">
        <w:t xml:space="preserve"> Komise předl</w:t>
      </w:r>
      <w:r w:rsidR="00E53752">
        <w:t>ožila svůj návrh Parlamentu (C9-</w:t>
      </w:r>
      <w:r w:rsidRPr="00696A49">
        <w:t>0440/2021),</w:t>
      </w:r>
    </w:p>
    <w:p w:rsidR="000F7017" w:rsidRPr="00696A49" w:rsidRDefault="000F7017" w:rsidP="000F7017">
      <w:pPr>
        <w:pStyle w:val="NormalHanging12a"/>
      </w:pPr>
      <w:r w:rsidRPr="00696A49">
        <w:t>–</w:t>
      </w:r>
      <w:r w:rsidRPr="00696A49">
        <w:tab/>
        <w:t>s ohledem na čl. 294 odst. 3 Smlouvy o fungování Evropské unie,</w:t>
      </w:r>
    </w:p>
    <w:p w:rsidR="000F7017" w:rsidRPr="00696A49" w:rsidRDefault="000F7017" w:rsidP="000F7017">
      <w:pPr>
        <w:pStyle w:val="NormalHanging12a"/>
        <w:rPr>
          <w:szCs w:val="24"/>
        </w:rPr>
      </w:pPr>
      <w:r w:rsidRPr="00696A49">
        <w:t>–</w:t>
      </w:r>
      <w:r w:rsidRPr="00696A49">
        <w:tab/>
        <w:t>s ohledem na stanovisko Evropské centrální banky ze dne 1. června 2022</w:t>
      </w:r>
      <w:r w:rsidRPr="00696A49">
        <w:rPr>
          <w:rStyle w:val="FootnoteReference"/>
          <w:szCs w:val="24"/>
        </w:rPr>
        <w:footnoteReference w:id="1"/>
      </w:r>
      <w:r w:rsidRPr="00696A49">
        <w:t>,</w:t>
      </w:r>
    </w:p>
    <w:p w:rsidR="000F7017" w:rsidRDefault="000F7017" w:rsidP="000F7017">
      <w:pPr>
        <w:pStyle w:val="NormalHanging12a"/>
      </w:pPr>
      <w:r w:rsidRPr="00696A49">
        <w:t>–</w:t>
      </w:r>
      <w:r w:rsidRPr="00696A49">
        <w:tab/>
        <w:t>s ohledem na stanovisko Evropského hospodářského a sociálního výboru ze dne 23. března 2022</w:t>
      </w:r>
      <w:r w:rsidRPr="00696A49">
        <w:rPr>
          <w:rStyle w:val="FootnoteReference"/>
          <w:szCs w:val="24"/>
        </w:rPr>
        <w:footnoteReference w:id="2"/>
      </w:r>
      <w:r w:rsidRPr="00696A49">
        <w:t>,</w:t>
      </w:r>
    </w:p>
    <w:p w:rsidR="000E4FD4" w:rsidRPr="00696A49" w:rsidRDefault="000E4FD4" w:rsidP="000F7017">
      <w:pPr>
        <w:pStyle w:val="NormalHanging12a"/>
      </w:pPr>
      <w:r w:rsidRPr="00696A49">
        <w:t>–</w:t>
      </w:r>
      <w:r w:rsidRPr="00696A49">
        <w:tab/>
      </w:r>
      <w:r w:rsidRPr="000E4FD4">
        <w:t xml:space="preserve">s ohledem na předběžnou dohodu přijatou </w:t>
      </w:r>
      <w:r>
        <w:t>příslušným výborem podle čl. 74</w:t>
      </w:r>
      <w:r w:rsidRPr="000E4FD4">
        <w:t xml:space="preserve"> odst. 4 jednacího řádu a s ohledem na to, že s</w:t>
      </w:r>
      <w:r>
        <w:t>e zástupce Rady dopisem ze dne 18. října 2023</w:t>
      </w:r>
      <w:r w:rsidRPr="000E4FD4">
        <w:t xml:space="preserve"> zavázal schválit postoj Parlamentu v souladu s čl. 294 odst. 4 Smlouvy o fungování Evropské unie,</w:t>
      </w:r>
    </w:p>
    <w:p w:rsidR="000F7017" w:rsidRPr="00696A49" w:rsidRDefault="000F7017" w:rsidP="000F7017">
      <w:pPr>
        <w:pStyle w:val="NormalHanging12a"/>
      </w:pPr>
      <w:r w:rsidRPr="00696A49">
        <w:t>–</w:t>
      </w:r>
      <w:r w:rsidRPr="00696A49">
        <w:tab/>
        <w:t>s ohledem na článek 59 jednacího řádu,</w:t>
      </w:r>
    </w:p>
    <w:p w:rsidR="000F7017" w:rsidRPr="00696A49" w:rsidRDefault="000F7017" w:rsidP="000F7017">
      <w:pPr>
        <w:pStyle w:val="NormalHanging12a"/>
      </w:pPr>
      <w:r w:rsidRPr="00696A49">
        <w:t>–</w:t>
      </w:r>
      <w:r w:rsidRPr="00696A49">
        <w:tab/>
        <w:t>s ohledem na zprávu Hospodářského a měnového výboru (A9</w:t>
      </w:r>
      <w:r w:rsidRPr="00696A49">
        <w:noBreakHyphen/>
        <w:t>0040/2023),</w:t>
      </w:r>
    </w:p>
    <w:p w:rsidR="000F7017" w:rsidRPr="00696A49" w:rsidRDefault="000F7017" w:rsidP="000F7017">
      <w:pPr>
        <w:pStyle w:val="NormalHanging12a"/>
      </w:pPr>
      <w:r w:rsidRPr="00696A49">
        <w:lastRenderedPageBreak/>
        <w:t>1.</w:t>
      </w:r>
      <w:r w:rsidRPr="00696A49">
        <w:tab/>
        <w:t>přijímá níže uvedený postoj v prvním čtení;</w:t>
      </w:r>
    </w:p>
    <w:p w:rsidR="000F7017" w:rsidRPr="00696A49" w:rsidRDefault="000F7017" w:rsidP="000F7017">
      <w:pPr>
        <w:pStyle w:val="NormalHanging12a"/>
      </w:pPr>
      <w:r w:rsidRPr="00696A49">
        <w:t>2.</w:t>
      </w:r>
      <w:r w:rsidRPr="00696A49">
        <w:tab/>
        <w:t>vyzývá Komisi, aby věc znovu postoupila Parlamentu, jestliže svůj návrh nahradí jiným textem, podstatně jej změní nebo má v úmyslu jej podstatně změnit;</w:t>
      </w:r>
    </w:p>
    <w:p w:rsidR="000F7017" w:rsidRDefault="000F7017" w:rsidP="000F7017">
      <w:pPr>
        <w:pStyle w:val="NormalHanging12a"/>
      </w:pPr>
      <w:r w:rsidRPr="00696A49">
        <w:t>3.</w:t>
      </w:r>
      <w:r w:rsidRPr="00696A49">
        <w:tab/>
        <w:t>pověřuje sv</w:t>
      </w:r>
      <w:r w:rsidR="00154C82">
        <w:t>ou</w:t>
      </w:r>
      <w:r w:rsidRPr="00696A49">
        <w:t xml:space="preserve"> předsed</w:t>
      </w:r>
      <w:r w:rsidR="00154C82">
        <w:t>kyni</w:t>
      </w:r>
      <w:r w:rsidRPr="00696A49">
        <w:t>, aby předal</w:t>
      </w:r>
      <w:r w:rsidR="00154C82">
        <w:t>a</w:t>
      </w:r>
      <w:r w:rsidRPr="00696A49">
        <w:t xml:space="preserve"> postoj Parlamentu Radě</w:t>
      </w:r>
      <w:r w:rsidR="00154C82">
        <w:t xml:space="preserve"> a</w:t>
      </w:r>
      <w:r w:rsidRPr="00696A49">
        <w:t xml:space="preserve"> Komisi, jakož i vnitrostátním parlamentům.</w:t>
      </w:r>
    </w:p>
    <w:p w:rsidR="00212959" w:rsidRDefault="00212959" w:rsidP="000F7017">
      <w:pPr>
        <w:pStyle w:val="NormalHanging12a"/>
        <w:sectPr w:rsidR="00212959" w:rsidSect="00696A4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12959" w:rsidRPr="00E53752" w:rsidRDefault="00212959" w:rsidP="00212959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E53752">
        <w:rPr>
          <w:b/>
          <w:bCs/>
          <w:color w:val="000000"/>
          <w:szCs w:val="24"/>
        </w:rPr>
        <w:lastRenderedPageBreak/>
        <w:t>P9_TC1-COD(2021)0385</w:t>
      </w:r>
    </w:p>
    <w:p w:rsidR="00212959" w:rsidRPr="00F4236B" w:rsidRDefault="00212959" w:rsidP="00212959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F4236B">
        <w:rPr>
          <w:b/>
          <w:bCs/>
          <w:color w:val="000000"/>
          <w:szCs w:val="24"/>
        </w:rPr>
        <w:t xml:space="preserve">Postoj Evropsk0ho parlamentu přijatý v prvním čtení dne 16. ledna 2024 k přijetí nařízení Evropského parlamentu a Rady (EU) </w:t>
      </w:r>
      <w:r w:rsidRPr="00F4236B">
        <w:rPr>
          <w:b/>
          <w:szCs w:val="24"/>
        </w:rPr>
        <w:t xml:space="preserve">2024/…, </w:t>
      </w:r>
      <w:r w:rsidRPr="00F4236B">
        <w:rPr>
          <w:b/>
          <w:bCs/>
          <w:szCs w:val="24"/>
        </w:rPr>
        <w:t>kterým se mění nařízení (EU) č. 600/2014, pokud jde o</w:t>
      </w:r>
      <w:r w:rsidR="00F4236B" w:rsidRPr="00F4236B">
        <w:rPr>
          <w:b/>
          <w:bCs/>
          <w:szCs w:val="24"/>
        </w:rPr>
        <w:t> zvýšení transparentnosti údajů</w:t>
      </w:r>
      <w:r w:rsidRPr="00F4236B">
        <w:rPr>
          <w:b/>
          <w:bCs/>
          <w:szCs w:val="24"/>
        </w:rPr>
        <w:t xml:space="preserve">, odstranění překážek vzniku služby konsolidovaných obchodních informací, optimalizaci obchodních povinností a zákaz přijímání plateb za </w:t>
      </w:r>
      <w:r w:rsidRPr="00F4236B">
        <w:rPr>
          <w:b/>
          <w:bCs/>
          <w:iCs/>
          <w:szCs w:val="24"/>
        </w:rPr>
        <w:t>tok</w:t>
      </w:r>
      <w:r w:rsidR="00F4236B" w:rsidRPr="00F4236B">
        <w:rPr>
          <w:b/>
          <w:bCs/>
          <w:szCs w:val="24"/>
        </w:rPr>
        <w:t xml:space="preserve"> pokynů</w:t>
      </w:r>
    </w:p>
    <w:p w:rsidR="00F4236B" w:rsidRDefault="00F4236B" w:rsidP="00212959">
      <w:pPr>
        <w:autoSpaceDE w:val="0"/>
        <w:autoSpaceDN w:val="0"/>
        <w:adjustRightInd w:val="0"/>
        <w:spacing w:after="240"/>
        <w:rPr>
          <w:b/>
          <w:bCs/>
          <w:szCs w:val="24"/>
        </w:rPr>
      </w:pPr>
    </w:p>
    <w:p w:rsidR="00F4236B" w:rsidRPr="00E53752" w:rsidRDefault="00F4236B" w:rsidP="00BA6A11">
      <w:pPr>
        <w:rPr>
          <w:b/>
          <w:bCs/>
          <w:color w:val="000000"/>
          <w:szCs w:val="24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791</w:t>
      </w:r>
      <w:r>
        <w:rPr>
          <w:i/>
        </w:rPr>
        <w:t>.)</w:t>
      </w:r>
      <w:bookmarkStart w:id="8" w:name="_GoBack"/>
      <w:bookmarkEnd w:id="8"/>
    </w:p>
    <w:sectPr w:rsidR="00F4236B" w:rsidRPr="00E53752" w:rsidSect="00696A4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C82" w:rsidRPr="00696A49" w:rsidRDefault="00154C82">
      <w:r w:rsidRPr="00696A49">
        <w:separator/>
      </w:r>
    </w:p>
  </w:endnote>
  <w:endnote w:type="continuationSeparator" w:id="0">
    <w:p w:rsidR="00154C82" w:rsidRPr="00696A49" w:rsidRDefault="00154C82">
      <w:r w:rsidRPr="00696A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C82" w:rsidRPr="00696A49" w:rsidRDefault="00154C82">
      <w:r w:rsidRPr="00696A49">
        <w:separator/>
      </w:r>
    </w:p>
  </w:footnote>
  <w:footnote w:type="continuationSeparator" w:id="0">
    <w:p w:rsidR="00154C82" w:rsidRPr="00696A49" w:rsidRDefault="00154C82">
      <w:r w:rsidRPr="00696A49">
        <w:continuationSeparator/>
      </w:r>
    </w:p>
  </w:footnote>
  <w:footnote w:id="1">
    <w:p w:rsidR="00154C82" w:rsidRPr="00E53752" w:rsidRDefault="00154C82" w:rsidP="00E53752">
      <w:pPr>
        <w:pStyle w:val="FootnoteText"/>
        <w:tabs>
          <w:tab w:val="left" w:pos="567"/>
        </w:tabs>
        <w:ind w:left="567" w:hanging="567"/>
        <w:rPr>
          <w:sz w:val="24"/>
          <w:szCs w:val="24"/>
          <w:lang w:val="cs-CZ"/>
        </w:rPr>
      </w:pPr>
      <w:r w:rsidRPr="00E53752">
        <w:rPr>
          <w:rStyle w:val="FootnoteReference"/>
          <w:sz w:val="24"/>
          <w:szCs w:val="24"/>
          <w:lang w:val="cs-CZ"/>
        </w:rPr>
        <w:footnoteRef/>
      </w:r>
      <w:r w:rsidRPr="00E53752">
        <w:rPr>
          <w:sz w:val="24"/>
          <w:szCs w:val="24"/>
          <w:lang w:val="cs-CZ"/>
        </w:rPr>
        <w:t xml:space="preserve"> </w:t>
      </w:r>
      <w:r w:rsidRPr="00E53752">
        <w:rPr>
          <w:sz w:val="24"/>
          <w:szCs w:val="24"/>
          <w:lang w:val="cs-CZ"/>
        </w:rPr>
        <w:tab/>
        <w:t>Úř. věst. C 286, 27.7.2022, s. 17.</w:t>
      </w:r>
    </w:p>
  </w:footnote>
  <w:footnote w:id="2">
    <w:p w:rsidR="00154C82" w:rsidRPr="00E53752" w:rsidRDefault="00154C82" w:rsidP="00E53752">
      <w:pPr>
        <w:pStyle w:val="FootnoteText"/>
        <w:tabs>
          <w:tab w:val="left" w:pos="567"/>
        </w:tabs>
        <w:ind w:left="567" w:hanging="567"/>
        <w:rPr>
          <w:sz w:val="24"/>
          <w:szCs w:val="24"/>
          <w:lang w:val="cs-CZ"/>
        </w:rPr>
      </w:pPr>
      <w:r w:rsidRPr="00E53752">
        <w:rPr>
          <w:rStyle w:val="FootnoteReference"/>
          <w:sz w:val="24"/>
          <w:szCs w:val="24"/>
          <w:lang w:val="cs-CZ"/>
        </w:rPr>
        <w:footnoteRef/>
      </w:r>
      <w:r w:rsidRPr="00E53752">
        <w:rPr>
          <w:sz w:val="24"/>
          <w:szCs w:val="24"/>
          <w:lang w:val="cs-CZ"/>
        </w:rPr>
        <w:t xml:space="preserve"> </w:t>
      </w:r>
      <w:r w:rsidRPr="00E53752">
        <w:rPr>
          <w:sz w:val="24"/>
          <w:szCs w:val="24"/>
          <w:lang w:val="cs-CZ"/>
        </w:rPr>
        <w:tab/>
        <w:t>Úř. věst. C 290, 29.7.2022, s. 68.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9B56E2A"/>
    <w:multiLevelType w:val="hybridMultilevel"/>
    <w:tmpl w:val="A60CC6D0"/>
    <w:lvl w:ilvl="0" w:tplc="839092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CS"/>
    <w:docVar w:name="dvnumam" w:val="0"/>
    <w:docVar w:name="dvpe" w:val="731.644"/>
    <w:docVar w:name="dvrapporteur" w:val="Zpravodajka: "/>
    <w:docVar w:name="dvstar" w:val="***I"/>
    <w:docVar w:name="dvtitre" w:val="Legislativní usnesení Evropského parlamentu ze dne.... 2024 o návrhu nařízení Evropského parlamentu a Rady, kterým se mění nařízení (EU) č. 600/2014, pokud jde o zvýšení transparentnosti údajů o trhu, odstranění překážek vzniku konsolidovaných obchodních informací, optimalizaci obchodních povinností a zákaz přijímání plateb za předávání pokynů zákazníků(COM(2021)0727 – C9-0440/2021 – 2021/0385(COD))"/>
  </w:docVars>
  <w:rsids>
    <w:rsidRoot w:val="00355EF7"/>
    <w:rsid w:val="00002272"/>
    <w:rsid w:val="00064002"/>
    <w:rsid w:val="000677B9"/>
    <w:rsid w:val="000831BA"/>
    <w:rsid w:val="000A0BAE"/>
    <w:rsid w:val="000A42CC"/>
    <w:rsid w:val="000E4FD4"/>
    <w:rsid w:val="000E7DD9"/>
    <w:rsid w:val="000F7017"/>
    <w:rsid w:val="0010095E"/>
    <w:rsid w:val="00125B37"/>
    <w:rsid w:val="00154C82"/>
    <w:rsid w:val="00187494"/>
    <w:rsid w:val="001F32AE"/>
    <w:rsid w:val="00212959"/>
    <w:rsid w:val="002767FF"/>
    <w:rsid w:val="002B18FE"/>
    <w:rsid w:val="002B5493"/>
    <w:rsid w:val="00343214"/>
    <w:rsid w:val="00355EF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778"/>
    <w:rsid w:val="0050519A"/>
    <w:rsid w:val="005072A1"/>
    <w:rsid w:val="00514517"/>
    <w:rsid w:val="00545827"/>
    <w:rsid w:val="00560270"/>
    <w:rsid w:val="005C2568"/>
    <w:rsid w:val="006037C0"/>
    <w:rsid w:val="006207A5"/>
    <w:rsid w:val="006631B6"/>
    <w:rsid w:val="00680577"/>
    <w:rsid w:val="00696A49"/>
    <w:rsid w:val="006F2A7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6903"/>
    <w:rsid w:val="00B12E95"/>
    <w:rsid w:val="00B22876"/>
    <w:rsid w:val="00B558F0"/>
    <w:rsid w:val="00BA6A1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3752"/>
    <w:rsid w:val="00E820A4"/>
    <w:rsid w:val="00EB006A"/>
    <w:rsid w:val="00EB4772"/>
    <w:rsid w:val="00EC037C"/>
    <w:rsid w:val="00ED169E"/>
    <w:rsid w:val="00ED4235"/>
    <w:rsid w:val="00F04346"/>
    <w:rsid w:val="00F075DC"/>
    <w:rsid w:val="00F149E9"/>
    <w:rsid w:val="00F30791"/>
    <w:rsid w:val="00F4236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63BFD"/>
  <w15:chartTrackingRefBased/>
  <w15:docId w15:val="{EF103969-A6CD-4588-A113-0EA1CD6A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701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F701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F701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F701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F701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F7017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0F7017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0F7017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0F7017"/>
    <w:rPr>
      <w:rFonts w:ascii="Arial" w:hAnsi="Arial"/>
      <w:b/>
      <w:i/>
      <w:sz w:val="18"/>
      <w:lang w:val="cs-CZ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nhideWhenUsed/>
    <w:qFormat/>
    <w:rsid w:val="000F701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F701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F701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F7017"/>
    <w:pPr>
      <w:spacing w:after="120"/>
    </w:pPr>
  </w:style>
  <w:style w:type="paragraph" w:customStyle="1" w:styleId="PageHeading">
    <w:name w:val="PageHeading"/>
    <w:basedOn w:val="Normal"/>
    <w:rsid w:val="000F701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F7017"/>
    <w:rPr>
      <w:b/>
    </w:rPr>
  </w:style>
  <w:style w:type="character" w:customStyle="1" w:styleId="NormalBoldChar">
    <w:name w:val="NormalBold Char"/>
    <w:link w:val="NormalBold"/>
    <w:locked/>
    <w:rsid w:val="000F7017"/>
    <w:rPr>
      <w:b/>
      <w:sz w:val="24"/>
      <w:lang w:val="cs-CZ"/>
    </w:rPr>
  </w:style>
  <w:style w:type="paragraph" w:customStyle="1" w:styleId="NormalBold12a">
    <w:name w:val="NormalBold12a"/>
    <w:basedOn w:val="Normal"/>
    <w:rsid w:val="000F7017"/>
    <w:pPr>
      <w:spacing w:after="240"/>
    </w:pPr>
    <w:rPr>
      <w:b/>
    </w:rPr>
  </w:style>
  <w:style w:type="paragraph" w:customStyle="1" w:styleId="AmJustText">
    <w:name w:val="AmJustText"/>
    <w:basedOn w:val="Normal"/>
    <w:rsid w:val="000F701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F701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F7017"/>
    <w:pPr>
      <w:spacing w:after="480"/>
      <w:ind w:left="1417"/>
    </w:pPr>
  </w:style>
  <w:style w:type="paragraph" w:customStyle="1" w:styleId="CoverNormal">
    <w:name w:val="CoverNormal"/>
    <w:basedOn w:val="Normal"/>
    <w:rsid w:val="000F7017"/>
    <w:pPr>
      <w:ind w:left="1418"/>
    </w:pPr>
  </w:style>
  <w:style w:type="paragraph" w:customStyle="1" w:styleId="AmCrossRef">
    <w:name w:val="AmCrossRef"/>
    <w:basedOn w:val="Normal"/>
    <w:rsid w:val="000F701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F701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F701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F701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F701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F7017"/>
    <w:pPr>
      <w:spacing w:before="240" w:after="1200"/>
    </w:pPr>
  </w:style>
  <w:style w:type="paragraph" w:styleId="Header">
    <w:name w:val="header"/>
    <w:basedOn w:val="Normal"/>
    <w:link w:val="HeaderChar"/>
    <w:rsid w:val="000F70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F7017"/>
    <w:rPr>
      <w:sz w:val="24"/>
      <w:lang w:val="cs-CZ"/>
    </w:rPr>
  </w:style>
  <w:style w:type="paragraph" w:customStyle="1" w:styleId="AmOrLang">
    <w:name w:val="AmOrLang"/>
    <w:basedOn w:val="Normal"/>
    <w:rsid w:val="000F701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F701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F701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F7017"/>
    <w:pPr>
      <w:spacing w:before="240"/>
    </w:pPr>
    <w:rPr>
      <w:b/>
    </w:rPr>
  </w:style>
  <w:style w:type="paragraph" w:customStyle="1" w:styleId="EPBody">
    <w:name w:val="EPBody"/>
    <w:basedOn w:val="Normal"/>
    <w:rsid w:val="000F701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F701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F7017"/>
    <w:pPr>
      <w:spacing w:before="480" w:after="240"/>
    </w:pPr>
  </w:style>
  <w:style w:type="paragraph" w:customStyle="1" w:styleId="Lgendesigne">
    <w:name w:val="Légende signe"/>
    <w:basedOn w:val="Normal"/>
    <w:rsid w:val="000F701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F701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F7017"/>
    <w:rPr>
      <w:sz w:val="18"/>
    </w:rPr>
  </w:style>
  <w:style w:type="paragraph" w:styleId="Footer">
    <w:name w:val="footer"/>
    <w:basedOn w:val="Normal"/>
    <w:link w:val="FooterChar"/>
    <w:rsid w:val="000F70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F7017"/>
    <w:rPr>
      <w:sz w:val="24"/>
      <w:lang w:val="cs-CZ"/>
    </w:rPr>
  </w:style>
  <w:style w:type="paragraph" w:customStyle="1" w:styleId="msonormal0">
    <w:name w:val="msonormal"/>
    <w:basedOn w:val="Normal"/>
    <w:rsid w:val="000F7017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0F7017"/>
    <w:rPr>
      <w:noProof/>
      <w:sz w:val="24"/>
    </w:rPr>
  </w:style>
  <w:style w:type="paragraph" w:customStyle="1" w:styleId="Normal12">
    <w:name w:val="Normal12"/>
    <w:basedOn w:val="Normal"/>
    <w:link w:val="Normal12Char"/>
    <w:rsid w:val="000F701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F701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F701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F701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F701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F701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0F7017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0F7017"/>
    <w:pPr>
      <w:spacing w:after="120"/>
    </w:pPr>
  </w:style>
  <w:style w:type="paragraph" w:customStyle="1" w:styleId="Normal12Italic">
    <w:name w:val="Normal12Italic"/>
    <w:basedOn w:val="Normal12"/>
    <w:rsid w:val="000F7017"/>
    <w:rPr>
      <w:i/>
    </w:rPr>
  </w:style>
  <w:style w:type="paragraph" w:customStyle="1" w:styleId="JustificationTitle">
    <w:name w:val="JustificationTitle"/>
    <w:basedOn w:val="Normal"/>
    <w:next w:val="Normal12"/>
    <w:rsid w:val="000F701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F701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F701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F701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F7017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F701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0F7017"/>
    <w:pPr>
      <w:jc w:val="center"/>
    </w:pPr>
    <w:rPr>
      <w:noProof w:val="0"/>
      <w:sz w:val="56"/>
    </w:rPr>
  </w:style>
  <w:style w:type="paragraph" w:styleId="CommentText">
    <w:name w:val="annotation text"/>
    <w:basedOn w:val="Normal"/>
    <w:link w:val="CommentTextChar"/>
    <w:uiPriority w:val="99"/>
    <w:rsid w:val="000F701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701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F70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7017"/>
    <w:rPr>
      <w:b/>
      <w:bCs/>
      <w:lang w:val="cs-CZ"/>
    </w:rPr>
  </w:style>
  <w:style w:type="paragraph" w:customStyle="1" w:styleId="Text1">
    <w:name w:val="Text 1"/>
    <w:basedOn w:val="Normal"/>
    <w:rsid w:val="000F701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F701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0F70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7017"/>
    <w:rPr>
      <w:rFonts w:ascii="Segoe UI" w:hAnsi="Segoe UI" w:cs="Segoe UI"/>
      <w:sz w:val="18"/>
      <w:szCs w:val="18"/>
      <w:lang w:val="cs-CZ"/>
    </w:rPr>
  </w:style>
  <w:style w:type="paragraph" w:customStyle="1" w:styleId="NormalCenter12a">
    <w:name w:val="NormalCenter12a"/>
    <w:basedOn w:val="Normal"/>
    <w:rsid w:val="000F7017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0F7017"/>
    <w:pPr>
      <w:spacing w:before="720" w:after="240"/>
      <w:jc w:val="center"/>
    </w:pPr>
    <w:rPr>
      <w:lang w:val="en-GB"/>
    </w:rPr>
  </w:style>
  <w:style w:type="paragraph" w:customStyle="1" w:styleId="Text2">
    <w:name w:val="Text 2"/>
    <w:basedOn w:val="Normal"/>
    <w:rsid w:val="000F7017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Text3">
    <w:name w:val="Text 3"/>
    <w:basedOn w:val="Normal"/>
    <w:uiPriority w:val="99"/>
    <w:semiHidden/>
    <w:rsid w:val="000F7017"/>
    <w:pPr>
      <w:widowControl/>
      <w:spacing w:before="120" w:after="120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Text4">
    <w:name w:val="Text 4"/>
    <w:basedOn w:val="Normal"/>
    <w:uiPriority w:val="99"/>
    <w:semiHidden/>
    <w:rsid w:val="000F7017"/>
    <w:pPr>
      <w:widowControl/>
      <w:spacing w:before="120" w:after="120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uiPriority w:val="99"/>
    <w:semiHidden/>
    <w:rsid w:val="000F7017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0F7017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0F7017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0F7017"/>
    <w:pPr>
      <w:widowControl/>
      <w:spacing w:before="120" w:after="120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uiPriority w:val="99"/>
    <w:semiHidden/>
    <w:rsid w:val="000F7017"/>
    <w:pPr>
      <w:widowControl/>
      <w:spacing w:before="120" w:after="120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0F7017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0F7017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0F701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0F7017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0F7017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0F7017"/>
    <w:pPr>
      <w:widowControl/>
      <w:spacing w:before="360" w:after="240"/>
      <w:jc w:val="center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0F7017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0F7017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0F7017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uiPriority w:val="99"/>
    <w:semiHidden/>
    <w:rsid w:val="000F7017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0F7017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0F7017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0F7017"/>
    <w:pPr>
      <w:ind w:left="720"/>
      <w:contextualSpacing/>
    </w:pPr>
    <w:rPr>
      <w:lang w:val="en-GB"/>
    </w:rPr>
  </w:style>
  <w:style w:type="paragraph" w:customStyle="1" w:styleId="Normal12a">
    <w:name w:val="Normal12a"/>
    <w:basedOn w:val="Normal"/>
    <w:rsid w:val="000F7017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0F7017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0F7017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0F7017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0F7017"/>
    <w:pPr>
      <w:spacing w:before="120" w:after="120"/>
    </w:pPr>
    <w:rPr>
      <w:snapToGrid w:val="0"/>
      <w:sz w:val="16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0F701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212959"/>
    <w:rPr>
      <w:sz w:val="16"/>
      <w:szCs w:val="16"/>
    </w:rPr>
  </w:style>
  <w:style w:type="character" w:customStyle="1" w:styleId="rynqvb">
    <w:name w:val="rynqvb"/>
    <w:basedOn w:val="DefaultParagraphFont"/>
    <w:rsid w:val="0021295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295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12959"/>
    <w:rPr>
      <w:sz w:val="18"/>
      <w:szCs w:val="24"/>
      <w:lang w:val="cs-CZ"/>
    </w:rPr>
  </w:style>
  <w:style w:type="paragraph" w:styleId="NormalWeb">
    <w:name w:val="Normal (Web)"/>
    <w:basedOn w:val="Normal"/>
    <w:uiPriority w:val="99"/>
    <w:unhideWhenUsed/>
    <w:rsid w:val="00212959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212959"/>
  </w:style>
  <w:style w:type="character" w:customStyle="1" w:styleId="highlight">
    <w:name w:val="highlight"/>
    <w:basedOn w:val="DefaultParagraphFont"/>
    <w:rsid w:val="00212959"/>
  </w:style>
  <w:style w:type="character" w:customStyle="1" w:styleId="ui-provider">
    <w:name w:val="ui-provider"/>
    <w:basedOn w:val="DefaultParagraphFont"/>
    <w:rsid w:val="00212959"/>
  </w:style>
  <w:style w:type="paragraph" w:styleId="BodyText">
    <w:name w:val="Body Text"/>
    <w:basedOn w:val="Normal"/>
    <w:link w:val="BodyTextChar"/>
    <w:uiPriority w:val="99"/>
    <w:unhideWhenUsed/>
    <w:rsid w:val="00212959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212959"/>
    <w:rPr>
      <w:rFonts w:ascii="Calibri" w:eastAsiaTheme="minorHAnsi" w:hAnsi="Calibri" w:cs="Calibri"/>
      <w:sz w:val="25"/>
      <w:szCs w:val="25"/>
      <w:lang w:val="cs-CZ" w:eastAsia="en-US"/>
    </w:rPr>
  </w:style>
  <w:style w:type="paragraph" w:customStyle="1" w:styleId="norm">
    <w:name w:val="norm"/>
    <w:basedOn w:val="Normal"/>
    <w:rsid w:val="00212959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212959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212959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212959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12959"/>
    <w:rPr>
      <w:rFonts w:ascii="Calibri" w:eastAsiaTheme="minorHAnsi" w:hAnsi="Calibri" w:cstheme="minorBidi"/>
      <w:sz w:val="22"/>
      <w:szCs w:val="21"/>
      <w:lang w:val="cs-CZ" w:eastAsia="en-US"/>
    </w:rPr>
  </w:style>
  <w:style w:type="paragraph" w:customStyle="1" w:styleId="Normal1">
    <w:name w:val="Normal1"/>
    <w:basedOn w:val="Normal"/>
    <w:rsid w:val="00212959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nhideWhenUsed/>
    <w:rsid w:val="002129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ABEC5-EFD0-446B-B506-86C6B638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2024-05-21T11:50:00Z</dcterms:created>
  <dcterms:modified xsi:type="dcterms:W3CDTF">2024-05-21T11:50:00Z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