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3D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3D7B" w:rsidRDefault="003F1484" w:rsidP="0010095E">
            <w:pPr>
              <w:pStyle w:val="EPName"/>
            </w:pPr>
            <w:r w:rsidRPr="00DF3D7B">
              <w:t>Parlement européen</w:t>
            </w:r>
          </w:p>
          <w:p w:rsidR="00751A4A" w:rsidRPr="00DF3D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3D7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F3D7B" w:rsidRDefault="00187494" w:rsidP="0010095E">
            <w:pPr>
              <w:pStyle w:val="EPLogo"/>
            </w:pPr>
            <w:r w:rsidRPr="00DF3D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3D7B" w:rsidRDefault="00D058B8" w:rsidP="004C5D52">
      <w:pPr>
        <w:pStyle w:val="LineTop"/>
      </w:pPr>
    </w:p>
    <w:p w:rsidR="00680577" w:rsidRPr="00DF3D7B" w:rsidRDefault="003F1484" w:rsidP="00680577">
      <w:pPr>
        <w:pStyle w:val="EPBodyTA1"/>
      </w:pPr>
      <w:r w:rsidRPr="00DF3D7B">
        <w:t>TEXTES ADOPTÉS</w:t>
      </w:r>
    </w:p>
    <w:p w:rsidR="00D058B8" w:rsidRPr="00DF3D7B" w:rsidRDefault="00D058B8" w:rsidP="00D058B8">
      <w:pPr>
        <w:pStyle w:val="LineBottom"/>
      </w:pPr>
    </w:p>
    <w:p w:rsidR="003F1484" w:rsidRPr="00DF3D7B" w:rsidRDefault="003F1484" w:rsidP="003F1484">
      <w:pPr>
        <w:pStyle w:val="ATHeading1"/>
      </w:pPr>
      <w:bookmarkStart w:id="0" w:name="TANumber"/>
      <w:r w:rsidRPr="00DF3D7B">
        <w:t>P9_TA(202</w:t>
      </w:r>
      <w:r w:rsidR="000315BD">
        <w:t>4</w:t>
      </w:r>
      <w:r w:rsidRPr="00DF3D7B">
        <w:t>)</w:t>
      </w:r>
      <w:bookmarkEnd w:id="0"/>
      <w:r w:rsidR="004719FA" w:rsidRPr="00DF3D7B">
        <w:t>000</w:t>
      </w:r>
      <w:r w:rsidR="004719FA">
        <w:t>4</w:t>
      </w:r>
    </w:p>
    <w:p w:rsidR="003F1484" w:rsidRPr="00DF3D7B" w:rsidRDefault="00A214BF" w:rsidP="003F1484">
      <w:pPr>
        <w:pStyle w:val="ATHeading2"/>
      </w:pPr>
      <w:bookmarkStart w:id="1" w:name="title"/>
      <w:r>
        <w:t>Modification</w:t>
      </w:r>
      <w:r w:rsidR="00D37747">
        <w:t>s</w:t>
      </w:r>
      <w:r>
        <w:t xml:space="preserve"> du règlement sur les marchés d’instruments financiers (MiFIR)</w:t>
      </w:r>
      <w:bookmarkEnd w:id="1"/>
    </w:p>
    <w:p w:rsidR="003F1484" w:rsidRPr="00DF3D7B" w:rsidRDefault="003F1484" w:rsidP="003F1484">
      <w:pPr>
        <w:rPr>
          <w:i/>
          <w:vanish/>
        </w:rPr>
      </w:pPr>
      <w:r w:rsidRPr="00DF3D7B">
        <w:rPr>
          <w:i/>
        </w:rPr>
        <w:fldChar w:fldCharType="begin"/>
      </w:r>
      <w:r w:rsidRPr="00DF3D7B">
        <w:rPr>
          <w:i/>
        </w:rPr>
        <w:instrText xml:space="preserve"> TC"(</w:instrText>
      </w:r>
      <w:bookmarkStart w:id="2" w:name="DocNumber"/>
      <w:r w:rsidRPr="00DF3D7B">
        <w:rPr>
          <w:i/>
        </w:rPr>
        <w:instrText>A9-0040/2023</w:instrText>
      </w:r>
      <w:bookmarkEnd w:id="2"/>
      <w:r w:rsidRPr="00DF3D7B">
        <w:rPr>
          <w:i/>
        </w:rPr>
        <w:instrText xml:space="preserve"> - Rapporteure: Danuta Maria Hübner)"\l3 \n&gt; \* MERGEFORMAT </w:instrText>
      </w:r>
      <w:r w:rsidRPr="00DF3D7B">
        <w:rPr>
          <w:i/>
        </w:rPr>
        <w:fldChar w:fldCharType="end"/>
      </w:r>
    </w:p>
    <w:p w:rsidR="003F1484" w:rsidRPr="00DF3D7B" w:rsidRDefault="003F1484" w:rsidP="003F1484">
      <w:pPr>
        <w:rPr>
          <w:vanish/>
        </w:rPr>
      </w:pPr>
      <w:bookmarkStart w:id="3" w:name="Commission"/>
      <w:r w:rsidRPr="00DF3D7B">
        <w:rPr>
          <w:vanish/>
        </w:rPr>
        <w:t>Commission des affaires économiques et monétaires</w:t>
      </w:r>
      <w:bookmarkEnd w:id="3"/>
    </w:p>
    <w:p w:rsidR="003F1484" w:rsidRPr="00DF3D7B" w:rsidRDefault="003F1484" w:rsidP="003F1484">
      <w:pPr>
        <w:rPr>
          <w:vanish/>
        </w:rPr>
      </w:pPr>
      <w:bookmarkStart w:id="4" w:name="PE"/>
      <w:r w:rsidRPr="00DF3D7B">
        <w:rPr>
          <w:vanish/>
        </w:rPr>
        <w:t>PE731.644</w:t>
      </w:r>
      <w:bookmarkEnd w:id="4"/>
    </w:p>
    <w:p w:rsidR="003F1484" w:rsidRPr="00DF3D7B" w:rsidRDefault="003F1484" w:rsidP="003F1484">
      <w:pPr>
        <w:pStyle w:val="ATHeading3"/>
      </w:pPr>
      <w:bookmarkStart w:id="5" w:name="Sujet"/>
      <w:r w:rsidRPr="00DF3D7B">
        <w:t xml:space="preserve">Résolution législative du Parlement européen du </w:t>
      </w:r>
      <w:r w:rsidR="00413E92">
        <w:t>16 janvier</w:t>
      </w:r>
      <w:r w:rsidR="00413E92" w:rsidRPr="00DF3D7B">
        <w:t xml:space="preserve"> 202</w:t>
      </w:r>
      <w:r w:rsidR="00413E92">
        <w:t>4</w:t>
      </w:r>
      <w:r w:rsidR="00413E92" w:rsidRPr="00DF3D7B">
        <w:t xml:space="preserve"> </w:t>
      </w:r>
      <w:r w:rsidRPr="00DF3D7B">
        <w:t>sur la proposition de règlement du Parlement européen et du Conseil modifiant le règlement (UE) nº 600/2014 en vue de renforcer la transparence des données de marché, de lever les obstacles à la mise en place d’un système consolidé de publication, d’optimiser les obligations de négociation et d’interdire la réception de paiements pour la transmission des ordres de clients</w:t>
      </w:r>
      <w:bookmarkEnd w:id="5"/>
      <w:r w:rsidRPr="00DF3D7B">
        <w:t xml:space="preserve"> </w:t>
      </w:r>
      <w:bookmarkStart w:id="6" w:name="References"/>
      <w:r w:rsidRPr="00DF3D7B">
        <w:t>(COM(2021)0727 – C9-0440/2021 – 2021/0385(COD))</w:t>
      </w:r>
      <w:bookmarkEnd w:id="6"/>
    </w:p>
    <w:p w:rsidR="00353187" w:rsidRPr="00DF3D7B" w:rsidRDefault="00353187" w:rsidP="00B4365B">
      <w:pPr>
        <w:pStyle w:val="NormalBold"/>
        <w:spacing w:before="240"/>
      </w:pPr>
      <w:bookmarkStart w:id="7" w:name="TextBodyBegin"/>
      <w:bookmarkEnd w:id="7"/>
      <w:r w:rsidRPr="00DF3D7B">
        <w:t>(Procédure législative ordinaire: première lecture)</w:t>
      </w:r>
    </w:p>
    <w:p w:rsidR="00353187" w:rsidRPr="00DF3D7B" w:rsidRDefault="00353187" w:rsidP="00353187">
      <w:pPr>
        <w:pStyle w:val="EPComma"/>
      </w:pPr>
      <w:r w:rsidRPr="00DF3D7B">
        <w:rPr>
          <w:i/>
        </w:rPr>
        <w:t>Le Parlement européen</w:t>
      </w:r>
      <w:r w:rsidRPr="00DF3D7B">
        <w:t>,</w:t>
      </w:r>
    </w:p>
    <w:p w:rsidR="00353187" w:rsidRPr="00DF3D7B" w:rsidRDefault="00353187" w:rsidP="00353187">
      <w:pPr>
        <w:pStyle w:val="NormalHanging12a"/>
      </w:pPr>
      <w:r w:rsidRPr="00DF3D7B">
        <w:t>–</w:t>
      </w:r>
      <w:r w:rsidRPr="00DF3D7B">
        <w:tab/>
        <w:t>vu la proposition de la Commission au Parlement européen et au Conseil (COM(2021)0727),</w:t>
      </w:r>
    </w:p>
    <w:p w:rsidR="00353187" w:rsidRPr="00DF3D7B" w:rsidRDefault="00353187" w:rsidP="00353187">
      <w:pPr>
        <w:pStyle w:val="NormalHanging12a"/>
      </w:pPr>
      <w:r w:rsidRPr="00DF3D7B">
        <w:t>–</w:t>
      </w:r>
      <w:r w:rsidRPr="00DF3D7B">
        <w:tab/>
        <w:t>vu l’article 294, paragraphe 2, et l’article 114 du traité sur le fonctionnement de l’Union européenne, conformément auxquels la proposition lui a été présentée par la Commission (C9-0440/2021),</w:t>
      </w:r>
    </w:p>
    <w:p w:rsidR="00353187" w:rsidRPr="00DF3D7B" w:rsidRDefault="00353187" w:rsidP="00353187">
      <w:pPr>
        <w:pStyle w:val="NormalHanging12a"/>
      </w:pPr>
      <w:r w:rsidRPr="00DF3D7B">
        <w:t>–</w:t>
      </w:r>
      <w:r w:rsidRPr="00DF3D7B">
        <w:tab/>
        <w:t>vu l’article 294, paragraphe 3, du traité sur le fonctionnement de l’Union européenne,</w:t>
      </w:r>
    </w:p>
    <w:p w:rsidR="00353187" w:rsidRPr="00DF3D7B" w:rsidRDefault="00353187" w:rsidP="00353187">
      <w:pPr>
        <w:pStyle w:val="NormalHanging12a"/>
        <w:rPr>
          <w:szCs w:val="24"/>
        </w:rPr>
      </w:pPr>
      <w:r w:rsidRPr="00DF3D7B">
        <w:t>–</w:t>
      </w:r>
      <w:r w:rsidRPr="00DF3D7B">
        <w:tab/>
        <w:t>vu l’avis de la Banque centrale européenne du 1</w:t>
      </w:r>
      <w:r w:rsidRPr="00DF3D7B">
        <w:rPr>
          <w:vertAlign w:val="superscript"/>
        </w:rPr>
        <w:t>er</w:t>
      </w:r>
      <w:r w:rsidRPr="00DF3D7B">
        <w:t> juin 2022</w:t>
      </w:r>
      <w:r w:rsidRPr="00DF3D7B">
        <w:rPr>
          <w:rStyle w:val="FootnoteReference"/>
          <w:szCs w:val="24"/>
        </w:rPr>
        <w:footnoteReference w:id="1"/>
      </w:r>
      <w:r w:rsidRPr="00DF3D7B">
        <w:t>,</w:t>
      </w:r>
    </w:p>
    <w:p w:rsidR="00353187" w:rsidRDefault="00353187" w:rsidP="00353187">
      <w:pPr>
        <w:pStyle w:val="NormalHanging12a"/>
      </w:pPr>
      <w:r w:rsidRPr="00DF3D7B">
        <w:t>–</w:t>
      </w:r>
      <w:r w:rsidRPr="00DF3D7B">
        <w:tab/>
        <w:t>vu l’avis du Comité économique et social européen du 23 mars 2022</w:t>
      </w:r>
      <w:r w:rsidRPr="00DF3D7B">
        <w:rPr>
          <w:rStyle w:val="FootnoteReference"/>
          <w:szCs w:val="24"/>
        </w:rPr>
        <w:footnoteReference w:id="2"/>
      </w:r>
      <w:r w:rsidRPr="00DF3D7B">
        <w:t>,</w:t>
      </w:r>
    </w:p>
    <w:p w:rsidR="00413E92" w:rsidRPr="00413E92" w:rsidRDefault="00413E92" w:rsidP="00B4365B">
      <w:pPr>
        <w:widowControl/>
        <w:ind w:left="567" w:hanging="567"/>
        <w:rPr>
          <w:szCs w:val="24"/>
        </w:rPr>
      </w:pPr>
      <w:r w:rsidRPr="00413E92">
        <w:rPr>
          <w:szCs w:val="24"/>
        </w:rPr>
        <w:t>–</w:t>
      </w:r>
      <w:r w:rsidRPr="00413E92">
        <w:rPr>
          <w:szCs w:val="24"/>
        </w:rPr>
        <w:tab/>
        <w:t xml:space="preserve">vu l’accord provisoire approuvé en vertu de l’article 74, paragraphe 4, de son règlement intérieur par </w:t>
      </w:r>
      <w:r w:rsidRPr="004E1C1B">
        <w:rPr>
          <w:szCs w:val="24"/>
        </w:rPr>
        <w:t>la commission compétente</w:t>
      </w:r>
      <w:r w:rsidRPr="00413E92">
        <w:rPr>
          <w:szCs w:val="24"/>
        </w:rPr>
        <w:t xml:space="preserve"> et l’engagement pris par le représentant du Conseil, par lettre du 18 octobre 2023, d’approuver la </w:t>
      </w:r>
      <w:r w:rsidRPr="004E1C1B">
        <w:rPr>
          <w:szCs w:val="24"/>
        </w:rPr>
        <w:t>position du Parlement européen</w:t>
      </w:r>
      <w:r w:rsidRPr="00413E92">
        <w:rPr>
          <w:szCs w:val="24"/>
        </w:rPr>
        <w:t>, conformément à l’article 294, paragraphe 4, du traité sur le fonctionnement de l’Union européenne,</w:t>
      </w:r>
    </w:p>
    <w:p w:rsidR="00353187" w:rsidRPr="00DF3D7B" w:rsidRDefault="00353187" w:rsidP="00B4365B">
      <w:pPr>
        <w:pStyle w:val="NormalHanging12a"/>
        <w:spacing w:before="240"/>
      </w:pPr>
      <w:r w:rsidRPr="00DF3D7B">
        <w:lastRenderedPageBreak/>
        <w:t>–</w:t>
      </w:r>
      <w:r w:rsidRPr="00DF3D7B">
        <w:tab/>
        <w:t>vu l’article 59 de son règlement intérieur,</w:t>
      </w:r>
    </w:p>
    <w:p w:rsidR="00353187" w:rsidRPr="00DF3D7B" w:rsidRDefault="00353187" w:rsidP="00353187">
      <w:pPr>
        <w:pStyle w:val="NormalHanging12a"/>
      </w:pPr>
      <w:r w:rsidRPr="00DF3D7B">
        <w:t>–</w:t>
      </w:r>
      <w:r w:rsidRPr="00DF3D7B">
        <w:tab/>
        <w:t>vu le rapport de la commission des affaires économiques et monétaires (A9-0040/2023),</w:t>
      </w:r>
    </w:p>
    <w:p w:rsidR="00353187" w:rsidRPr="00DF3D7B" w:rsidRDefault="00353187" w:rsidP="00353187">
      <w:pPr>
        <w:pStyle w:val="NormalHanging12a"/>
      </w:pPr>
      <w:r w:rsidRPr="00DF3D7B">
        <w:t>1.</w:t>
      </w:r>
      <w:r w:rsidRPr="00DF3D7B">
        <w:tab/>
        <w:t>arrête la position en première lecture figurant ci-après;</w:t>
      </w:r>
    </w:p>
    <w:p w:rsidR="00353187" w:rsidRPr="00DF3D7B" w:rsidRDefault="00353187" w:rsidP="00353187">
      <w:pPr>
        <w:pStyle w:val="NormalHanging12a"/>
      </w:pPr>
      <w:r w:rsidRPr="00DF3D7B">
        <w:t>2.</w:t>
      </w:r>
      <w:r w:rsidRPr="00DF3D7B">
        <w:tab/>
        <w:t>demande à la Commission de le saisir à nouveau, si elle remplace, modifie de manière substantielle ou entend modifier de manière substantielle sa proposition;</w:t>
      </w:r>
    </w:p>
    <w:p w:rsidR="00353187" w:rsidRDefault="00353187" w:rsidP="00353187">
      <w:pPr>
        <w:pStyle w:val="NormalHanging12a"/>
      </w:pPr>
      <w:r w:rsidRPr="00DF3D7B">
        <w:t>3.</w:t>
      </w:r>
      <w:r w:rsidRPr="00DF3D7B">
        <w:tab/>
        <w:t>charge sa Présidente de transmettre la position du Parlement au Conseil et à la Commission ainsi qu’aux parlements nationaux.</w:t>
      </w:r>
    </w:p>
    <w:p w:rsidR="007559AC" w:rsidRDefault="007559AC" w:rsidP="00B4365B">
      <w:pPr>
        <w:widowControl/>
        <w:spacing w:after="240"/>
        <w:rPr>
          <w:b/>
          <w:szCs w:val="24"/>
        </w:rPr>
        <w:sectPr w:rsidR="007559AC" w:rsidSect="00DF3D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E1C1B" w:rsidRPr="00B4365B" w:rsidRDefault="004E1C1B" w:rsidP="00B4365B">
      <w:pPr>
        <w:widowControl/>
        <w:spacing w:after="240"/>
        <w:rPr>
          <w:b/>
          <w:szCs w:val="24"/>
        </w:rPr>
      </w:pPr>
      <w:r w:rsidRPr="00B4365B">
        <w:rPr>
          <w:b/>
          <w:szCs w:val="24"/>
        </w:rPr>
        <w:lastRenderedPageBreak/>
        <w:t>P9_TC1-COD(2021)0385</w:t>
      </w:r>
    </w:p>
    <w:p w:rsidR="004E1C1B" w:rsidRPr="00B4365B" w:rsidRDefault="004E1C1B" w:rsidP="004E1C1B">
      <w:pPr>
        <w:widowControl/>
        <w:spacing w:before="360" w:after="240"/>
        <w:rPr>
          <w:b/>
          <w:szCs w:val="24"/>
        </w:rPr>
      </w:pPr>
      <w:r w:rsidRPr="00B4365B">
        <w:rPr>
          <w:b/>
          <w:szCs w:val="24"/>
        </w:rPr>
        <w:t xml:space="preserve">Position du Parlement européen arrêtée en première lecture le 16 janvier 2024 en vue de l’adoption du règlement (UE) 2024/... du Parlement européen et du Conseil </w:t>
      </w:r>
      <w:r w:rsidRPr="00B4365B">
        <w:rPr>
          <w:b/>
          <w:bCs/>
          <w:szCs w:val="24"/>
        </w:rPr>
        <w:t xml:space="preserve">modifiant le règlement (UE) nº 600/2014 en vue de renforcer la transparence des données, de lever les obstacles à la mise en </w:t>
      </w:r>
      <w:r w:rsidRPr="00C06408">
        <w:rPr>
          <w:b/>
          <w:bCs/>
          <w:szCs w:val="24"/>
        </w:rPr>
        <w:t xml:space="preserve">place </w:t>
      </w:r>
      <w:r w:rsidRPr="00C06408">
        <w:rPr>
          <w:b/>
          <w:bCs/>
          <w:iCs/>
          <w:szCs w:val="24"/>
        </w:rPr>
        <w:t>de systèmes consolidés</w:t>
      </w:r>
      <w:r w:rsidRPr="00C06408">
        <w:rPr>
          <w:b/>
          <w:bCs/>
          <w:szCs w:val="24"/>
        </w:rPr>
        <w:t xml:space="preserve"> de</w:t>
      </w:r>
      <w:r w:rsidRPr="00B4365B">
        <w:rPr>
          <w:b/>
          <w:bCs/>
          <w:szCs w:val="24"/>
        </w:rPr>
        <w:t xml:space="preserve"> publication, d’optimiser les obligations de négociation et d’interdire la </w:t>
      </w:r>
      <w:r w:rsidRPr="002E1529">
        <w:rPr>
          <w:b/>
          <w:bCs/>
          <w:szCs w:val="24"/>
        </w:rPr>
        <w:t xml:space="preserve">réception </w:t>
      </w:r>
      <w:r w:rsidRPr="002E1529">
        <w:rPr>
          <w:b/>
          <w:bCs/>
          <w:iCs/>
          <w:szCs w:val="24"/>
        </w:rPr>
        <w:t>d’un paiement pour le flux d’ordres</w:t>
      </w:r>
      <w:bookmarkStart w:id="8" w:name="_GoBack"/>
      <w:bookmarkEnd w:id="8"/>
    </w:p>
    <w:p w:rsidR="004E1C1B" w:rsidRPr="00B4365B" w:rsidRDefault="00C06408" w:rsidP="00C06408">
      <w:pPr>
        <w:widowControl/>
        <w:rPr>
          <w:szCs w:val="24"/>
        </w:rPr>
      </w:pPr>
      <w:r w:rsidRPr="00AA098D">
        <w:rPr>
          <w:i/>
        </w:rPr>
        <w:t>(Étant donné l'accord intervenu entre le Parlement et le Conseil, la position du Parlement correspond à l'acte législa</w:t>
      </w:r>
      <w:r>
        <w:rPr>
          <w:i/>
        </w:rPr>
        <w:t>tif final, l</w:t>
      </w:r>
      <w:r>
        <w:rPr>
          <w:i/>
        </w:rPr>
        <w:t>e</w:t>
      </w:r>
      <w:r>
        <w:rPr>
          <w:i/>
        </w:rPr>
        <w:t xml:space="preserve"> </w:t>
      </w:r>
      <w:r>
        <w:rPr>
          <w:i/>
        </w:rPr>
        <w:t>règlement</w:t>
      </w:r>
      <w:r>
        <w:rPr>
          <w:i/>
        </w:rPr>
        <w:t xml:space="preserve"> (UE) 2024</w:t>
      </w:r>
      <w:r w:rsidRPr="00AA098D">
        <w:rPr>
          <w:i/>
        </w:rPr>
        <w:t>/</w:t>
      </w:r>
      <w:r>
        <w:rPr>
          <w:i/>
        </w:rPr>
        <w:t>79</w:t>
      </w:r>
      <w:r>
        <w:rPr>
          <w:i/>
        </w:rPr>
        <w:t>1</w:t>
      </w:r>
      <w:r w:rsidRPr="00AA098D">
        <w:rPr>
          <w:i/>
        </w:rPr>
        <w:t>.)</w:t>
      </w:r>
    </w:p>
    <w:sectPr w:rsidR="004E1C1B" w:rsidRPr="00B4365B" w:rsidSect="00DF3D7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5BD" w:rsidRPr="00DF3D7B" w:rsidRDefault="000315BD">
      <w:r w:rsidRPr="00DF3D7B">
        <w:separator/>
      </w:r>
    </w:p>
  </w:endnote>
  <w:endnote w:type="continuationSeparator" w:id="0">
    <w:p w:rsidR="000315BD" w:rsidRPr="00DF3D7B" w:rsidRDefault="000315BD">
      <w:r w:rsidRPr="00DF3D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5BD" w:rsidRPr="00DF3D7B" w:rsidRDefault="000315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5BD" w:rsidRPr="00DF3D7B" w:rsidRDefault="000315B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5BD" w:rsidRPr="00DF3D7B" w:rsidRDefault="000315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5BD" w:rsidRPr="00DF3D7B" w:rsidRDefault="000315BD">
      <w:r w:rsidRPr="00DF3D7B">
        <w:separator/>
      </w:r>
    </w:p>
  </w:footnote>
  <w:footnote w:type="continuationSeparator" w:id="0">
    <w:p w:rsidR="000315BD" w:rsidRPr="00DF3D7B" w:rsidRDefault="000315BD">
      <w:r w:rsidRPr="00DF3D7B">
        <w:continuationSeparator/>
      </w:r>
    </w:p>
  </w:footnote>
  <w:footnote w:id="1">
    <w:p w:rsidR="000315BD" w:rsidRPr="004E1C1B" w:rsidRDefault="000315BD" w:rsidP="00B4365B">
      <w:pPr>
        <w:pStyle w:val="FootnoteText"/>
        <w:tabs>
          <w:tab w:val="left" w:pos="567"/>
        </w:tabs>
        <w:ind w:left="567" w:hanging="567"/>
        <w:rPr>
          <w:sz w:val="24"/>
          <w:lang w:val="da-DK"/>
        </w:rPr>
      </w:pPr>
      <w:r w:rsidRPr="00DF3D7B">
        <w:rPr>
          <w:rStyle w:val="FootnoteReference"/>
          <w:sz w:val="24"/>
        </w:rPr>
        <w:footnoteRef/>
      </w:r>
      <w:r w:rsidRPr="004E1C1B">
        <w:rPr>
          <w:sz w:val="24"/>
          <w:lang w:val="da-DK"/>
        </w:rPr>
        <w:t xml:space="preserve"> </w:t>
      </w:r>
      <w:r w:rsidRPr="004E1C1B">
        <w:rPr>
          <w:sz w:val="24"/>
          <w:lang w:val="da-DK"/>
        </w:rPr>
        <w:tab/>
        <w:t>JO C 286 du 27.7.2022, p. 17.</w:t>
      </w:r>
    </w:p>
  </w:footnote>
  <w:footnote w:id="2">
    <w:p w:rsidR="000315BD" w:rsidRPr="004E1C1B" w:rsidRDefault="000315BD" w:rsidP="00B4365B">
      <w:pPr>
        <w:pStyle w:val="FootnoteText"/>
        <w:tabs>
          <w:tab w:val="left" w:pos="567"/>
        </w:tabs>
        <w:ind w:left="567" w:hanging="567"/>
        <w:rPr>
          <w:sz w:val="24"/>
          <w:lang w:val="da-DK"/>
        </w:rPr>
      </w:pPr>
      <w:r w:rsidRPr="00DF3D7B">
        <w:rPr>
          <w:rStyle w:val="FootnoteReference"/>
          <w:sz w:val="24"/>
        </w:rPr>
        <w:footnoteRef/>
      </w:r>
      <w:r w:rsidRPr="004E1C1B">
        <w:rPr>
          <w:sz w:val="24"/>
          <w:lang w:val="da-DK"/>
        </w:rPr>
        <w:t xml:space="preserve"> </w:t>
      </w:r>
      <w:r w:rsidRPr="004E1C1B">
        <w:rPr>
          <w:sz w:val="24"/>
          <w:lang w:val="da-DK"/>
        </w:rPr>
        <w:tab/>
        <w:t>JO C 290 du 29.7.2022, p. 68.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5BD" w:rsidRPr="00DF3D7B" w:rsidRDefault="000315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5BD" w:rsidRPr="00DF3D7B" w:rsidRDefault="000315B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5BD" w:rsidRPr="00DF3D7B" w:rsidRDefault="000315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9B56E2A"/>
    <w:multiLevelType w:val="hybridMultilevel"/>
    <w:tmpl w:val="A60CC6D0"/>
    <w:lvl w:ilvl="0" w:tplc="839092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FR"/>
    <w:docVar w:name="dvnumam" w:val="0"/>
    <w:docVar w:name="dvpe" w:val="731.644"/>
    <w:docVar w:name="dvrapporteur" w:val="Rapporteure: "/>
    <w:docVar w:name="dvstar" w:val="***I"/>
    <w:docVar w:name="dvtitre" w:val="Résolution législative du Parlement européen du ... 2023 sur la proposition de règlement du Parlement européen et du Conseil modifiant le règlement (UE) nº 600/2014 en vue de renforcer la transparence des données de marché, de lever les obstacles à la mise en place d’un système consolidé de publication, d’optimiser les obligations de négociation et d’interdire la réception de paiements pour la transmission des ordres de clients(COM(2021)0727 – C9-0440/2021 – 2021/0385(COD))"/>
  </w:docVars>
  <w:rsids>
    <w:rsidRoot w:val="003F1484"/>
    <w:rsid w:val="00002272"/>
    <w:rsid w:val="000315B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529"/>
    <w:rsid w:val="00343214"/>
    <w:rsid w:val="00350543"/>
    <w:rsid w:val="00353187"/>
    <w:rsid w:val="00361C00"/>
    <w:rsid w:val="00395FA1"/>
    <w:rsid w:val="003E15D4"/>
    <w:rsid w:val="003F1484"/>
    <w:rsid w:val="00411CCE"/>
    <w:rsid w:val="00413E92"/>
    <w:rsid w:val="0041666E"/>
    <w:rsid w:val="00421060"/>
    <w:rsid w:val="004719FA"/>
    <w:rsid w:val="00471C19"/>
    <w:rsid w:val="004867E3"/>
    <w:rsid w:val="00494A28"/>
    <w:rsid w:val="004C0004"/>
    <w:rsid w:val="004C5D52"/>
    <w:rsid w:val="004D11DD"/>
    <w:rsid w:val="004E1C1B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59AC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009"/>
    <w:rsid w:val="00930C23"/>
    <w:rsid w:val="0093193B"/>
    <w:rsid w:val="009509D8"/>
    <w:rsid w:val="00950B64"/>
    <w:rsid w:val="00981893"/>
    <w:rsid w:val="009C3B8A"/>
    <w:rsid w:val="009C3EC5"/>
    <w:rsid w:val="00A1687D"/>
    <w:rsid w:val="00A214BF"/>
    <w:rsid w:val="00A43E52"/>
    <w:rsid w:val="00A4678D"/>
    <w:rsid w:val="00A76298"/>
    <w:rsid w:val="00A778C7"/>
    <w:rsid w:val="00AB441E"/>
    <w:rsid w:val="00AB6293"/>
    <w:rsid w:val="00AE0928"/>
    <w:rsid w:val="00AF3B82"/>
    <w:rsid w:val="00B12E95"/>
    <w:rsid w:val="00B22876"/>
    <w:rsid w:val="00B4365B"/>
    <w:rsid w:val="00B558F0"/>
    <w:rsid w:val="00BD48FE"/>
    <w:rsid w:val="00BD7BD8"/>
    <w:rsid w:val="00BE6ADC"/>
    <w:rsid w:val="00BE71C4"/>
    <w:rsid w:val="00C05BFE"/>
    <w:rsid w:val="00C06408"/>
    <w:rsid w:val="00C23CD4"/>
    <w:rsid w:val="00C61C0C"/>
    <w:rsid w:val="00C941CB"/>
    <w:rsid w:val="00CC2357"/>
    <w:rsid w:val="00CF071A"/>
    <w:rsid w:val="00D058B8"/>
    <w:rsid w:val="00D37747"/>
    <w:rsid w:val="00D56C11"/>
    <w:rsid w:val="00D834A0"/>
    <w:rsid w:val="00D872DF"/>
    <w:rsid w:val="00D91E21"/>
    <w:rsid w:val="00DA7FCD"/>
    <w:rsid w:val="00DF3D7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FC81E"/>
  <w15:chartTrackingRefBased/>
  <w15:docId w15:val="{F9CCB6C9-097D-4074-9BE1-ABED0788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5318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5318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5318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5318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5318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53187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353187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353187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353187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35318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531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53187"/>
    <w:pPr>
      <w:spacing w:before="480" w:after="240"/>
    </w:pPr>
  </w:style>
  <w:style w:type="paragraph" w:customStyle="1" w:styleId="TOCPage">
    <w:name w:val="TOC Page"/>
    <w:basedOn w:val="Normal"/>
    <w:next w:val="TOC1"/>
    <w:rsid w:val="0035318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531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53187"/>
    <w:rPr>
      <w:b/>
    </w:rPr>
  </w:style>
  <w:style w:type="paragraph" w:customStyle="1" w:styleId="NormalBold12a">
    <w:name w:val="NormalBold12a"/>
    <w:basedOn w:val="Normal"/>
    <w:rsid w:val="0035318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5318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53187"/>
    <w:pPr>
      <w:spacing w:after="480"/>
      <w:ind w:left="1417"/>
    </w:pPr>
  </w:style>
  <w:style w:type="paragraph" w:customStyle="1" w:styleId="CoverNormal">
    <w:name w:val="CoverNormal"/>
    <w:basedOn w:val="Normal"/>
    <w:rsid w:val="00353187"/>
    <w:pPr>
      <w:ind w:left="1418"/>
    </w:pPr>
  </w:style>
  <w:style w:type="paragraph" w:customStyle="1" w:styleId="NormalCenter12a">
    <w:name w:val="NormalCenter12a"/>
    <w:basedOn w:val="Normal"/>
    <w:rsid w:val="00353187"/>
    <w:pPr>
      <w:spacing w:after="240"/>
      <w:jc w:val="center"/>
    </w:pPr>
  </w:style>
  <w:style w:type="paragraph" w:customStyle="1" w:styleId="CoverReference">
    <w:name w:val="CoverReference"/>
    <w:basedOn w:val="Normal"/>
    <w:rsid w:val="0035318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5318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5318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53187"/>
    <w:pPr>
      <w:spacing w:before="240" w:after="1200"/>
    </w:pPr>
  </w:style>
  <w:style w:type="paragraph" w:styleId="Header">
    <w:name w:val="header"/>
    <w:basedOn w:val="Normal"/>
    <w:link w:val="HeaderChar"/>
    <w:rsid w:val="003531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53187"/>
    <w:rPr>
      <w:sz w:val="24"/>
      <w:lang w:val="fr-FR"/>
    </w:rPr>
  </w:style>
  <w:style w:type="paragraph" w:customStyle="1" w:styleId="AmNumberTabs">
    <w:name w:val="AmNumberTabs"/>
    <w:basedOn w:val="Normal"/>
    <w:rsid w:val="003531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53187"/>
    <w:pPr>
      <w:spacing w:before="720" w:after="240"/>
      <w:jc w:val="center"/>
    </w:pPr>
  </w:style>
  <w:style w:type="paragraph" w:customStyle="1" w:styleId="EPBody">
    <w:name w:val="EPBody"/>
    <w:basedOn w:val="Normal"/>
    <w:rsid w:val="0035318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531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5318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5318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53187"/>
    <w:rPr>
      <w:sz w:val="18"/>
    </w:rPr>
  </w:style>
  <w:style w:type="character" w:styleId="Hyperlink">
    <w:name w:val="Hyperlink"/>
    <w:basedOn w:val="DefaultParagraphFont"/>
    <w:uiPriority w:val="99"/>
    <w:unhideWhenUsed/>
    <w:rsid w:val="00353187"/>
    <w:rPr>
      <w:color w:val="0000FF"/>
      <w:u w:val="single"/>
    </w:rPr>
  </w:style>
  <w:style w:type="paragraph" w:customStyle="1" w:styleId="Text1">
    <w:name w:val="Text 1"/>
    <w:basedOn w:val="Normal"/>
    <w:rsid w:val="0035318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5318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353187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353187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353187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531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5318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53187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53187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353187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5318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5318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35318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35318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35318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35318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35318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35318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35318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35318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353187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5318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Footer">
    <w:name w:val="footer"/>
    <w:basedOn w:val="Normal"/>
    <w:link w:val="FooterChar"/>
    <w:rsid w:val="003531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53187"/>
    <w:rPr>
      <w:sz w:val="24"/>
      <w:lang w:val="fr-FR"/>
    </w:rPr>
  </w:style>
  <w:style w:type="paragraph" w:styleId="ListParagraph">
    <w:name w:val="List Paragraph"/>
    <w:basedOn w:val="Normal"/>
    <w:uiPriority w:val="34"/>
    <w:qFormat/>
    <w:rsid w:val="0035318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353187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3187"/>
    <w:rPr>
      <w:rFonts w:eastAsiaTheme="minorHAnsi"/>
      <w:lang w:val="fr-FR" w:eastAsia="en-US"/>
    </w:rPr>
  </w:style>
  <w:style w:type="character" w:styleId="CommentReference">
    <w:name w:val="annotation reference"/>
    <w:basedOn w:val="DefaultParagraphFont"/>
    <w:uiPriority w:val="99"/>
    <w:unhideWhenUsed/>
    <w:rsid w:val="00353187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3531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3187"/>
    <w:rPr>
      <w:rFonts w:ascii="Segoe UI" w:hAnsi="Segoe UI" w:cs="Segoe UI"/>
      <w:sz w:val="18"/>
      <w:szCs w:val="18"/>
      <w:lang w:val="fr-F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53187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53187"/>
    <w:rPr>
      <w:rFonts w:eastAsiaTheme="minorHAnsi"/>
      <w:b/>
      <w:bCs/>
      <w:lang w:val="fr-FR" w:eastAsia="en-US"/>
    </w:rPr>
  </w:style>
  <w:style w:type="paragraph" w:customStyle="1" w:styleId="Normal12a">
    <w:name w:val="Normal12a"/>
    <w:basedOn w:val="Normal"/>
    <w:rsid w:val="00353187"/>
    <w:pPr>
      <w:spacing w:after="240"/>
    </w:pPr>
  </w:style>
  <w:style w:type="paragraph" w:customStyle="1" w:styleId="RollCallVotes">
    <w:name w:val="RollCallVotes"/>
    <w:basedOn w:val="Normal"/>
    <w:rsid w:val="0035318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5318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5318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53187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353187"/>
    <w:rPr>
      <w:sz w:val="24"/>
      <w:lang w:val="fr-FR"/>
    </w:rPr>
  </w:style>
  <w:style w:type="paragraph" w:customStyle="1" w:styleId="AmDocTypeTab">
    <w:name w:val="AmDocTypeTab"/>
    <w:basedOn w:val="Normal"/>
    <w:rsid w:val="004E1C1B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4E1C1B"/>
    <w:pPr>
      <w:spacing w:before="240" w:after="240"/>
      <w:jc w:val="right"/>
    </w:pPr>
  </w:style>
  <w:style w:type="paragraph" w:customStyle="1" w:styleId="AmDateTab">
    <w:name w:val="AmDateTab"/>
    <w:basedOn w:val="Normal"/>
    <w:rsid w:val="004E1C1B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4E1C1B"/>
  </w:style>
  <w:style w:type="character" w:customStyle="1" w:styleId="rynqvb">
    <w:name w:val="rynqvb"/>
    <w:basedOn w:val="DefaultParagraphFont"/>
    <w:rsid w:val="004E1C1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C1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E1C1B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4E1C1B"/>
  </w:style>
  <w:style w:type="character" w:customStyle="1" w:styleId="highlight">
    <w:name w:val="highlight"/>
    <w:basedOn w:val="DefaultParagraphFont"/>
    <w:rsid w:val="004E1C1B"/>
  </w:style>
  <w:style w:type="character" w:customStyle="1" w:styleId="ui-provider">
    <w:name w:val="ui-provider"/>
    <w:basedOn w:val="DefaultParagraphFont"/>
    <w:rsid w:val="004E1C1B"/>
  </w:style>
  <w:style w:type="paragraph" w:styleId="BodyText">
    <w:name w:val="Body Text"/>
    <w:basedOn w:val="Normal"/>
    <w:link w:val="BodyTextChar"/>
    <w:uiPriority w:val="99"/>
    <w:unhideWhenUsed/>
    <w:rsid w:val="004E1C1B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E1C1B"/>
    <w:rPr>
      <w:rFonts w:ascii="Calibri" w:eastAsiaTheme="minorHAnsi" w:hAnsi="Calibri" w:cs="Calibri"/>
      <w:sz w:val="25"/>
      <w:szCs w:val="25"/>
      <w:lang w:val="fr-FR" w:eastAsia="en-US"/>
    </w:rPr>
  </w:style>
  <w:style w:type="paragraph" w:customStyle="1" w:styleId="norm">
    <w:name w:val="norm"/>
    <w:basedOn w:val="Normal"/>
    <w:rsid w:val="004E1C1B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4E1C1B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4E1C1B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4E1C1B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E1C1B"/>
    <w:rPr>
      <w:rFonts w:ascii="Calibri" w:eastAsiaTheme="minorHAnsi" w:hAnsi="Calibri" w:cstheme="minorBidi"/>
      <w:sz w:val="22"/>
      <w:szCs w:val="21"/>
      <w:lang w:val="fr-FR" w:eastAsia="en-US"/>
    </w:rPr>
  </w:style>
  <w:style w:type="paragraph" w:customStyle="1" w:styleId="Normal1">
    <w:name w:val="Normal1"/>
    <w:basedOn w:val="Normal"/>
    <w:rsid w:val="004E1C1B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4E1C1B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nhideWhenUsed/>
    <w:rsid w:val="004E1C1B"/>
    <w:pPr>
      <w:widowControl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4E1C1B"/>
    <w:rPr>
      <w:rFonts w:ascii="Consolas" w:hAnsi="Consolas"/>
      <w:lang w:val="fr-F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E1C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63325-6C71-411B-8A9E-04BA61FCB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CORMAN Christel</cp:lastModifiedBy>
  <cp:revision>2</cp:revision>
  <cp:lastPrinted>2004-11-19T15:42:00Z</cp:lastPrinted>
  <dcterms:created xsi:type="dcterms:W3CDTF">2024-05-27T10:51:00Z</dcterms:created>
  <dcterms:modified xsi:type="dcterms:W3CDTF">2024-05-27T10:51:00Z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