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C6A" w:rsidTr="0010095E">
        <w:trPr>
          <w:trHeight w:hRule="exact" w:val="1418"/>
        </w:trPr>
        <w:tc>
          <w:tcPr>
            <w:tcW w:w="6804" w:type="dxa"/>
            <w:shd w:val="clear" w:color="auto" w:fill="auto"/>
            <w:vAlign w:val="center"/>
          </w:tcPr>
          <w:p w:rsidR="00751A4A" w:rsidRPr="00B41C6A" w:rsidRDefault="001B3CA8" w:rsidP="0010095E">
            <w:pPr>
              <w:pStyle w:val="EPName"/>
            </w:pPr>
            <w:r w:rsidRPr="00B41C6A">
              <w:t>Parlamento europeo</w:t>
            </w:r>
          </w:p>
          <w:p w:rsidR="00751A4A" w:rsidRPr="00B41C6A" w:rsidRDefault="00817416" w:rsidP="00756632">
            <w:pPr>
              <w:pStyle w:val="EPTerm"/>
              <w:rPr>
                <w:rStyle w:val="HideTWBExt"/>
                <w:noProof w:val="0"/>
                <w:vanish w:val="0"/>
                <w:color w:val="auto"/>
              </w:rPr>
            </w:pPr>
            <w:r w:rsidRPr="00B41C6A">
              <w:t>2019-2024</w:t>
            </w:r>
          </w:p>
        </w:tc>
        <w:tc>
          <w:tcPr>
            <w:tcW w:w="2268" w:type="dxa"/>
            <w:shd w:val="clear" w:color="auto" w:fill="auto"/>
          </w:tcPr>
          <w:p w:rsidR="00751A4A" w:rsidRPr="00B41C6A" w:rsidRDefault="00187494" w:rsidP="0010095E">
            <w:pPr>
              <w:pStyle w:val="EPLogo"/>
            </w:pPr>
            <w:r w:rsidRPr="00B41C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1C6A" w:rsidRDefault="00D058B8" w:rsidP="004C5D52">
      <w:pPr>
        <w:pStyle w:val="LineTop"/>
      </w:pPr>
    </w:p>
    <w:p w:rsidR="00680577" w:rsidRPr="00B41C6A" w:rsidRDefault="001B3CA8" w:rsidP="00680577">
      <w:pPr>
        <w:pStyle w:val="EPBodyTA1"/>
      </w:pPr>
      <w:r w:rsidRPr="00B41C6A">
        <w:t>TESTI APPROVATI</w:t>
      </w:r>
    </w:p>
    <w:p w:rsidR="00D058B8" w:rsidRPr="00B41C6A" w:rsidRDefault="00D058B8" w:rsidP="00D058B8">
      <w:pPr>
        <w:pStyle w:val="LineBottom"/>
      </w:pPr>
    </w:p>
    <w:p w:rsidR="001B3CA8" w:rsidRPr="00B41C6A" w:rsidRDefault="001B3CA8" w:rsidP="001B3CA8">
      <w:pPr>
        <w:pStyle w:val="ATHeading1"/>
      </w:pPr>
      <w:bookmarkStart w:id="0" w:name="TANumber"/>
      <w:r w:rsidRPr="00B41C6A">
        <w:t>P9_</w:t>
      </w:r>
      <w:proofErr w:type="gramStart"/>
      <w:r w:rsidRPr="00B41C6A">
        <w:t>TA(</w:t>
      </w:r>
      <w:proofErr w:type="gramEnd"/>
      <w:r w:rsidRPr="00B41C6A">
        <w:t>2024)000</w:t>
      </w:r>
      <w:r w:rsidR="00A80576" w:rsidRPr="00B41C6A">
        <w:t>4</w:t>
      </w:r>
      <w:bookmarkEnd w:id="0"/>
    </w:p>
    <w:p w:rsidR="001B3CA8" w:rsidRPr="00B41C6A" w:rsidRDefault="001B3CA8" w:rsidP="001B3CA8">
      <w:pPr>
        <w:pStyle w:val="ATHeading2"/>
      </w:pPr>
      <w:bookmarkStart w:id="1" w:name="title"/>
      <w:r w:rsidRPr="00B41C6A">
        <w:t>Modifica del regolamento sui mercati degli strumenti finanziari (</w:t>
      </w:r>
      <w:proofErr w:type="spellStart"/>
      <w:r w:rsidRPr="00B41C6A">
        <w:t>MiFIR</w:t>
      </w:r>
      <w:proofErr w:type="spellEnd"/>
      <w:r w:rsidRPr="00B41C6A">
        <w:t>)</w:t>
      </w:r>
      <w:bookmarkEnd w:id="1"/>
    </w:p>
    <w:p w:rsidR="001B3CA8" w:rsidRPr="00B41C6A" w:rsidRDefault="001B3CA8" w:rsidP="001B3CA8">
      <w:pPr>
        <w:rPr>
          <w:i/>
          <w:vanish/>
        </w:rPr>
      </w:pPr>
      <w:r w:rsidRPr="00B41C6A">
        <w:rPr>
          <w:i/>
        </w:rPr>
        <w:fldChar w:fldCharType="begin"/>
      </w:r>
      <w:r w:rsidRPr="00B41C6A">
        <w:rPr>
          <w:i/>
        </w:rPr>
        <w:instrText xml:space="preserve"> TC"(</w:instrText>
      </w:r>
      <w:bookmarkStart w:id="2" w:name="DocNumber"/>
      <w:r w:rsidRPr="00B41C6A">
        <w:rPr>
          <w:i/>
        </w:rPr>
        <w:instrText>A9-0040/2023</w:instrText>
      </w:r>
      <w:bookmarkEnd w:id="2"/>
      <w:r w:rsidRPr="00B41C6A">
        <w:rPr>
          <w:i/>
        </w:rPr>
        <w:instrText xml:space="preserve"> - Relatrice: Danuta Maria Hübner)"\l3 \n&gt; \* MERGEFORMAT </w:instrText>
      </w:r>
      <w:r w:rsidRPr="00B41C6A">
        <w:rPr>
          <w:i/>
        </w:rPr>
        <w:fldChar w:fldCharType="end"/>
      </w:r>
    </w:p>
    <w:p w:rsidR="001B3CA8" w:rsidRPr="00B41C6A" w:rsidRDefault="001B3CA8" w:rsidP="001B3CA8">
      <w:pPr>
        <w:rPr>
          <w:vanish/>
        </w:rPr>
      </w:pPr>
      <w:bookmarkStart w:id="3" w:name="Commission"/>
      <w:r w:rsidRPr="00B41C6A">
        <w:rPr>
          <w:vanish/>
        </w:rPr>
        <w:t>Commissione per i problemi economici e monetari</w:t>
      </w:r>
      <w:bookmarkEnd w:id="3"/>
    </w:p>
    <w:p w:rsidR="001B3CA8" w:rsidRPr="00B41C6A" w:rsidRDefault="001B3CA8" w:rsidP="001B3CA8">
      <w:pPr>
        <w:rPr>
          <w:vanish/>
        </w:rPr>
      </w:pPr>
      <w:bookmarkStart w:id="4" w:name="PE"/>
      <w:r w:rsidRPr="00B41C6A">
        <w:rPr>
          <w:vanish/>
        </w:rPr>
        <w:t>PE731.644</w:t>
      </w:r>
      <w:bookmarkEnd w:id="4"/>
    </w:p>
    <w:p w:rsidR="001B3CA8" w:rsidRPr="00B41C6A" w:rsidRDefault="001B3CA8" w:rsidP="001B3CA8">
      <w:pPr>
        <w:pStyle w:val="ATHeading3"/>
      </w:pPr>
      <w:bookmarkStart w:id="5" w:name="Sujet"/>
      <w:r w:rsidRPr="00B41C6A">
        <w:t xml:space="preserve">Risoluzione legislativa del Parlamento europeo del </w:t>
      </w:r>
      <w:r w:rsidR="006A6C89" w:rsidRPr="00B41C6A">
        <w:t>16</w:t>
      </w:r>
      <w:r w:rsidRPr="00B41C6A">
        <w:t xml:space="preserve"> gennaio 2024 sulla proposta di regolamento del Parlamento europeo e del Consiglio che modifica il regolamento (UE) n. 600/2014 per quanto riguarda il miglioramento della trasparenza dei dati di mercato, l'eliminazione degli ostacoli all'emergere di un sistema consolidato di pubblicazione, l'ottimizzazione degli obblighi di negoziazione e il divieto di ricevere pagamenti per la trasmissione degli ordini dei clienti</w:t>
      </w:r>
      <w:bookmarkEnd w:id="5"/>
      <w:r w:rsidRPr="00B41C6A">
        <w:t xml:space="preserve"> </w:t>
      </w:r>
      <w:bookmarkStart w:id="6" w:name="References"/>
      <w:r w:rsidRPr="00B41C6A">
        <w:t>(COM(2021)0727 – C9-0440/2021 – 2021/0385(COD))</w:t>
      </w:r>
      <w:bookmarkEnd w:id="6"/>
    </w:p>
    <w:p w:rsidR="00264CEB" w:rsidRPr="00B41C6A" w:rsidRDefault="00264CEB" w:rsidP="000910F5">
      <w:pPr>
        <w:pStyle w:val="NormalBold"/>
        <w:spacing w:before="240"/>
      </w:pPr>
      <w:bookmarkStart w:id="7" w:name="TextBodyBegin"/>
      <w:bookmarkEnd w:id="7"/>
      <w:r w:rsidRPr="00B41C6A">
        <w:t>(Procedura legislativa ordinaria: prima lettura)</w:t>
      </w:r>
    </w:p>
    <w:p w:rsidR="00264CEB" w:rsidRPr="00B41C6A" w:rsidRDefault="00264CEB" w:rsidP="00264CEB">
      <w:pPr>
        <w:pStyle w:val="EPComma"/>
      </w:pPr>
      <w:r w:rsidRPr="00B41C6A">
        <w:rPr>
          <w:i/>
        </w:rPr>
        <w:t>Il Parlamento europeo</w:t>
      </w:r>
      <w:r w:rsidRPr="00B41C6A">
        <w:t>,</w:t>
      </w:r>
    </w:p>
    <w:p w:rsidR="00264CEB" w:rsidRPr="00B41C6A" w:rsidRDefault="00264CEB" w:rsidP="00264CEB">
      <w:pPr>
        <w:pStyle w:val="NormalHanging12a"/>
      </w:pPr>
      <w:r w:rsidRPr="00B41C6A">
        <w:t>–</w:t>
      </w:r>
      <w:r w:rsidRPr="00B41C6A">
        <w:tab/>
        <w:t>vista la proposta della Commissione al Parlamento europeo e al Consiglio (</w:t>
      </w:r>
      <w:proofErr w:type="gramStart"/>
      <w:r w:rsidRPr="00B41C6A">
        <w:t>COM(</w:t>
      </w:r>
      <w:proofErr w:type="gramEnd"/>
      <w:r w:rsidRPr="00B41C6A">
        <w:t>2021)</w:t>
      </w:r>
      <w:r w:rsidR="00DB2AA7">
        <w:t>0</w:t>
      </w:r>
      <w:r w:rsidRPr="00B41C6A">
        <w:t>727),</w:t>
      </w:r>
    </w:p>
    <w:p w:rsidR="00264CEB" w:rsidRPr="00B41C6A" w:rsidRDefault="00264CEB" w:rsidP="00264CEB">
      <w:pPr>
        <w:pStyle w:val="NormalHanging12a"/>
      </w:pPr>
      <w:r w:rsidRPr="00B41C6A">
        <w:t>–</w:t>
      </w:r>
      <w:r w:rsidRPr="00B41C6A">
        <w:tab/>
        <w:t>visti l'articolo 294, paragrafo 2, e l'articolo 114 del trattato sul funzionamento dell'Unione europea, a norma dei quali la proposta gli è stata p</w:t>
      </w:r>
      <w:r w:rsidR="00DB2AA7">
        <w:t>resentata dalla Commissione (C9-</w:t>
      </w:r>
      <w:bookmarkStart w:id="8" w:name="_GoBack"/>
      <w:bookmarkEnd w:id="8"/>
      <w:r w:rsidRPr="00B41C6A">
        <w:t>0440/2021),</w:t>
      </w:r>
    </w:p>
    <w:p w:rsidR="00264CEB" w:rsidRPr="00B41C6A" w:rsidRDefault="00264CEB" w:rsidP="00264CEB">
      <w:pPr>
        <w:pStyle w:val="NormalHanging12a"/>
      </w:pPr>
      <w:r w:rsidRPr="00B41C6A">
        <w:t>–</w:t>
      </w:r>
      <w:r w:rsidRPr="00B41C6A">
        <w:tab/>
        <w:t>visto l'articolo 294, paragrafo 3, del trattato sul funzionamento dell'Unione europea,</w:t>
      </w:r>
    </w:p>
    <w:p w:rsidR="00264CEB" w:rsidRPr="00B41C6A" w:rsidRDefault="00264CEB" w:rsidP="00264CEB">
      <w:pPr>
        <w:pStyle w:val="NormalHanging12a"/>
        <w:rPr>
          <w:szCs w:val="24"/>
        </w:rPr>
      </w:pPr>
      <w:r w:rsidRPr="00B41C6A">
        <w:t>–</w:t>
      </w:r>
      <w:r w:rsidRPr="00B41C6A">
        <w:tab/>
        <w:t>visto il parere della Banca centrale europea del 1° giugno 2022</w:t>
      </w:r>
      <w:r w:rsidRPr="00B41C6A">
        <w:rPr>
          <w:rStyle w:val="FootnoteReference"/>
          <w:szCs w:val="24"/>
        </w:rPr>
        <w:footnoteReference w:id="1"/>
      </w:r>
      <w:r w:rsidRPr="00B41C6A">
        <w:t>,</w:t>
      </w:r>
    </w:p>
    <w:p w:rsidR="00264CEB" w:rsidRPr="00B41C6A" w:rsidRDefault="00264CEB" w:rsidP="00264CEB">
      <w:pPr>
        <w:pStyle w:val="NormalHanging12a"/>
      </w:pPr>
      <w:r w:rsidRPr="00B41C6A">
        <w:t>–</w:t>
      </w:r>
      <w:r w:rsidRPr="00B41C6A">
        <w:tab/>
        <w:t>visto il parere del Comitato economico e sociale europeo del 23 marzo 2022</w:t>
      </w:r>
      <w:r w:rsidRPr="00B41C6A">
        <w:rPr>
          <w:rStyle w:val="FootnoteReference"/>
          <w:szCs w:val="24"/>
        </w:rPr>
        <w:footnoteReference w:id="2"/>
      </w:r>
      <w:r w:rsidRPr="00B41C6A">
        <w:t>,</w:t>
      </w:r>
    </w:p>
    <w:p w:rsidR="006A6C89" w:rsidRPr="00B41C6A" w:rsidRDefault="006A6C89" w:rsidP="00264CEB">
      <w:pPr>
        <w:pStyle w:val="NormalHanging12a"/>
      </w:pPr>
      <w:r w:rsidRPr="00B41C6A">
        <w:t>–</w:t>
      </w:r>
      <w:r w:rsidRPr="00B41C6A">
        <w:tab/>
        <w:t>visti l'accordo provvisorio approvato dalla commissione competente a norma dell'articolo 74, paragrafo 4, del regolamento e l'impegno assunto dal rappresentante del Consiglio, con lettera del 18 ottobre 2023, di approvare la posizione del Parlamento europeo, in conformità dell'articolo 294, paragrafo 4, del trattato sul funzionamento dell'Unione europea,</w:t>
      </w:r>
    </w:p>
    <w:p w:rsidR="00264CEB" w:rsidRPr="00B41C6A" w:rsidRDefault="00264CEB" w:rsidP="00264CEB">
      <w:pPr>
        <w:pStyle w:val="NormalHanging12a"/>
      </w:pPr>
      <w:r w:rsidRPr="00B41C6A">
        <w:t>–</w:t>
      </w:r>
      <w:r w:rsidRPr="00B41C6A">
        <w:tab/>
        <w:t>visto l'articolo 59 del suo regolamento,</w:t>
      </w:r>
    </w:p>
    <w:p w:rsidR="00264CEB" w:rsidRPr="00B41C6A" w:rsidRDefault="00264CEB" w:rsidP="00264CEB">
      <w:pPr>
        <w:pStyle w:val="NormalHanging12a"/>
      </w:pPr>
      <w:r w:rsidRPr="00B41C6A">
        <w:t>–</w:t>
      </w:r>
      <w:r w:rsidRPr="00B41C6A">
        <w:tab/>
        <w:t xml:space="preserve">vista la relazione della commissione per i problemi economici e monetari </w:t>
      </w:r>
      <w:r w:rsidRPr="00B41C6A">
        <w:lastRenderedPageBreak/>
        <w:t>(A9</w:t>
      </w:r>
      <w:r w:rsidRPr="00B41C6A">
        <w:noBreakHyphen/>
        <w:t>0040/2023),</w:t>
      </w:r>
    </w:p>
    <w:p w:rsidR="00264CEB" w:rsidRPr="00B41C6A" w:rsidRDefault="00264CEB" w:rsidP="00264CEB">
      <w:pPr>
        <w:pStyle w:val="NormalHanging12a"/>
      </w:pPr>
      <w:r w:rsidRPr="00B41C6A">
        <w:t>1.</w:t>
      </w:r>
      <w:r w:rsidRPr="00B41C6A">
        <w:tab/>
        <w:t>adotta la posizione in prima lettura figurante in appresso;</w:t>
      </w:r>
    </w:p>
    <w:p w:rsidR="00264CEB" w:rsidRPr="00B41C6A" w:rsidRDefault="00264CEB" w:rsidP="00264CEB">
      <w:pPr>
        <w:pStyle w:val="NormalHanging12a"/>
      </w:pPr>
      <w:r w:rsidRPr="00B41C6A">
        <w:t>2.</w:t>
      </w:r>
      <w:r w:rsidRPr="00B41C6A">
        <w:tab/>
        <w:t>chiede alla Commissione di presentargli nuovamente la proposta qualora la sostituisca, la modifichi sostanzialmente o intenda modificarla sostanzialmente;</w:t>
      </w:r>
    </w:p>
    <w:p w:rsidR="00730227" w:rsidRPr="00B41C6A" w:rsidRDefault="00264CEB" w:rsidP="00264CEB">
      <w:pPr>
        <w:pStyle w:val="NormalHanging12a"/>
        <w:sectPr w:rsidR="00730227" w:rsidRPr="00B41C6A" w:rsidSect="00C64E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B41C6A">
        <w:t>3.</w:t>
      </w:r>
      <w:r w:rsidRPr="00B41C6A">
        <w:tab/>
        <w:t>incarica l</w:t>
      </w:r>
      <w:r w:rsidR="006A6C89" w:rsidRPr="00B41C6A">
        <w:t>a</w:t>
      </w:r>
      <w:r w:rsidRPr="00B41C6A">
        <w:t xml:space="preserve"> suo Presidente di trasmettere la posizione del Parlamento al Consiglio e alla Commissione nonché ai parlamenti nazionali.</w:t>
      </w:r>
    </w:p>
    <w:p w:rsidR="00730227" w:rsidRPr="000910F5" w:rsidRDefault="00730227" w:rsidP="00730227">
      <w:pPr>
        <w:spacing w:after="240"/>
        <w:rPr>
          <w:b/>
          <w:szCs w:val="24"/>
        </w:rPr>
      </w:pPr>
      <w:r w:rsidRPr="000910F5">
        <w:rPr>
          <w:b/>
          <w:szCs w:val="24"/>
        </w:rPr>
        <w:lastRenderedPageBreak/>
        <w:t>P9_TC1-</w:t>
      </w:r>
      <w:proofErr w:type="gramStart"/>
      <w:r w:rsidRPr="000910F5">
        <w:rPr>
          <w:b/>
          <w:szCs w:val="24"/>
        </w:rPr>
        <w:t>COD(</w:t>
      </w:r>
      <w:proofErr w:type="gramEnd"/>
      <w:r w:rsidRPr="000910F5">
        <w:rPr>
          <w:b/>
          <w:szCs w:val="24"/>
        </w:rPr>
        <w:t>2021)0385</w:t>
      </w:r>
    </w:p>
    <w:p w:rsidR="00264CEB" w:rsidRDefault="00730227" w:rsidP="008E5980">
      <w:pPr>
        <w:spacing w:before="120" w:after="360"/>
        <w:rPr>
          <w:b/>
          <w:bCs/>
          <w:szCs w:val="24"/>
        </w:rPr>
      </w:pPr>
      <w:r w:rsidRPr="008E5980">
        <w:rPr>
          <w:b/>
          <w:szCs w:val="24"/>
        </w:rPr>
        <w:t xml:space="preserve">Posizione del Parlamento europeo definita in prima lettura il 16 gennaio 2024 in vista dell'adozione del regolamento (UE) 2024/... del Parlamento europeo e del Consiglio </w:t>
      </w:r>
      <w:r w:rsidRPr="008E5980">
        <w:rPr>
          <w:b/>
          <w:bCs/>
          <w:szCs w:val="24"/>
        </w:rPr>
        <w:t>che modifica il regolamento (UE) n. 600/2014 per quanto riguarda il migliorame</w:t>
      </w:r>
      <w:r w:rsidR="008E5980" w:rsidRPr="008E5980">
        <w:rPr>
          <w:b/>
          <w:bCs/>
          <w:szCs w:val="24"/>
        </w:rPr>
        <w:t>nto della trasparenza dei dati</w:t>
      </w:r>
      <w:r w:rsidRPr="008E5980">
        <w:rPr>
          <w:b/>
          <w:bCs/>
          <w:szCs w:val="24"/>
        </w:rPr>
        <w:t xml:space="preserve">, l'eliminazione degli ostacoli all'emergere di </w:t>
      </w:r>
      <w:r w:rsidRPr="008E5980">
        <w:rPr>
          <w:b/>
          <w:bCs/>
          <w:iCs/>
          <w:szCs w:val="24"/>
        </w:rPr>
        <w:t>sistemi</w:t>
      </w:r>
      <w:r w:rsidRPr="008E5980">
        <w:rPr>
          <w:b/>
          <w:bCs/>
          <w:szCs w:val="24"/>
        </w:rPr>
        <w:t xml:space="preserve"> </w:t>
      </w:r>
      <w:r w:rsidRPr="008E5980">
        <w:rPr>
          <w:b/>
          <w:bCs/>
          <w:iCs/>
          <w:szCs w:val="24"/>
        </w:rPr>
        <w:t>consolidati</w:t>
      </w:r>
      <w:r w:rsidRPr="008E5980">
        <w:rPr>
          <w:b/>
          <w:bCs/>
          <w:szCs w:val="24"/>
        </w:rPr>
        <w:t xml:space="preserve"> di pubblicazione, l'ottimizzazione degli obblighi di negoziazione e il divieto di ricevere pagamenti per il flusso degli ordini</w:t>
      </w:r>
    </w:p>
    <w:p w:rsidR="008E5980" w:rsidRPr="008E5980" w:rsidRDefault="008E5980" w:rsidP="008E5980">
      <w:pPr>
        <w:widowControl/>
        <w:jc w:val="both"/>
        <w:rPr>
          <w:szCs w:val="24"/>
        </w:rPr>
      </w:pPr>
      <w:r w:rsidRPr="008E5980">
        <w:rPr>
          <w:i/>
          <w:szCs w:val="24"/>
        </w:rPr>
        <w:t>(Dato l'accordo tra il Parlamento e il Consiglio, la posizione del Parlamento corrisponde all'atto legislativo finale, il regolamento (UE) 2024</w:t>
      </w:r>
      <w:r>
        <w:rPr>
          <w:i/>
          <w:szCs w:val="24"/>
        </w:rPr>
        <w:t>/791</w:t>
      </w:r>
      <w:r w:rsidRPr="008E5980">
        <w:rPr>
          <w:i/>
          <w:szCs w:val="24"/>
        </w:rPr>
        <w:t>)</w:t>
      </w:r>
    </w:p>
    <w:sectPr w:rsidR="008E5980" w:rsidRPr="008E5980" w:rsidSect="00C64E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CA8" w:rsidRPr="00C64E7D" w:rsidRDefault="001B3CA8">
      <w:r w:rsidRPr="00C64E7D">
        <w:separator/>
      </w:r>
    </w:p>
  </w:endnote>
  <w:endnote w:type="continuationSeparator" w:id="0">
    <w:p w:rsidR="001B3CA8" w:rsidRPr="00C64E7D" w:rsidRDefault="001B3CA8">
      <w:r w:rsidRPr="00C64E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E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E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E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CA8" w:rsidRPr="00C64E7D" w:rsidRDefault="001B3CA8">
      <w:r w:rsidRPr="00C64E7D">
        <w:separator/>
      </w:r>
    </w:p>
  </w:footnote>
  <w:footnote w:type="continuationSeparator" w:id="0">
    <w:p w:rsidR="001B3CA8" w:rsidRPr="00C64E7D" w:rsidRDefault="001B3CA8">
      <w:r w:rsidRPr="00C64E7D">
        <w:continuationSeparator/>
      </w:r>
    </w:p>
  </w:footnote>
  <w:footnote w:id="1">
    <w:p w:rsidR="00264CEB" w:rsidRPr="00C64E7D" w:rsidRDefault="00264CEB" w:rsidP="000910F5">
      <w:pPr>
        <w:pStyle w:val="FootnoteText"/>
        <w:ind w:left="567" w:hanging="567"/>
        <w:rPr>
          <w:sz w:val="24"/>
          <w:lang w:val="it-IT"/>
        </w:rPr>
      </w:pPr>
      <w:r w:rsidRPr="00C64E7D">
        <w:rPr>
          <w:rStyle w:val="FootnoteReference"/>
          <w:sz w:val="24"/>
          <w:lang w:val="it-IT"/>
        </w:rPr>
        <w:footnoteRef/>
      </w:r>
      <w:r w:rsidR="00C64E7D" w:rsidRPr="00C64E7D">
        <w:rPr>
          <w:sz w:val="24"/>
          <w:lang w:val="it-IT"/>
        </w:rPr>
        <w:t xml:space="preserve"> </w:t>
      </w:r>
      <w:r w:rsidR="00C64E7D" w:rsidRPr="00C64E7D">
        <w:rPr>
          <w:sz w:val="24"/>
          <w:lang w:val="it-IT"/>
        </w:rPr>
        <w:tab/>
      </w:r>
      <w:r w:rsidRPr="00C64E7D">
        <w:rPr>
          <w:sz w:val="24"/>
          <w:lang w:val="it-IT"/>
        </w:rPr>
        <w:t>GU C 286 del 27.7.2022, pag. 17.</w:t>
      </w:r>
    </w:p>
  </w:footnote>
  <w:footnote w:id="2">
    <w:p w:rsidR="00264CEB" w:rsidRPr="00C64E7D" w:rsidRDefault="00264CEB" w:rsidP="000910F5">
      <w:pPr>
        <w:pStyle w:val="FootnoteText"/>
        <w:ind w:left="567" w:hanging="567"/>
        <w:rPr>
          <w:sz w:val="24"/>
          <w:lang w:val="it-IT"/>
        </w:rPr>
      </w:pPr>
      <w:r w:rsidRPr="00C64E7D">
        <w:rPr>
          <w:rStyle w:val="FootnoteReference"/>
          <w:sz w:val="24"/>
          <w:lang w:val="it-IT"/>
        </w:rPr>
        <w:footnoteRef/>
      </w:r>
      <w:r w:rsidR="00C64E7D" w:rsidRPr="00C64E7D">
        <w:rPr>
          <w:sz w:val="24"/>
          <w:lang w:val="it-IT"/>
        </w:rPr>
        <w:t xml:space="preserve"> </w:t>
      </w:r>
      <w:r w:rsidR="00C64E7D" w:rsidRPr="00C64E7D">
        <w:rPr>
          <w:sz w:val="24"/>
          <w:lang w:val="it-IT"/>
        </w:rPr>
        <w:tab/>
      </w:r>
      <w:r w:rsidRPr="00C64E7D">
        <w:rPr>
          <w:sz w:val="24"/>
          <w:lang w:val="it-IT"/>
        </w:rPr>
        <w:t>GU C 290 del 29.7.2022, pag. 68.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E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E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E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9B56E2A"/>
    <w:multiLevelType w:val="hybridMultilevel"/>
    <w:tmpl w:val="A60CC6D0"/>
    <w:lvl w:ilvl="0" w:tplc="8390923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15:restartNumberingAfterBreak="0">
    <w:nsid w:val="33074F21"/>
    <w:multiLevelType w:val="hybridMultilevel"/>
    <w:tmpl w:val="B34E288C"/>
    <w:lvl w:ilvl="0" w:tplc="C35C3C8C">
      <w:start w:val="1"/>
      <w:numFmt w:val="lowerRoman"/>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57174AD3"/>
    <w:multiLevelType w:val="multilevel"/>
    <w:tmpl w:val="9D821F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3"/>
  </w:num>
  <w:num w:numId="3">
    <w:abstractNumId w:val="1"/>
  </w:num>
  <w:num w:numId="4">
    <w:abstractNumId w:val="2"/>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3"/>
    <w:docVar w:name="dvlangue" w:val="IT"/>
    <w:docVar w:name="dvnumam" w:val="0"/>
    <w:docVar w:name="dvpe" w:val="731.644"/>
    <w:docVar w:name="dvrapporteur" w:val="Relatrice: "/>
    <w:docVar w:name="dvstar" w:val="***I"/>
    <w:docVar w:name="dvtitre" w:val="Risoluzione legislativa del Parlamento europeo del xx gennaio 2024 sulla proposta di regolamento del Parlamento europeo e del Consiglio che modifica il regolamento (UE) n. 600/2014 per quanto riguarda il miglioramento della trasparenza dei dati di mercato, l'eliminazione degli ostacoli all'emergere di un sistema consolidato di pubblicazione, l'ottimizzazione degli obblighi di negoziazione e il divieto di ricevere pagamenti per la trasmissione degli ordini dei clienti(COM(2021)0727 – C9-0440/2021 – 2021/0385(COD))"/>
  </w:docVars>
  <w:rsids>
    <w:rsidRoot w:val="001B3CA8"/>
    <w:rsid w:val="00002272"/>
    <w:rsid w:val="00064002"/>
    <w:rsid w:val="000677B9"/>
    <w:rsid w:val="000831BA"/>
    <w:rsid w:val="000910F5"/>
    <w:rsid w:val="000A42CC"/>
    <w:rsid w:val="000E7DD9"/>
    <w:rsid w:val="0010095E"/>
    <w:rsid w:val="00125B37"/>
    <w:rsid w:val="00187494"/>
    <w:rsid w:val="001B3CA8"/>
    <w:rsid w:val="001F32AE"/>
    <w:rsid w:val="00264CEB"/>
    <w:rsid w:val="002767FF"/>
    <w:rsid w:val="00295A54"/>
    <w:rsid w:val="002B18FE"/>
    <w:rsid w:val="002B5493"/>
    <w:rsid w:val="002D2C7A"/>
    <w:rsid w:val="00343214"/>
    <w:rsid w:val="00361C00"/>
    <w:rsid w:val="00395FA1"/>
    <w:rsid w:val="003E15D4"/>
    <w:rsid w:val="00411CCE"/>
    <w:rsid w:val="0041666E"/>
    <w:rsid w:val="00421060"/>
    <w:rsid w:val="00471C19"/>
    <w:rsid w:val="004867E3"/>
    <w:rsid w:val="00494A28"/>
    <w:rsid w:val="004C0004"/>
    <w:rsid w:val="004C5D52"/>
    <w:rsid w:val="004D5DF3"/>
    <w:rsid w:val="0050519A"/>
    <w:rsid w:val="005072A1"/>
    <w:rsid w:val="00514517"/>
    <w:rsid w:val="00545827"/>
    <w:rsid w:val="00560270"/>
    <w:rsid w:val="005C2568"/>
    <w:rsid w:val="005F66EA"/>
    <w:rsid w:val="006037C0"/>
    <w:rsid w:val="006631B6"/>
    <w:rsid w:val="006800C7"/>
    <w:rsid w:val="00680577"/>
    <w:rsid w:val="006A6C89"/>
    <w:rsid w:val="006F74FA"/>
    <w:rsid w:val="00730227"/>
    <w:rsid w:val="00731ADD"/>
    <w:rsid w:val="00734777"/>
    <w:rsid w:val="00747932"/>
    <w:rsid w:val="00751A4A"/>
    <w:rsid w:val="00756632"/>
    <w:rsid w:val="00762C74"/>
    <w:rsid w:val="00786EC0"/>
    <w:rsid w:val="007D1690"/>
    <w:rsid w:val="007D3815"/>
    <w:rsid w:val="007E22AD"/>
    <w:rsid w:val="00817416"/>
    <w:rsid w:val="00842779"/>
    <w:rsid w:val="00865F67"/>
    <w:rsid w:val="00881A7B"/>
    <w:rsid w:val="008840E5"/>
    <w:rsid w:val="00887B3E"/>
    <w:rsid w:val="008C2AC6"/>
    <w:rsid w:val="008E5980"/>
    <w:rsid w:val="00930C23"/>
    <w:rsid w:val="0093193B"/>
    <w:rsid w:val="009509D8"/>
    <w:rsid w:val="00950B64"/>
    <w:rsid w:val="00981893"/>
    <w:rsid w:val="00A1687D"/>
    <w:rsid w:val="00A43E52"/>
    <w:rsid w:val="00A4678D"/>
    <w:rsid w:val="00A778C7"/>
    <w:rsid w:val="00A80576"/>
    <w:rsid w:val="00AB441E"/>
    <w:rsid w:val="00AB6293"/>
    <w:rsid w:val="00AE0928"/>
    <w:rsid w:val="00AF3B82"/>
    <w:rsid w:val="00B12E95"/>
    <w:rsid w:val="00B22876"/>
    <w:rsid w:val="00B41C6A"/>
    <w:rsid w:val="00B558F0"/>
    <w:rsid w:val="00BD48FE"/>
    <w:rsid w:val="00BD7BD8"/>
    <w:rsid w:val="00BE6ADC"/>
    <w:rsid w:val="00C05BFE"/>
    <w:rsid w:val="00C23CD4"/>
    <w:rsid w:val="00C61C0C"/>
    <w:rsid w:val="00C64E7D"/>
    <w:rsid w:val="00C941CB"/>
    <w:rsid w:val="00CC2357"/>
    <w:rsid w:val="00CF071A"/>
    <w:rsid w:val="00D058B8"/>
    <w:rsid w:val="00D56C11"/>
    <w:rsid w:val="00D834A0"/>
    <w:rsid w:val="00D872DF"/>
    <w:rsid w:val="00D91E21"/>
    <w:rsid w:val="00DA7FCD"/>
    <w:rsid w:val="00DB2AA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765A0"/>
  <w15:chartTrackingRefBased/>
  <w15:docId w15:val="{33CDD217-49E8-460E-9DFC-E71516F77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64CEB"/>
    <w:rPr>
      <w:b/>
      <w:kern w:val="28"/>
      <w:sz w:val="28"/>
      <w:lang w:val="fr-FR" w:eastAsia="fr-FR"/>
    </w:rPr>
  </w:style>
  <w:style w:type="character" w:customStyle="1" w:styleId="Heading2Char">
    <w:name w:val="Heading 2 Char"/>
    <w:basedOn w:val="DefaultParagraphFont"/>
    <w:link w:val="Heading2"/>
    <w:uiPriority w:val="9"/>
    <w:rsid w:val="00264CEB"/>
    <w:rPr>
      <w:sz w:val="24"/>
      <w:lang w:val="fr-FR" w:eastAsia="fr-FR"/>
    </w:rPr>
  </w:style>
  <w:style w:type="character" w:customStyle="1" w:styleId="Heading3Char">
    <w:name w:val="Heading 3 Char"/>
    <w:basedOn w:val="DefaultParagraphFont"/>
    <w:link w:val="Heading3"/>
    <w:semiHidden/>
    <w:rsid w:val="00264CEB"/>
    <w:rPr>
      <w:rFonts w:ascii="Arial" w:hAnsi="Arial"/>
      <w:sz w:val="24"/>
      <w:lang w:val="fr-FR" w:eastAsia="fr-FR"/>
    </w:rPr>
  </w:style>
  <w:style w:type="character" w:customStyle="1" w:styleId="Heading4Char">
    <w:name w:val="Heading 4 Char"/>
    <w:basedOn w:val="DefaultParagraphFont"/>
    <w:link w:val="Heading4"/>
    <w:semiHidden/>
    <w:rsid w:val="00264CEB"/>
    <w:rPr>
      <w:sz w:val="24"/>
      <w:lang w:val="en-US" w:eastAsia="fr-FR"/>
    </w:rPr>
  </w:style>
  <w:style w:type="character" w:customStyle="1" w:styleId="Heading5Char">
    <w:name w:val="Heading 5 Char"/>
    <w:basedOn w:val="DefaultParagraphFont"/>
    <w:link w:val="Heading5"/>
    <w:semiHidden/>
    <w:rsid w:val="00264CEB"/>
    <w:rPr>
      <w:sz w:val="24"/>
      <w:lang w:val="en-US" w:eastAsia="fr-FR"/>
    </w:rPr>
  </w:style>
  <w:style w:type="character" w:customStyle="1" w:styleId="Heading6Char">
    <w:name w:val="Heading 6 Char"/>
    <w:basedOn w:val="DefaultParagraphFont"/>
    <w:link w:val="Heading6"/>
    <w:semiHidden/>
    <w:rsid w:val="00264CEB"/>
    <w:rPr>
      <w:i/>
      <w:sz w:val="22"/>
      <w:lang w:val="it-IT"/>
    </w:rPr>
  </w:style>
  <w:style w:type="character" w:customStyle="1" w:styleId="Heading7Char">
    <w:name w:val="Heading 7 Char"/>
    <w:basedOn w:val="DefaultParagraphFont"/>
    <w:link w:val="Heading7"/>
    <w:semiHidden/>
    <w:rsid w:val="00264CEB"/>
    <w:rPr>
      <w:rFonts w:ascii="Arial" w:hAnsi="Arial"/>
      <w:sz w:val="24"/>
      <w:lang w:val="it-IT"/>
    </w:rPr>
  </w:style>
  <w:style w:type="character" w:customStyle="1" w:styleId="Heading8Char">
    <w:name w:val="Heading 8 Char"/>
    <w:basedOn w:val="DefaultParagraphFont"/>
    <w:link w:val="Heading8"/>
    <w:semiHidden/>
    <w:rsid w:val="00264CEB"/>
    <w:rPr>
      <w:rFonts w:ascii="Arial" w:hAnsi="Arial"/>
      <w:i/>
      <w:sz w:val="24"/>
      <w:lang w:val="it-IT"/>
    </w:rPr>
  </w:style>
  <w:style w:type="character" w:customStyle="1" w:styleId="Heading9Char">
    <w:name w:val="Heading 9 Char"/>
    <w:basedOn w:val="DefaultParagraphFont"/>
    <w:link w:val="Heading9"/>
    <w:semiHidden/>
    <w:rsid w:val="00264CEB"/>
    <w:rPr>
      <w:rFonts w:ascii="Arial" w:hAnsi="Arial"/>
      <w:b/>
      <w:i/>
      <w:sz w:val="18"/>
      <w:lang w:val="it-IT"/>
    </w:rPr>
  </w:style>
  <w:style w:type="paragraph" w:styleId="TOCHeading">
    <w:name w:val="TOC Heading"/>
    <w:basedOn w:val="Normal"/>
    <w:next w:val="Normal"/>
    <w:uiPriority w:val="39"/>
    <w:unhideWhenUsed/>
    <w:qFormat/>
    <w:rsid w:val="00264CEB"/>
    <w:pPr>
      <w:widowControl/>
      <w:spacing w:after="240"/>
    </w:pPr>
    <w:rPr>
      <w:lang w:val="en-GB"/>
    </w:rPr>
  </w:style>
  <w:style w:type="paragraph" w:customStyle="1" w:styleId="EPFooter2">
    <w:name w:val="EPFooter2"/>
    <w:basedOn w:val="Normal"/>
    <w:next w:val="Normal"/>
    <w:rsid w:val="00264C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64CEB"/>
    <w:pPr>
      <w:keepNext/>
      <w:spacing w:after="240"/>
      <w:jc w:val="right"/>
    </w:pPr>
    <w:rPr>
      <w:rFonts w:ascii="Arial" w:hAnsi="Arial"/>
      <w:b/>
    </w:rPr>
  </w:style>
  <w:style w:type="paragraph" w:customStyle="1" w:styleId="Normal6a">
    <w:name w:val="Normal6a"/>
    <w:basedOn w:val="Normal"/>
    <w:rsid w:val="00264CEB"/>
    <w:pPr>
      <w:spacing w:after="120"/>
    </w:pPr>
  </w:style>
  <w:style w:type="paragraph" w:customStyle="1" w:styleId="PageHeading">
    <w:name w:val="PageHeading"/>
    <w:basedOn w:val="Normal"/>
    <w:rsid w:val="00264CEB"/>
    <w:pPr>
      <w:keepNext/>
      <w:spacing w:after="480"/>
      <w:jc w:val="center"/>
    </w:pPr>
    <w:rPr>
      <w:rFonts w:ascii="Arial" w:hAnsi="Arial" w:cs="Arial"/>
      <w:b/>
    </w:rPr>
  </w:style>
  <w:style w:type="paragraph" w:customStyle="1" w:styleId="NormalBold">
    <w:name w:val="NormalBold"/>
    <w:basedOn w:val="Normal"/>
    <w:link w:val="NormalBoldChar"/>
    <w:rsid w:val="00264CEB"/>
    <w:rPr>
      <w:b/>
    </w:rPr>
  </w:style>
  <w:style w:type="paragraph" w:customStyle="1" w:styleId="NormalBold12a">
    <w:name w:val="NormalBold12a"/>
    <w:basedOn w:val="Normal"/>
    <w:rsid w:val="00264CEB"/>
    <w:pPr>
      <w:spacing w:after="240"/>
    </w:pPr>
    <w:rPr>
      <w:b/>
    </w:rPr>
  </w:style>
  <w:style w:type="paragraph" w:customStyle="1" w:styleId="AmJustText">
    <w:name w:val="AmJustText"/>
    <w:basedOn w:val="Normal"/>
    <w:rsid w:val="00264CEB"/>
    <w:pPr>
      <w:spacing w:after="240"/>
    </w:pPr>
    <w:rPr>
      <w:i/>
    </w:rPr>
  </w:style>
  <w:style w:type="paragraph" w:customStyle="1" w:styleId="NormalHanging12a">
    <w:name w:val="NormalHanging12a"/>
    <w:basedOn w:val="Normal"/>
    <w:rsid w:val="00264CEB"/>
    <w:pPr>
      <w:spacing w:after="240"/>
      <w:ind w:left="567" w:hanging="567"/>
    </w:pPr>
  </w:style>
  <w:style w:type="paragraph" w:customStyle="1" w:styleId="CoverNormal24a">
    <w:name w:val="CoverNormal24a"/>
    <w:basedOn w:val="Normal"/>
    <w:rsid w:val="00264CEB"/>
    <w:pPr>
      <w:spacing w:after="480"/>
      <w:ind w:left="1417"/>
    </w:pPr>
  </w:style>
  <w:style w:type="paragraph" w:customStyle="1" w:styleId="CoverNormal">
    <w:name w:val="CoverNormal"/>
    <w:basedOn w:val="Normal"/>
    <w:rsid w:val="00264CEB"/>
    <w:pPr>
      <w:ind w:left="1418"/>
    </w:pPr>
  </w:style>
  <w:style w:type="paragraph" w:customStyle="1" w:styleId="AmCrossRef">
    <w:name w:val="AmCrossRef"/>
    <w:basedOn w:val="Normal"/>
    <w:rsid w:val="00264CEB"/>
    <w:pPr>
      <w:spacing w:before="240" w:after="240"/>
      <w:jc w:val="center"/>
    </w:pPr>
    <w:rPr>
      <w:i/>
    </w:rPr>
  </w:style>
  <w:style w:type="paragraph" w:customStyle="1" w:styleId="AmJustTitle">
    <w:name w:val="AmJustTitle"/>
    <w:basedOn w:val="Normal"/>
    <w:next w:val="AmJustText"/>
    <w:rsid w:val="00264CEB"/>
    <w:pPr>
      <w:keepNext/>
      <w:spacing w:before="240" w:after="240"/>
      <w:jc w:val="center"/>
    </w:pPr>
    <w:rPr>
      <w:i/>
    </w:rPr>
  </w:style>
  <w:style w:type="paragraph" w:customStyle="1" w:styleId="CoverReference">
    <w:name w:val="CoverReference"/>
    <w:basedOn w:val="Normal"/>
    <w:rsid w:val="00264CEB"/>
    <w:pPr>
      <w:spacing w:before="1080"/>
      <w:jc w:val="right"/>
    </w:pPr>
    <w:rPr>
      <w:rFonts w:ascii="Arial" w:hAnsi="Arial" w:cs="Arial"/>
      <w:b/>
    </w:rPr>
  </w:style>
  <w:style w:type="paragraph" w:customStyle="1" w:styleId="CoverDocType">
    <w:name w:val="CoverDocType"/>
    <w:basedOn w:val="Normal"/>
    <w:rsid w:val="00264CEB"/>
    <w:pPr>
      <w:ind w:left="1418"/>
    </w:pPr>
    <w:rPr>
      <w:rFonts w:ascii="Arial" w:hAnsi="Arial"/>
      <w:b/>
      <w:sz w:val="48"/>
    </w:rPr>
  </w:style>
  <w:style w:type="paragraph" w:customStyle="1" w:styleId="CoverDocType24a">
    <w:name w:val="CoverDocType24a"/>
    <w:basedOn w:val="Normal"/>
    <w:rsid w:val="00264CEB"/>
    <w:pPr>
      <w:spacing w:after="480"/>
      <w:ind w:left="1418"/>
    </w:pPr>
    <w:rPr>
      <w:rFonts w:ascii="Arial" w:hAnsi="Arial"/>
      <w:b/>
      <w:sz w:val="48"/>
    </w:rPr>
  </w:style>
  <w:style w:type="paragraph" w:customStyle="1" w:styleId="CoverDate">
    <w:name w:val="CoverDate"/>
    <w:basedOn w:val="Normal"/>
    <w:rsid w:val="00264CEB"/>
    <w:pPr>
      <w:spacing w:before="240" w:after="1200"/>
    </w:pPr>
  </w:style>
  <w:style w:type="paragraph" w:styleId="Header">
    <w:name w:val="header"/>
    <w:basedOn w:val="Normal"/>
    <w:link w:val="HeaderChar"/>
    <w:rsid w:val="00264CEB"/>
    <w:pPr>
      <w:tabs>
        <w:tab w:val="center" w:pos="4513"/>
        <w:tab w:val="right" w:pos="9026"/>
      </w:tabs>
    </w:pPr>
  </w:style>
  <w:style w:type="character" w:customStyle="1" w:styleId="HeaderChar">
    <w:name w:val="Header Char"/>
    <w:basedOn w:val="DefaultParagraphFont"/>
    <w:link w:val="Header"/>
    <w:rsid w:val="00264CEB"/>
    <w:rPr>
      <w:sz w:val="24"/>
      <w:lang w:val="it-IT"/>
    </w:rPr>
  </w:style>
  <w:style w:type="paragraph" w:customStyle="1" w:styleId="AmOrLang">
    <w:name w:val="AmOrLang"/>
    <w:basedOn w:val="Normal"/>
    <w:rsid w:val="00264CEB"/>
    <w:pPr>
      <w:spacing w:before="240" w:after="240"/>
      <w:jc w:val="right"/>
    </w:pPr>
  </w:style>
  <w:style w:type="paragraph" w:customStyle="1" w:styleId="AmColumnHeading">
    <w:name w:val="AmColumnHeading"/>
    <w:basedOn w:val="Normal"/>
    <w:rsid w:val="00264CEB"/>
    <w:pPr>
      <w:spacing w:after="240"/>
      <w:jc w:val="center"/>
    </w:pPr>
    <w:rPr>
      <w:i/>
    </w:rPr>
  </w:style>
  <w:style w:type="paragraph" w:customStyle="1" w:styleId="AmNumberTabs">
    <w:name w:val="AmNumberTabs"/>
    <w:basedOn w:val="Normal"/>
    <w:rsid w:val="00264C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64CEB"/>
    <w:pPr>
      <w:spacing w:before="240"/>
    </w:pPr>
    <w:rPr>
      <w:b/>
    </w:rPr>
  </w:style>
  <w:style w:type="paragraph" w:customStyle="1" w:styleId="EPBody">
    <w:name w:val="EPBody"/>
    <w:basedOn w:val="Normal"/>
    <w:rsid w:val="00264CEB"/>
    <w:pPr>
      <w:jc w:val="center"/>
    </w:pPr>
    <w:rPr>
      <w:rFonts w:ascii="Arial" w:hAnsi="Arial" w:cs="Arial"/>
      <w:i/>
      <w:sz w:val="22"/>
      <w:szCs w:val="22"/>
    </w:rPr>
  </w:style>
  <w:style w:type="paragraph" w:customStyle="1" w:styleId="EPFooter">
    <w:name w:val="EPFooter"/>
    <w:basedOn w:val="Normal"/>
    <w:rsid w:val="00264CEB"/>
    <w:pPr>
      <w:tabs>
        <w:tab w:val="center" w:pos="4535"/>
        <w:tab w:val="right" w:pos="9071"/>
      </w:tabs>
      <w:spacing w:before="240" w:after="240"/>
    </w:pPr>
    <w:rPr>
      <w:color w:val="010000"/>
      <w:sz w:val="22"/>
    </w:rPr>
  </w:style>
  <w:style w:type="paragraph" w:customStyle="1" w:styleId="EPComma">
    <w:name w:val="EPComma"/>
    <w:basedOn w:val="Normal"/>
    <w:rsid w:val="00264CEB"/>
    <w:pPr>
      <w:spacing w:before="480" w:after="240"/>
    </w:pPr>
  </w:style>
  <w:style w:type="paragraph" w:customStyle="1" w:styleId="Lgendesigne">
    <w:name w:val="Légende signe"/>
    <w:basedOn w:val="Normal"/>
    <w:rsid w:val="00264CEB"/>
    <w:pPr>
      <w:tabs>
        <w:tab w:val="right" w:pos="454"/>
        <w:tab w:val="left" w:pos="737"/>
      </w:tabs>
      <w:ind w:left="737" w:hanging="737"/>
    </w:pPr>
    <w:rPr>
      <w:snapToGrid w:val="0"/>
      <w:sz w:val="18"/>
      <w:lang w:eastAsia="en-US"/>
    </w:rPr>
  </w:style>
  <w:style w:type="paragraph" w:customStyle="1" w:styleId="Lgendetitre">
    <w:name w:val="Légende titre"/>
    <w:basedOn w:val="Normal"/>
    <w:rsid w:val="00264CEB"/>
    <w:pPr>
      <w:spacing w:before="240" w:after="240"/>
    </w:pPr>
    <w:rPr>
      <w:b/>
      <w:i/>
      <w:snapToGrid w:val="0"/>
      <w:lang w:eastAsia="en-US"/>
    </w:rPr>
  </w:style>
  <w:style w:type="paragraph" w:customStyle="1" w:styleId="Lgendestandard">
    <w:name w:val="Légende standard"/>
    <w:basedOn w:val="Normal"/>
    <w:rsid w:val="00264CEB"/>
    <w:rPr>
      <w:sz w:val="18"/>
    </w:rPr>
  </w:style>
  <w:style w:type="paragraph" w:styleId="Footer">
    <w:name w:val="footer"/>
    <w:basedOn w:val="Normal"/>
    <w:link w:val="FooterChar"/>
    <w:rsid w:val="00264CEB"/>
    <w:pPr>
      <w:tabs>
        <w:tab w:val="center" w:pos="4513"/>
        <w:tab w:val="right" w:pos="9026"/>
      </w:tabs>
    </w:pPr>
  </w:style>
  <w:style w:type="character" w:customStyle="1" w:styleId="FooterChar">
    <w:name w:val="Footer Char"/>
    <w:basedOn w:val="DefaultParagraphFont"/>
    <w:link w:val="Footer"/>
    <w:rsid w:val="00264CEB"/>
    <w:rPr>
      <w:sz w:val="24"/>
      <w:lang w:val="it-IT"/>
    </w:rPr>
  </w:style>
  <w:style w:type="paragraph" w:customStyle="1" w:styleId="msonormal0">
    <w:name w:val="msonormal"/>
    <w:basedOn w:val="Normal"/>
    <w:rsid w:val="00264CEB"/>
    <w:pPr>
      <w:widowControl/>
      <w:spacing w:before="100" w:beforeAutospacing="1" w:after="100" w:afterAutospacing="1"/>
    </w:pPr>
    <w:rPr>
      <w:szCs w:val="24"/>
    </w:rPr>
  </w:style>
  <w:style w:type="character" w:customStyle="1" w:styleId="Normal12Char">
    <w:name w:val="Normal12 Char"/>
    <w:link w:val="Normal12"/>
    <w:locked/>
    <w:rsid w:val="00264CEB"/>
    <w:rPr>
      <w:noProof/>
      <w:sz w:val="24"/>
    </w:rPr>
  </w:style>
  <w:style w:type="paragraph" w:customStyle="1" w:styleId="Normal12">
    <w:name w:val="Normal12"/>
    <w:basedOn w:val="Normal"/>
    <w:link w:val="Normal12Char"/>
    <w:rsid w:val="00264CEB"/>
    <w:pPr>
      <w:spacing w:after="240"/>
    </w:pPr>
    <w:rPr>
      <w:noProof/>
      <w:lang w:val="en-GB"/>
    </w:rPr>
  </w:style>
  <w:style w:type="paragraph" w:customStyle="1" w:styleId="CommitteeAM">
    <w:name w:val="CommitteeAM"/>
    <w:basedOn w:val="Normal"/>
    <w:rsid w:val="00264CEB"/>
    <w:pPr>
      <w:spacing w:before="240" w:after="600"/>
      <w:jc w:val="center"/>
    </w:pPr>
    <w:rPr>
      <w:i/>
    </w:rPr>
  </w:style>
  <w:style w:type="paragraph" w:customStyle="1" w:styleId="ZDateAM">
    <w:name w:val="ZDateAM"/>
    <w:basedOn w:val="Normal"/>
    <w:rsid w:val="00264CEB"/>
    <w:pPr>
      <w:tabs>
        <w:tab w:val="right" w:pos="9356"/>
      </w:tabs>
      <w:spacing w:after="480"/>
    </w:pPr>
    <w:rPr>
      <w:noProof/>
    </w:rPr>
  </w:style>
  <w:style w:type="paragraph" w:customStyle="1" w:styleId="ProjRap">
    <w:name w:val="ProjRap"/>
    <w:basedOn w:val="Normal"/>
    <w:rsid w:val="00264CEB"/>
    <w:pPr>
      <w:tabs>
        <w:tab w:val="right" w:pos="9356"/>
      </w:tabs>
    </w:pPr>
    <w:rPr>
      <w:b/>
      <w:noProof/>
    </w:rPr>
  </w:style>
  <w:style w:type="paragraph" w:customStyle="1" w:styleId="PELeft">
    <w:name w:val="PELeft"/>
    <w:basedOn w:val="Normal"/>
    <w:rsid w:val="00264CEB"/>
    <w:pPr>
      <w:spacing w:before="40" w:after="40"/>
    </w:pPr>
    <w:rPr>
      <w:rFonts w:ascii="Arial" w:hAnsi="Arial" w:cs="Arial"/>
      <w:sz w:val="22"/>
      <w:szCs w:val="22"/>
    </w:rPr>
  </w:style>
  <w:style w:type="paragraph" w:customStyle="1" w:styleId="PERight">
    <w:name w:val="PERight"/>
    <w:basedOn w:val="Normal"/>
    <w:next w:val="Normal"/>
    <w:rsid w:val="00264CEB"/>
    <w:pPr>
      <w:jc w:val="right"/>
    </w:pPr>
    <w:rPr>
      <w:rFonts w:ascii="Arial" w:hAnsi="Arial" w:cs="Arial"/>
      <w:sz w:val="22"/>
      <w:szCs w:val="22"/>
    </w:rPr>
  </w:style>
  <w:style w:type="character" w:customStyle="1" w:styleId="Normal6Char">
    <w:name w:val="Normal6 Char"/>
    <w:link w:val="Normal6"/>
    <w:locked/>
    <w:rsid w:val="00264CEB"/>
    <w:rPr>
      <w:sz w:val="24"/>
      <w:lang w:val="it-IT"/>
    </w:rPr>
  </w:style>
  <w:style w:type="paragraph" w:customStyle="1" w:styleId="Normal6">
    <w:name w:val="Normal6"/>
    <w:basedOn w:val="Normal"/>
    <w:link w:val="Normal6Char"/>
    <w:rsid w:val="00264CEB"/>
    <w:pPr>
      <w:spacing w:after="120"/>
    </w:pPr>
  </w:style>
  <w:style w:type="character" w:customStyle="1" w:styleId="NormalBoldChar">
    <w:name w:val="NormalBold Char"/>
    <w:link w:val="NormalBold"/>
    <w:locked/>
    <w:rsid w:val="00264CEB"/>
    <w:rPr>
      <w:b/>
      <w:sz w:val="24"/>
      <w:lang w:val="it-IT"/>
    </w:rPr>
  </w:style>
  <w:style w:type="paragraph" w:customStyle="1" w:styleId="Normal12Italic">
    <w:name w:val="Normal12Italic"/>
    <w:basedOn w:val="Normal12"/>
    <w:rsid w:val="00264CEB"/>
    <w:rPr>
      <w:i/>
    </w:rPr>
  </w:style>
  <w:style w:type="paragraph" w:customStyle="1" w:styleId="JustificationTitle">
    <w:name w:val="JustificationTitle"/>
    <w:basedOn w:val="Normal"/>
    <w:next w:val="Normal12"/>
    <w:rsid w:val="00264CEB"/>
    <w:pPr>
      <w:keepNext/>
      <w:spacing w:before="240" w:after="240"/>
      <w:jc w:val="center"/>
    </w:pPr>
    <w:rPr>
      <w:i/>
      <w:noProof/>
    </w:rPr>
  </w:style>
  <w:style w:type="paragraph" w:customStyle="1" w:styleId="Olang">
    <w:name w:val="Olang"/>
    <w:basedOn w:val="Normal"/>
    <w:rsid w:val="00264CEB"/>
    <w:pPr>
      <w:spacing w:before="240" w:after="240"/>
      <w:jc w:val="right"/>
    </w:pPr>
    <w:rPr>
      <w:noProof/>
      <w:szCs w:val="24"/>
    </w:rPr>
  </w:style>
  <w:style w:type="paragraph" w:customStyle="1" w:styleId="ColumnHeading">
    <w:name w:val="ColumnHeading"/>
    <w:basedOn w:val="Normal"/>
    <w:rsid w:val="00264CEB"/>
    <w:pPr>
      <w:spacing w:after="240"/>
      <w:jc w:val="center"/>
    </w:pPr>
    <w:rPr>
      <w:i/>
    </w:rPr>
  </w:style>
  <w:style w:type="paragraph" w:customStyle="1" w:styleId="AMNumberTabs0">
    <w:name w:val="AMNumberTabs"/>
    <w:basedOn w:val="Normal"/>
    <w:rsid w:val="00264C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64CEB"/>
    <w:pPr>
      <w:spacing w:before="240"/>
      <w:jc w:val="center"/>
    </w:pPr>
    <w:rPr>
      <w:i/>
    </w:rPr>
  </w:style>
  <w:style w:type="paragraph" w:customStyle="1" w:styleId="Footer2">
    <w:name w:val="Footer2"/>
    <w:basedOn w:val="Normal12"/>
    <w:rsid w:val="00264CEB"/>
    <w:pPr>
      <w:tabs>
        <w:tab w:val="center" w:pos="4535"/>
        <w:tab w:val="right" w:pos="9923"/>
      </w:tabs>
      <w:spacing w:line="480" w:lineRule="auto"/>
      <w:ind w:left="-851"/>
    </w:pPr>
    <w:rPr>
      <w:rFonts w:ascii="Arial" w:cs="Arial"/>
      <w:b/>
      <w:sz w:val="48"/>
    </w:rPr>
  </w:style>
  <w:style w:type="character" w:customStyle="1" w:styleId="Footer2Middle">
    <w:name w:val="Footer2Middle"/>
    <w:rsid w:val="00264CEB"/>
    <w:rPr>
      <w:rFonts w:ascii="Arial" w:hAnsi="Arial" w:cs="Arial" w:hint="default"/>
      <w:b w:val="0"/>
      <w:bCs w:val="0"/>
      <w:i/>
      <w:iCs w:val="0"/>
      <w:color w:val="C0C0C0"/>
      <w:sz w:val="22"/>
    </w:rPr>
  </w:style>
  <w:style w:type="paragraph" w:customStyle="1" w:styleId="EntPE">
    <w:name w:val="EntPE"/>
    <w:basedOn w:val="Normal12"/>
    <w:rsid w:val="00264CEB"/>
    <w:pPr>
      <w:jc w:val="center"/>
    </w:pPr>
    <w:rPr>
      <w:noProof w:val="0"/>
      <w:sz w:val="56"/>
    </w:rPr>
  </w:style>
  <w:style w:type="character" w:styleId="CommentReference">
    <w:name w:val="annotation reference"/>
    <w:basedOn w:val="DefaultParagraphFont"/>
    <w:uiPriority w:val="99"/>
    <w:rsid w:val="00264CEB"/>
    <w:rPr>
      <w:sz w:val="16"/>
      <w:szCs w:val="16"/>
    </w:rPr>
  </w:style>
  <w:style w:type="paragraph" w:styleId="CommentText">
    <w:name w:val="annotation text"/>
    <w:basedOn w:val="Normal"/>
    <w:link w:val="CommentTextChar"/>
    <w:uiPriority w:val="99"/>
    <w:rsid w:val="00264CEB"/>
    <w:rPr>
      <w:sz w:val="20"/>
    </w:rPr>
  </w:style>
  <w:style w:type="character" w:customStyle="1" w:styleId="CommentTextChar">
    <w:name w:val="Comment Text Char"/>
    <w:basedOn w:val="DefaultParagraphFont"/>
    <w:link w:val="CommentText"/>
    <w:uiPriority w:val="99"/>
    <w:rsid w:val="00264CEB"/>
    <w:rPr>
      <w:lang w:val="it-IT"/>
    </w:rPr>
  </w:style>
  <w:style w:type="paragraph" w:styleId="CommentSubject">
    <w:name w:val="annotation subject"/>
    <w:basedOn w:val="CommentText"/>
    <w:next w:val="CommentText"/>
    <w:link w:val="CommentSubjectChar"/>
    <w:unhideWhenUsed/>
    <w:rsid w:val="00264CEB"/>
    <w:rPr>
      <w:b/>
      <w:bCs/>
    </w:rPr>
  </w:style>
  <w:style w:type="character" w:customStyle="1" w:styleId="CommentSubjectChar">
    <w:name w:val="Comment Subject Char"/>
    <w:basedOn w:val="CommentTextChar"/>
    <w:link w:val="CommentSubject"/>
    <w:rsid w:val="00264CEB"/>
    <w:rPr>
      <w:b/>
      <w:bCs/>
      <w:lang w:val="it-IT"/>
    </w:rPr>
  </w:style>
  <w:style w:type="paragraph" w:customStyle="1" w:styleId="Text1">
    <w:name w:val="Text 1"/>
    <w:basedOn w:val="Normal"/>
    <w:rsid w:val="00264CEB"/>
    <w:pPr>
      <w:widowControl/>
      <w:spacing w:before="120" w:after="120"/>
      <w:ind w:left="850"/>
      <w:jc w:val="both"/>
    </w:pPr>
    <w:rPr>
      <w:rFonts w:eastAsiaTheme="minorHAnsi"/>
      <w:szCs w:val="22"/>
      <w:lang w:eastAsia="en-US"/>
    </w:rPr>
  </w:style>
  <w:style w:type="paragraph" w:customStyle="1" w:styleId="Point0">
    <w:name w:val="Point 0"/>
    <w:basedOn w:val="Normal"/>
    <w:rsid w:val="00264CEB"/>
    <w:pPr>
      <w:widowControl/>
      <w:spacing w:before="120" w:after="120"/>
      <w:ind w:left="850" w:hanging="850"/>
      <w:jc w:val="both"/>
    </w:pPr>
    <w:rPr>
      <w:rFonts w:eastAsiaTheme="minorHAnsi"/>
      <w:szCs w:val="22"/>
      <w:lang w:eastAsia="en-US"/>
    </w:rPr>
  </w:style>
  <w:style w:type="paragraph" w:styleId="BalloonText">
    <w:name w:val="Balloon Text"/>
    <w:basedOn w:val="Normal"/>
    <w:link w:val="BalloonTextChar"/>
    <w:unhideWhenUsed/>
    <w:rsid w:val="00264CEB"/>
    <w:rPr>
      <w:rFonts w:ascii="Segoe UI" w:hAnsi="Segoe UI" w:cs="Segoe UI"/>
      <w:sz w:val="18"/>
      <w:szCs w:val="18"/>
    </w:rPr>
  </w:style>
  <w:style w:type="character" w:customStyle="1" w:styleId="BalloonTextChar">
    <w:name w:val="Balloon Text Char"/>
    <w:basedOn w:val="DefaultParagraphFont"/>
    <w:link w:val="BalloonText"/>
    <w:rsid w:val="00264CEB"/>
    <w:rPr>
      <w:rFonts w:ascii="Segoe UI" w:hAnsi="Segoe UI" w:cs="Segoe UI"/>
      <w:sz w:val="18"/>
      <w:szCs w:val="18"/>
      <w:lang w:val="it-IT"/>
    </w:rPr>
  </w:style>
  <w:style w:type="character" w:customStyle="1" w:styleId="no-parag">
    <w:name w:val="no-parag"/>
    <w:basedOn w:val="DefaultParagraphFont"/>
    <w:rsid w:val="00264CEB"/>
  </w:style>
  <w:style w:type="paragraph" w:styleId="Revision">
    <w:name w:val="Revision"/>
    <w:hidden/>
    <w:uiPriority w:val="99"/>
    <w:semiHidden/>
    <w:rsid w:val="00264CEB"/>
    <w:rPr>
      <w:sz w:val="24"/>
      <w:lang w:val="it-IT"/>
    </w:rPr>
  </w:style>
  <w:style w:type="paragraph" w:customStyle="1" w:styleId="NormalCenter12a">
    <w:name w:val="NormalCenter12a"/>
    <w:basedOn w:val="Normal"/>
    <w:rsid w:val="00264CEB"/>
    <w:pPr>
      <w:spacing w:after="240"/>
      <w:jc w:val="center"/>
    </w:pPr>
  </w:style>
  <w:style w:type="paragraph" w:customStyle="1" w:styleId="AmHeadingConsam">
    <w:name w:val="AmHeadingConsam"/>
    <w:basedOn w:val="Normal"/>
    <w:next w:val="NormalCenter12a"/>
    <w:rsid w:val="00264CEB"/>
    <w:pPr>
      <w:spacing w:before="720" w:after="240"/>
      <w:jc w:val="center"/>
    </w:pPr>
  </w:style>
  <w:style w:type="character" w:styleId="Hyperlink">
    <w:name w:val="Hyperlink"/>
    <w:basedOn w:val="DefaultParagraphFont"/>
    <w:uiPriority w:val="99"/>
    <w:unhideWhenUsed/>
    <w:rsid w:val="00264CEB"/>
    <w:rPr>
      <w:color w:val="0000FF"/>
      <w:u w:val="single"/>
    </w:rPr>
  </w:style>
  <w:style w:type="paragraph" w:customStyle="1" w:styleId="Text2">
    <w:name w:val="Text 2"/>
    <w:basedOn w:val="Normal"/>
    <w:rsid w:val="00264CEB"/>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264CEB"/>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264CEB"/>
    <w:pPr>
      <w:widowControl/>
      <w:spacing w:before="120" w:after="120"/>
      <w:ind w:left="2551"/>
      <w:jc w:val="both"/>
    </w:pPr>
    <w:rPr>
      <w:rFonts w:eastAsiaTheme="minorHAnsi"/>
      <w:szCs w:val="22"/>
      <w:lang w:eastAsia="en-US"/>
    </w:rPr>
  </w:style>
  <w:style w:type="paragraph" w:customStyle="1" w:styleId="NormalCentered">
    <w:name w:val="Normal Centered"/>
    <w:basedOn w:val="Normal"/>
    <w:uiPriority w:val="99"/>
    <w:semiHidden/>
    <w:rsid w:val="00264CEB"/>
    <w:pPr>
      <w:widowControl/>
      <w:spacing w:before="120" w:after="120"/>
      <w:jc w:val="center"/>
    </w:pPr>
    <w:rPr>
      <w:rFonts w:eastAsiaTheme="minorHAnsi"/>
      <w:szCs w:val="22"/>
      <w:lang w:eastAsia="en-US"/>
    </w:rPr>
  </w:style>
  <w:style w:type="paragraph" w:customStyle="1" w:styleId="Point1">
    <w:name w:val="Point 1"/>
    <w:basedOn w:val="Normal"/>
    <w:rsid w:val="00264CE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64CEB"/>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64CEB"/>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264CEB"/>
    <w:pPr>
      <w:widowControl/>
      <w:spacing w:before="120" w:after="120"/>
      <w:ind w:left="3118" w:hanging="567"/>
      <w:jc w:val="both"/>
    </w:pPr>
    <w:rPr>
      <w:rFonts w:eastAsiaTheme="minorHAnsi"/>
      <w:szCs w:val="22"/>
      <w:lang w:eastAsia="en-US"/>
    </w:rPr>
  </w:style>
  <w:style w:type="paragraph" w:customStyle="1" w:styleId="ManualNumPar1">
    <w:name w:val="Manual NumPar 1"/>
    <w:basedOn w:val="Normal"/>
    <w:next w:val="Text1"/>
    <w:rsid w:val="00264CEB"/>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64CEB"/>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264CEB"/>
    <w:pPr>
      <w:widowControl/>
      <w:spacing w:before="480" w:after="120"/>
      <w:jc w:val="both"/>
    </w:pPr>
    <w:rPr>
      <w:rFonts w:eastAsiaTheme="minorHAnsi"/>
      <w:szCs w:val="22"/>
      <w:lang w:eastAsia="en-US"/>
    </w:rPr>
  </w:style>
  <w:style w:type="paragraph" w:customStyle="1" w:styleId="Titreobjet">
    <w:name w:val="Titre objet"/>
    <w:basedOn w:val="Normal"/>
    <w:next w:val="IntrtEEE"/>
    <w:uiPriority w:val="99"/>
    <w:semiHidden/>
    <w:rsid w:val="00264CEB"/>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264CEB"/>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264CE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264CE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264CEB"/>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semiHidden/>
    <w:rsid w:val="00264CEB"/>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semiHidden/>
    <w:rsid w:val="00264CEB"/>
    <w:pPr>
      <w:widowControl/>
      <w:spacing w:before="360"/>
      <w:jc w:val="center"/>
    </w:pPr>
    <w:rPr>
      <w:rFonts w:eastAsiaTheme="minorHAnsi"/>
      <w:b/>
      <w:szCs w:val="22"/>
      <w:lang w:eastAsia="en-US"/>
    </w:rPr>
  </w:style>
  <w:style w:type="paragraph" w:customStyle="1" w:styleId="IntrtEEE">
    <w:name w:val="Intérêt EEE"/>
    <w:basedOn w:val="Normal"/>
    <w:next w:val="Normal"/>
    <w:uiPriority w:val="99"/>
    <w:semiHidden/>
    <w:rsid w:val="00264CEB"/>
    <w:pPr>
      <w:widowControl/>
      <w:spacing w:before="360" w:after="240"/>
      <w:jc w:val="center"/>
    </w:pPr>
    <w:rPr>
      <w:rFonts w:eastAsiaTheme="minorHAnsi"/>
      <w:szCs w:val="22"/>
      <w:lang w:eastAsia="en-US"/>
    </w:rPr>
  </w:style>
  <w:style w:type="paragraph" w:customStyle="1" w:styleId="Personnequisigne">
    <w:name w:val="Personne qui signe"/>
    <w:basedOn w:val="Normal"/>
    <w:next w:val="Institutionquisigne"/>
    <w:rsid w:val="00264CEB"/>
    <w:pPr>
      <w:widowControl/>
      <w:tabs>
        <w:tab w:val="left" w:pos="4252"/>
      </w:tabs>
    </w:pPr>
    <w:rPr>
      <w:rFonts w:eastAsiaTheme="minorHAnsi"/>
      <w:i/>
      <w:szCs w:val="22"/>
      <w:lang w:eastAsia="en-US"/>
    </w:rPr>
  </w:style>
  <w:style w:type="paragraph" w:styleId="ListParagraph">
    <w:name w:val="List Paragraph"/>
    <w:basedOn w:val="Normal"/>
    <w:uiPriority w:val="34"/>
    <w:qFormat/>
    <w:rsid w:val="00264CEB"/>
    <w:pPr>
      <w:ind w:left="720"/>
      <w:contextualSpacing/>
    </w:pPr>
  </w:style>
  <w:style w:type="paragraph" w:customStyle="1" w:styleId="Normal12a">
    <w:name w:val="Normal12a"/>
    <w:basedOn w:val="Normal"/>
    <w:rsid w:val="00264CEB"/>
    <w:pPr>
      <w:spacing w:after="240"/>
    </w:pPr>
  </w:style>
  <w:style w:type="paragraph" w:customStyle="1" w:styleId="RollCallVotes">
    <w:name w:val="RollCallVotes"/>
    <w:basedOn w:val="Normal"/>
    <w:rsid w:val="00264CEB"/>
    <w:pPr>
      <w:spacing w:before="120" w:after="120"/>
      <w:jc w:val="center"/>
    </w:pPr>
    <w:rPr>
      <w:b/>
      <w:bCs/>
      <w:snapToGrid w:val="0"/>
      <w:sz w:val="16"/>
      <w:lang w:eastAsia="en-US"/>
    </w:rPr>
  </w:style>
  <w:style w:type="paragraph" w:customStyle="1" w:styleId="RollCallTabs">
    <w:name w:val="RollCallTabs"/>
    <w:basedOn w:val="Normal"/>
    <w:qFormat/>
    <w:rsid w:val="00264CEB"/>
    <w:pPr>
      <w:tabs>
        <w:tab w:val="center" w:pos="284"/>
        <w:tab w:val="left" w:pos="426"/>
      </w:tabs>
    </w:pPr>
    <w:rPr>
      <w:snapToGrid w:val="0"/>
      <w:lang w:eastAsia="en-US"/>
    </w:rPr>
  </w:style>
  <w:style w:type="paragraph" w:customStyle="1" w:styleId="RollCallSymbols14pt">
    <w:name w:val="RollCallSymbols14pt"/>
    <w:basedOn w:val="Normal"/>
    <w:rsid w:val="00264CEB"/>
    <w:pPr>
      <w:spacing w:before="120" w:after="120"/>
      <w:jc w:val="center"/>
    </w:pPr>
    <w:rPr>
      <w:rFonts w:ascii="Arial" w:hAnsi="Arial"/>
      <w:b/>
      <w:bCs/>
      <w:snapToGrid w:val="0"/>
      <w:sz w:val="28"/>
      <w:lang w:eastAsia="en-US"/>
    </w:rPr>
  </w:style>
  <w:style w:type="paragraph" w:customStyle="1" w:styleId="RollCallTable">
    <w:name w:val="RollCallTable"/>
    <w:basedOn w:val="Normal"/>
    <w:rsid w:val="00264CEB"/>
    <w:pPr>
      <w:spacing w:before="120" w:after="120"/>
    </w:pPr>
    <w:rPr>
      <w:snapToGrid w:val="0"/>
      <w:sz w:val="16"/>
      <w:lang w:eastAsia="en-US"/>
    </w:rPr>
  </w:style>
  <w:style w:type="paragraph" w:customStyle="1" w:styleId="AmDocTypeTab">
    <w:name w:val="AmDocTypeTab"/>
    <w:basedOn w:val="Normal"/>
    <w:rsid w:val="00730227"/>
    <w:pPr>
      <w:tabs>
        <w:tab w:val="right" w:pos="9072"/>
      </w:tabs>
    </w:pPr>
    <w:rPr>
      <w:b/>
    </w:rPr>
  </w:style>
  <w:style w:type="paragraph" w:customStyle="1" w:styleId="AmDateTab">
    <w:name w:val="AmDateTab"/>
    <w:basedOn w:val="Normal"/>
    <w:rsid w:val="00730227"/>
    <w:pPr>
      <w:tabs>
        <w:tab w:val="right" w:pos="9072"/>
      </w:tabs>
    </w:pPr>
  </w:style>
  <w:style w:type="numbering" w:customStyle="1" w:styleId="NoList1">
    <w:name w:val="No List1"/>
    <w:next w:val="NoList"/>
    <w:uiPriority w:val="99"/>
    <w:semiHidden/>
    <w:unhideWhenUsed/>
    <w:rsid w:val="00730227"/>
  </w:style>
  <w:style w:type="character" w:customStyle="1" w:styleId="rynqvb">
    <w:name w:val="rynqvb"/>
    <w:basedOn w:val="DefaultParagraphFont"/>
    <w:rsid w:val="00730227"/>
  </w:style>
  <w:style w:type="character" w:customStyle="1" w:styleId="UnresolvedMention1">
    <w:name w:val="Unresolved Mention1"/>
    <w:basedOn w:val="DefaultParagraphFont"/>
    <w:uiPriority w:val="99"/>
    <w:semiHidden/>
    <w:unhideWhenUsed/>
    <w:rsid w:val="00730227"/>
    <w:rPr>
      <w:color w:val="605E5C"/>
      <w:shd w:val="clear" w:color="auto" w:fill="E1DFDD"/>
    </w:rPr>
  </w:style>
  <w:style w:type="paragraph" w:styleId="NormalWeb">
    <w:name w:val="Normal (Web)"/>
    <w:basedOn w:val="Normal"/>
    <w:uiPriority w:val="99"/>
    <w:unhideWhenUsed/>
    <w:rsid w:val="00730227"/>
    <w:pPr>
      <w:widowControl/>
      <w:spacing w:before="100" w:beforeAutospacing="1" w:after="100" w:afterAutospacing="1"/>
    </w:pPr>
    <w:rPr>
      <w:szCs w:val="24"/>
    </w:rPr>
  </w:style>
  <w:style w:type="character" w:customStyle="1" w:styleId="highlight">
    <w:name w:val="highlight"/>
    <w:basedOn w:val="DefaultParagraphFont"/>
    <w:rsid w:val="00730227"/>
  </w:style>
  <w:style w:type="character" w:customStyle="1" w:styleId="ui-provider">
    <w:name w:val="ui-provider"/>
    <w:basedOn w:val="DefaultParagraphFont"/>
    <w:rsid w:val="00730227"/>
  </w:style>
  <w:style w:type="paragraph" w:styleId="BodyText">
    <w:name w:val="Body Text"/>
    <w:basedOn w:val="Normal"/>
    <w:link w:val="BodyTextChar"/>
    <w:uiPriority w:val="99"/>
    <w:unhideWhenUsed/>
    <w:rsid w:val="00730227"/>
    <w:pPr>
      <w:widowControl/>
      <w:spacing w:after="280" w:line="276" w:lineRule="auto"/>
    </w:pPr>
    <w:rPr>
      <w:rFonts w:ascii="Calibri" w:eastAsiaTheme="minorHAnsi" w:hAnsi="Calibri" w:cs="Calibri"/>
      <w:sz w:val="25"/>
      <w:szCs w:val="25"/>
      <w:lang w:eastAsia="en-US"/>
    </w:rPr>
  </w:style>
  <w:style w:type="character" w:customStyle="1" w:styleId="BodyTextChar">
    <w:name w:val="Body Text Char"/>
    <w:basedOn w:val="DefaultParagraphFont"/>
    <w:link w:val="BodyText"/>
    <w:uiPriority w:val="99"/>
    <w:rsid w:val="00730227"/>
    <w:rPr>
      <w:rFonts w:ascii="Calibri" w:eastAsiaTheme="minorHAnsi" w:hAnsi="Calibri" w:cs="Calibri"/>
      <w:sz w:val="25"/>
      <w:szCs w:val="25"/>
      <w:lang w:val="it-IT" w:eastAsia="en-US"/>
    </w:rPr>
  </w:style>
  <w:style w:type="paragraph" w:customStyle="1" w:styleId="norm">
    <w:name w:val="norm"/>
    <w:basedOn w:val="Normal"/>
    <w:rsid w:val="00730227"/>
    <w:pPr>
      <w:widowControl/>
      <w:spacing w:before="100" w:beforeAutospacing="1" w:after="100" w:afterAutospacing="1"/>
    </w:pPr>
    <w:rPr>
      <w:szCs w:val="24"/>
    </w:rPr>
  </w:style>
  <w:style w:type="paragraph" w:customStyle="1" w:styleId="modref">
    <w:name w:val="modref"/>
    <w:basedOn w:val="Normal"/>
    <w:rsid w:val="00730227"/>
    <w:pPr>
      <w:widowControl/>
      <w:spacing w:before="100" w:beforeAutospacing="1" w:after="100" w:afterAutospacing="1"/>
    </w:pPr>
    <w:rPr>
      <w:szCs w:val="24"/>
    </w:rPr>
  </w:style>
  <w:style w:type="character" w:customStyle="1" w:styleId="cf01">
    <w:name w:val="cf01"/>
    <w:basedOn w:val="DefaultParagraphFont"/>
    <w:rsid w:val="00730227"/>
    <w:rPr>
      <w:rFonts w:ascii="Segoe UI" w:hAnsi="Segoe UI" w:cs="Segoe UI" w:hint="default"/>
    </w:rPr>
  </w:style>
  <w:style w:type="paragraph" w:styleId="PlainText">
    <w:name w:val="Plain Text"/>
    <w:basedOn w:val="Normal"/>
    <w:link w:val="PlainTextChar"/>
    <w:uiPriority w:val="99"/>
    <w:unhideWhenUsed/>
    <w:rsid w:val="00730227"/>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730227"/>
    <w:rPr>
      <w:rFonts w:ascii="Calibri" w:eastAsiaTheme="minorHAnsi" w:hAnsi="Calibri" w:cstheme="minorBidi"/>
      <w:sz w:val="22"/>
      <w:szCs w:val="21"/>
      <w:lang w:val="it-IT" w:eastAsia="en-US"/>
    </w:rPr>
  </w:style>
  <w:style w:type="paragraph" w:customStyle="1" w:styleId="Normal1">
    <w:name w:val="Normal1"/>
    <w:basedOn w:val="Normal"/>
    <w:rsid w:val="00730227"/>
    <w:pPr>
      <w:widowControl/>
      <w:spacing w:before="100" w:beforeAutospacing="1" w:after="100" w:afterAutospacing="1"/>
    </w:pPr>
    <w:rPr>
      <w:szCs w:val="24"/>
      <w:lang w:eastAsia="fr-BE"/>
    </w:rPr>
  </w:style>
  <w:style w:type="character" w:styleId="FollowedHyperlink">
    <w:name w:val="FollowedHyperlink"/>
    <w:basedOn w:val="DefaultParagraphFont"/>
    <w:unhideWhenUsed/>
    <w:rsid w:val="00730227"/>
    <w:rPr>
      <w:color w:val="954F72" w:themeColor="followedHyperlink"/>
      <w:u w:val="single"/>
    </w:rPr>
  </w:style>
  <w:style w:type="character" w:customStyle="1" w:styleId="UnresolvedMention2">
    <w:name w:val="Unresolved Mention2"/>
    <w:basedOn w:val="DefaultParagraphFont"/>
    <w:uiPriority w:val="99"/>
    <w:semiHidden/>
    <w:unhideWhenUsed/>
    <w:rsid w:val="007302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1B931-D468-4BC7-92BD-DFE15EEE1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DAFFARA Paolo PE-START</cp:lastModifiedBy>
  <cp:revision>2</cp:revision>
  <cp:lastPrinted>2004-11-19T15:42:00Z</cp:lastPrinted>
  <dcterms:created xsi:type="dcterms:W3CDTF">2024-05-23T14:12:00Z</dcterms:created>
  <dcterms:modified xsi:type="dcterms:W3CDTF">2024-05-23T14:12:00Z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P9_TA(2024)0004_</vt:lpwstr>
  </property>
  <property fmtid="{D5CDD505-2E9C-101B-9397-08002B2CF9AE}" pid="4" name="&lt;Type&gt;">
    <vt:lpwstr>RR</vt:lpwstr>
  </property>
</Properties>
</file>