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</w:t>
      </w:r>
      <w:bookmarkEnd w:id="0"/>
      <w:r>
        <w:t>004</w:t>
      </w:r>
    </w:p>
    <w:p>
      <w:pPr>
        <w:pStyle w:val="ATHeading2"/>
      </w:pPr>
      <w:bookmarkStart w:id="1" w:name="title"/>
      <w:r>
        <w:t>Zmeny nariadenia o trhoch s finančnými nástrojmi (MiFIR)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A9-0040/2023</w:instrText>
      </w:r>
      <w:bookmarkEnd w:id="2"/>
      <w:r>
        <w:rPr>
          <w:i/>
        </w:rPr>
        <w:instrText xml:space="preserve"> - Spravodajkyňa: Danuta Maria Hübner)"\l3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hospodárske a menové veci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PE731.644</w:t>
      </w:r>
      <w:bookmarkEnd w:id="4"/>
    </w:p>
    <w:p>
      <w:pPr>
        <w:pStyle w:val="ATHeading3"/>
      </w:pPr>
      <w:bookmarkStart w:id="5" w:name="Sujet"/>
      <w:r>
        <w:t>Legislatívne uznesenie Európskeho parlamentu zo 16. januára 2024 o návrhu nariadenia Európskeho parlamentu a Rady, ktorým sa mení nariadenie (EÚ) č. 600/2014, pokiaľ ide o zvýšenie transparentnosti údajov o trhu, odstránenie prekážok vzniku konsolidovaného informačného systému, optimalizáciu obchodovacích povinností a zákaz prijímania platieb za postupovanie pokynov klientov</w:t>
      </w:r>
      <w:bookmarkEnd w:id="5"/>
      <w:r>
        <w:t xml:space="preserve"> </w:t>
      </w:r>
      <w:bookmarkStart w:id="6" w:name="References"/>
      <w:r>
        <w:t>(COM(2021)0727 – C9-0440/2021 – 2021/0385(COD))</w:t>
      </w:r>
      <w:bookmarkEnd w:id="6"/>
    </w:p>
    <w:p>
      <w:pPr>
        <w:pStyle w:val="NormalBold"/>
        <w:spacing w:before="240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  <w:iCs/>
        </w:rPr>
        <w:t>Európsky parlament,</w:t>
      </w:r>
    </w:p>
    <w:p>
      <w:pPr>
        <w:pStyle w:val="NormalHanging12a"/>
      </w:pPr>
      <w:r>
        <w:t>–</w:t>
      </w:r>
      <w:r>
        <w:tab/>
        <w:t>so zreteľom na návrh Komisie pre Európsky parlament a Radu (COM(2021)0727),</w:t>
      </w:r>
    </w:p>
    <w:p>
      <w:pPr>
        <w:pStyle w:val="NormalHanging12a"/>
      </w:pPr>
      <w:r>
        <w:t>–</w:t>
      </w:r>
      <w:r>
        <w:tab/>
        <w:t>so zreteľom na článok 294 ods. 2 a článok 114 Zmluvy o fungovaní Európskej únie, v súlade s ktorými Komisia predložila návrh Európskemu parlamentu (C9-0440/2021),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  <w:rPr>
          <w:szCs w:val="24"/>
        </w:rPr>
      </w:pPr>
      <w:r>
        <w:t>–</w:t>
      </w:r>
      <w:r>
        <w:tab/>
        <w:t>zo zreteľom na stanovisko Európskej centrálnej banky z 1. júna 2022</w:t>
      </w:r>
      <w:r>
        <w:rPr>
          <w:rStyle w:val="FootnoteReference"/>
          <w:szCs w:val="24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stanovisko Európskeho hospodárskeho a sociálneho výboru z 23. marca 2022</w:t>
      </w:r>
      <w:r>
        <w:rPr>
          <w:rStyle w:val="FootnoteReference"/>
          <w:szCs w:val="24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  <w:t>so zreteľom na predbežnú dohodu schválenú gestorským výborom podľa článku 74 ods. 4 rokovacieho poriadku, a na záväzok zástupcu Rady, vyjadrený v liste z 18. októbra 2023, schváliť pozíciu Európskeho parlamentu v súlade s článkom 294 ods. 4 Zmluvy o fungovaní Európskej únie,</w:t>
      </w:r>
    </w:p>
    <w:p>
      <w:pPr>
        <w:pStyle w:val="NormalHanging12a"/>
      </w:pPr>
      <w:r>
        <w:t>–</w:t>
      </w:r>
      <w:r>
        <w:tab/>
        <w:t>so zreteľom na článok 59 rokovacieho poriadku,</w:t>
      </w:r>
    </w:p>
    <w:p>
      <w:pPr>
        <w:pStyle w:val="NormalHanging12a"/>
      </w:pPr>
      <w:r>
        <w:t>–</w:t>
      </w:r>
      <w:r>
        <w:tab/>
        <w:t>so zreteľom na správu Výboru pre hospodárske a menové veci (A9-0040/2023),</w:t>
      </w:r>
    </w:p>
    <w:p>
      <w:pPr>
        <w:pStyle w:val="NormalHanging12a"/>
      </w:pPr>
      <w:r>
        <w:lastRenderedPageBreak/>
        <w:t>1.</w:t>
      </w:r>
      <w:r>
        <w:tab/>
        <w:t>prijíma nasledujúcu pozíciu v prvom čítaní;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 úmysle podstatne zmeniť svoj návrh;</w:t>
      </w:r>
    </w:p>
    <w:p>
      <w:pPr>
        <w:pStyle w:val="NormalHanging12a"/>
      </w:pPr>
      <w:r>
        <w:t>3.</w:t>
      </w:r>
      <w:r>
        <w:tab/>
        <w:t>poveruje svoju predsedníčku, aby postúpila túto pozíciu Rade, Komisii a národným parlamentom.</w:t>
      </w:r>
    </w:p>
    <w:p>
      <w:pPr>
        <w:sectPr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Institutionquiagit"/>
        <w:keepNext w:val="0"/>
        <w:spacing w:before="120"/>
        <w:jc w:val="left"/>
        <w:outlineLvl w:val="0"/>
        <w:rPr>
          <w:b/>
          <w:szCs w:val="24"/>
        </w:rPr>
      </w:pPr>
      <w:bookmarkStart w:id="8" w:name="TextBodyEnd"/>
      <w:bookmarkEnd w:id="8"/>
      <w:r>
        <w:rPr>
          <w:b/>
          <w:szCs w:val="24"/>
        </w:rPr>
        <w:lastRenderedPageBreak/>
        <w:t>P9_TC1-COD(2021)0385</w:t>
      </w:r>
    </w:p>
    <w:p>
      <w:pPr>
        <w:spacing w:after="240"/>
        <w:rPr>
          <w:b/>
          <w:bCs/>
          <w:i/>
          <w:iCs/>
          <w:szCs w:val="24"/>
        </w:rPr>
      </w:pPr>
      <w:r>
        <w:rPr>
          <w:b/>
          <w:szCs w:val="24"/>
        </w:rPr>
        <w:t xml:space="preserve">Pozícia Európskeho parlamentu prijatá v prvom čítaní 16. januára 2024 na účely prijatia nariadenia Európskeho parlamentu a Rady (EÚ) 2024/..., </w:t>
      </w:r>
      <w:r>
        <w:rPr>
          <w:b/>
          <w:bCs/>
          <w:szCs w:val="24"/>
        </w:rPr>
        <w:t>ktorým sa mení nariadenie (EÚ) č. 600/2014, pokiaľ ide o zvýšenie</w:t>
      </w:r>
      <w:r>
        <w:rPr>
          <w:b/>
          <w:szCs w:val="24"/>
        </w:rPr>
        <w:t xml:space="preserve"> transparentnosti údajov, odstránenie prekážok vzniku </w:t>
      </w:r>
      <w:r>
        <w:rPr>
          <w:b/>
          <w:bCs/>
          <w:iCs/>
          <w:szCs w:val="24"/>
        </w:rPr>
        <w:t>konsolidovaných</w:t>
      </w:r>
      <w:r>
        <w:rPr>
          <w:b/>
          <w:bCs/>
          <w:szCs w:val="24"/>
        </w:rPr>
        <w:t xml:space="preserve"> </w:t>
      </w:r>
      <w:r>
        <w:rPr>
          <w:b/>
          <w:bCs/>
          <w:iCs/>
          <w:szCs w:val="24"/>
        </w:rPr>
        <w:t>informačných systémov</w:t>
      </w:r>
      <w:r>
        <w:rPr>
          <w:b/>
          <w:bCs/>
          <w:szCs w:val="24"/>
        </w:rPr>
        <w:t xml:space="preserve">, optimalizáciu obchodovacích povinností a zákaz prijímania platby za </w:t>
      </w:r>
      <w:r>
        <w:rPr>
          <w:b/>
          <w:bCs/>
          <w:iCs/>
          <w:szCs w:val="24"/>
        </w:rPr>
        <w:t>tok pokynov</w:t>
      </w:r>
    </w:p>
    <w:p>
      <w:r>
        <w:rPr>
          <w:i/>
          <w:iCs/>
        </w:rPr>
        <w:t xml:space="preserve">(Keďže bola dosiahnutá dohoda medzi Európskym parlamentom a Radou, pozícia Európskeho parlamentu zodpovedá záverečnému legislatívnemu aktu, nariadeniu </w:t>
      </w:r>
      <w:r>
        <w:rPr>
          <w:i/>
          <w:iCs/>
        </w:rPr>
        <w:t>(EÚ) 2024/791</w:t>
      </w:r>
      <w:r>
        <w:rPr>
          <w:i/>
          <w:iCs/>
        </w:rPr>
        <w:t>.)</w:t>
      </w:r>
    </w:p>
    <w:p/>
    <w:p>
      <w:pPr>
        <w:spacing w:after="240"/>
        <w:rPr>
          <w:b/>
          <w:szCs w:val="24"/>
        </w:rPr>
      </w:pPr>
      <w:bookmarkStart w:id="9" w:name="_GoBack"/>
      <w:bookmarkEnd w:id="9"/>
    </w:p>
    <w:sectPr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EÚ C 286, 27.7.2022, s. 17.</w:t>
      </w:r>
    </w:p>
  </w:footnote>
  <w:footnote w:id="2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EÚ C 290, 29.7.2022, s. 68.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3"/>
    <w:docVar w:name="dvlangue" w:val="SK"/>
    <w:docVar w:name="dvnumam" w:val="0"/>
    <w:docVar w:name="dvpe" w:val="731.644"/>
    <w:docVar w:name="dvrapporteur" w:val="Spravodajkyňa: "/>
    <w:docVar w:name="dvstar" w:val="***I"/>
    <w:docVar w:name="dvtitre" w:val="Legislatívne uznesenie Európskeho parlamentu z xx. januára 2024 o návrhu nariadenia Európskeho parlamentu a Rady, ktorým sa mení nariadenie (EÚ) č. 600/2014, pokiaľ ide o zvýšenie transparentnosti údajov o trhu, odstránenie prekážok vzniku konsolidovaného informačného systému, optimalizáciu obchodovacích povinností a zákaz prijímania platieb za postupovanie pokynov klientov(COM(2021)0727 – C9-0440/2021 – 2021/0385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C31A7C-688B-40A3-8F07-9DCA3110D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Body Text" w:uiPriority="99"/>
    <w:lsdException w:name="Subtitle" w:uiPriority="11" w:qFormat="1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paragraph" w:customStyle="1" w:styleId="Text1">
    <w:name w:val="Text 1"/>
    <w:basedOn w:val="Normal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uiPriority w:val="99"/>
    <w:semiHidden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uiPriority w:val="99"/>
    <w:semiHidden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semiHidden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uiPriority w:val="99"/>
    <w:semiHidden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semiHidden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semiHidden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uiPriority w:val="99"/>
    <w:semiHidden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sk-SK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HAnsi"/>
      <w:lang w:val="sk-SK" w:eastAsia="en-US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pPr>
      <w:spacing w:before="0"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eastAsiaTheme="minorHAnsi"/>
      <w:b/>
      <w:bCs/>
      <w:lang w:val="sk-SK" w:eastAsia="en-US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</w:style>
  <w:style w:type="paragraph" w:customStyle="1" w:styleId="Title1">
    <w:name w:val="Title1"/>
    <w:basedOn w:val="Normal"/>
    <w:next w:val="Normal"/>
    <w:uiPriority w:val="10"/>
    <w:qFormat/>
    <w:pPr>
      <w:widowControl/>
      <w:spacing w:before="240" w:after="60"/>
      <w:jc w:val="center"/>
      <w:outlineLvl w:val="0"/>
    </w:pPr>
    <w:rPr>
      <w:rFonts w:ascii="Arial" w:eastAsia="Malgun Gothic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Malgun Gothic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pPr>
      <w:widowControl/>
      <w:spacing w:after="60"/>
      <w:jc w:val="center"/>
      <w:outlineLvl w:val="1"/>
    </w:pPr>
    <w:rPr>
      <w:rFonts w:ascii="Arial" w:eastAsia="Malgun Gothic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" w:eastAsia="Malgun Gothic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Emphasis1">
    <w:name w:val="Emphasis1"/>
    <w:basedOn w:val="DefaultParagraphFont"/>
    <w:uiPriority w:val="20"/>
    <w:qFormat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pPr>
      <w:widowControl/>
      <w:jc w:val="both"/>
    </w:pPr>
    <w:rPr>
      <w:rFonts w:eastAsia="Calibr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Pr>
      <w:rFonts w:eastAsia="Calibri"/>
      <w:i/>
      <w:sz w:val="24"/>
      <w:szCs w:val="24"/>
      <w:lang w:val="sk-SK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eastAsia="Calibri"/>
      <w:b/>
      <w:i/>
      <w:sz w:val="24"/>
      <w:szCs w:val="22"/>
      <w:lang w:val="sk-SK" w:eastAsia="en-US"/>
    </w:rPr>
  </w:style>
  <w:style w:type="character" w:customStyle="1" w:styleId="SubtleEmphasis1">
    <w:name w:val="Subtle Emphasis1"/>
    <w:uiPriority w:val="19"/>
    <w:qFormat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Pr>
      <w:rFonts w:ascii="Calibri Light" w:eastAsia="Malgun Gothic" w:hAnsi="Calibri Light"/>
      <w:b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pPr>
      <w:widowControl/>
      <w:spacing w:after="280" w:line="276" w:lineRule="auto"/>
    </w:pPr>
    <w:rPr>
      <w:rFonts w:ascii="Calibri" w:eastAsia="Calibr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Calibri" w:eastAsia="Calibri" w:hAnsi="Calibri" w:cs="Calibri"/>
      <w:sz w:val="25"/>
      <w:szCs w:val="25"/>
      <w:lang w:val="sk-SK" w:eastAsia="en-US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pPr>
      <w:spacing w:before="0" w:after="0"/>
    </w:pPr>
    <w:rPr>
      <w:rFonts w:eastAsia="Calibri"/>
      <w:b/>
      <w:bCs/>
    </w:rPr>
  </w:style>
  <w:style w:type="character" w:customStyle="1" w:styleId="Hyperlink1">
    <w:name w:val="Hyperlink1"/>
    <w:basedOn w:val="DefaultParagraphFont"/>
    <w:uiPriority w:val="99"/>
    <w:unhideWhenUsed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="Arial" w:eastAsia="Malgun Gothic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Pr>
      <w:rFonts w:asciiTheme="majorHAnsi" w:eastAsiaTheme="majorEastAsia" w:hAnsiTheme="majorHAnsi" w:cstheme="majorBidi"/>
      <w:spacing w:val="-10"/>
      <w:kern w:val="28"/>
      <w:sz w:val="56"/>
      <w:szCs w:val="56"/>
      <w:lang w:val="sk-SK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160"/>
    </w:pPr>
    <w:rPr>
      <w:rFonts w:ascii="Arial" w:eastAsia="Malgun Gothic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k-SK"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CommentSubjectChar1">
    <w:name w:val="Comment Subject Char1"/>
    <w:basedOn w:val="CommentTextChar"/>
    <w:rPr>
      <w:rFonts w:eastAsiaTheme="minorHAnsi"/>
      <w:b/>
      <w:bCs/>
      <w:lang w:val="sk-SK" w:eastAsia="en-US"/>
    </w:rPr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97F36-797B-44AD-81BF-F17C5E091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333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2024-05-21T11:32:00Z</dcterms:created>
  <dcterms:modified xsi:type="dcterms:W3CDTF">2024-05-21T11:32:00Z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P9_TA(2024)0004_</vt:lpwstr>
  </property>
  <property fmtid="{D5CDD505-2E9C-101B-9397-08002B2CF9AE}" pid="4" name="&lt;Type&gt;">
    <vt:lpwstr>RR</vt:lpwstr>
  </property>
</Properties>
</file>