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3D5E" w14:paraId="5BA3CE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BD505C" w14:textId="77777777" w:rsidR="00751A4A" w:rsidRPr="00FA3D5E" w:rsidRDefault="006E358F" w:rsidP="0010095E">
            <w:pPr>
              <w:pStyle w:val="EPName"/>
            </w:pPr>
            <w:r w:rsidRPr="00FA3D5E">
              <w:t>Evropski parlament</w:t>
            </w:r>
          </w:p>
          <w:p w14:paraId="6FC0DB58" w14:textId="77777777" w:rsidR="00751A4A" w:rsidRPr="00FA3D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3D5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4ABBDF9" w14:textId="77777777" w:rsidR="00751A4A" w:rsidRPr="00FA3D5E" w:rsidRDefault="00187494" w:rsidP="0010095E">
            <w:pPr>
              <w:pStyle w:val="EPLogo"/>
            </w:pPr>
            <w:r w:rsidRPr="00FA3D5E">
              <w:rPr>
                <w:noProof/>
                <w:lang w:val="en-GB"/>
              </w:rPr>
              <w:drawing>
                <wp:inline distT="0" distB="0" distL="0" distR="0" wp14:anchorId="1236818B" wp14:editId="501469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41640B" w14:textId="77777777" w:rsidR="00D058B8" w:rsidRPr="00FA3D5E" w:rsidRDefault="00D058B8" w:rsidP="004C5D52">
      <w:pPr>
        <w:pStyle w:val="LineTop"/>
      </w:pPr>
    </w:p>
    <w:p w14:paraId="05A7BE1C" w14:textId="77777777" w:rsidR="00680577" w:rsidRPr="00FA3D5E" w:rsidRDefault="006E358F" w:rsidP="00680577">
      <w:pPr>
        <w:pStyle w:val="EPBodyTA1"/>
      </w:pPr>
      <w:r w:rsidRPr="00FA3D5E">
        <w:t>SPREJETA BESEDILA</w:t>
      </w:r>
    </w:p>
    <w:p w14:paraId="0F34EFEC" w14:textId="77777777" w:rsidR="00D058B8" w:rsidRPr="00FA3D5E" w:rsidRDefault="00D058B8" w:rsidP="00D058B8">
      <w:pPr>
        <w:pStyle w:val="LineBottom"/>
      </w:pPr>
    </w:p>
    <w:p w14:paraId="7CE4E99A" w14:textId="55D1DB8B" w:rsidR="006E358F" w:rsidRPr="00FA3D5E" w:rsidRDefault="006E358F" w:rsidP="006E358F">
      <w:pPr>
        <w:pStyle w:val="ATHeading1"/>
      </w:pPr>
      <w:bookmarkStart w:id="0" w:name="TANumber"/>
      <w:r w:rsidRPr="00FA3D5E">
        <w:t>P9_TA(</w:t>
      </w:r>
      <w:r w:rsidR="00176681">
        <w:t>2024</w:t>
      </w:r>
      <w:r w:rsidRPr="00FA3D5E">
        <w:t>)000</w:t>
      </w:r>
      <w:bookmarkEnd w:id="0"/>
      <w:r w:rsidR="00C57E2B">
        <w:t>4</w:t>
      </w:r>
    </w:p>
    <w:p w14:paraId="74E2B3FA" w14:textId="14A56D89" w:rsidR="006E358F" w:rsidRPr="00FA3D5E" w:rsidRDefault="00CA2522" w:rsidP="006E358F">
      <w:pPr>
        <w:pStyle w:val="ATHeading2"/>
      </w:pPr>
      <w:bookmarkStart w:id="1" w:name="title"/>
      <w:r w:rsidRPr="00CA2522">
        <w:t>Spremembe uredbe o trgih finančnih instrumentov (MiFIR)</w:t>
      </w:r>
      <w:bookmarkEnd w:id="1"/>
    </w:p>
    <w:p w14:paraId="381F618D" w14:textId="77777777" w:rsidR="006E358F" w:rsidRPr="00FA3D5E" w:rsidRDefault="006E358F" w:rsidP="006E358F">
      <w:pPr>
        <w:rPr>
          <w:i/>
          <w:vanish/>
        </w:rPr>
      </w:pPr>
      <w:r w:rsidRPr="00FA3D5E">
        <w:rPr>
          <w:i/>
        </w:rPr>
        <w:fldChar w:fldCharType="begin"/>
      </w:r>
      <w:r w:rsidRPr="00FA3D5E">
        <w:rPr>
          <w:i/>
        </w:rPr>
        <w:instrText xml:space="preserve"> TC"(</w:instrText>
      </w:r>
      <w:bookmarkStart w:id="2" w:name="DocNumber"/>
      <w:r w:rsidRPr="00FA3D5E">
        <w:rPr>
          <w:i/>
        </w:rPr>
        <w:instrText>A9-0040/2023</w:instrText>
      </w:r>
      <w:bookmarkEnd w:id="2"/>
      <w:r w:rsidRPr="00FA3D5E">
        <w:rPr>
          <w:i/>
        </w:rPr>
        <w:instrText xml:space="preserve"> - Poročevalka: Danuta Maria Hübner)"\l3 \n&gt; \* MERGEFORMAT </w:instrText>
      </w:r>
      <w:r w:rsidRPr="00FA3D5E">
        <w:rPr>
          <w:i/>
        </w:rPr>
        <w:fldChar w:fldCharType="end"/>
      </w:r>
    </w:p>
    <w:p w14:paraId="26EE2F12" w14:textId="77777777" w:rsidR="006E358F" w:rsidRPr="00FA3D5E" w:rsidRDefault="006E358F" w:rsidP="006E358F">
      <w:pPr>
        <w:rPr>
          <w:vanish/>
        </w:rPr>
      </w:pPr>
      <w:bookmarkStart w:id="3" w:name="Commission"/>
      <w:r w:rsidRPr="00FA3D5E">
        <w:rPr>
          <w:vanish/>
        </w:rPr>
        <w:t>Odbor za ekonomske in monetarne zadeve</w:t>
      </w:r>
      <w:bookmarkEnd w:id="3"/>
    </w:p>
    <w:p w14:paraId="1A909F02" w14:textId="77777777" w:rsidR="006E358F" w:rsidRPr="00FA3D5E" w:rsidRDefault="006E358F" w:rsidP="006E358F">
      <w:pPr>
        <w:rPr>
          <w:vanish/>
        </w:rPr>
      </w:pPr>
      <w:bookmarkStart w:id="4" w:name="PE"/>
      <w:r w:rsidRPr="00FA3D5E">
        <w:rPr>
          <w:vanish/>
        </w:rPr>
        <w:t>PE731.644</w:t>
      </w:r>
      <w:bookmarkEnd w:id="4"/>
    </w:p>
    <w:p w14:paraId="3930BE8F" w14:textId="6B322FF1" w:rsidR="006E358F" w:rsidRPr="00FA3D5E" w:rsidRDefault="006E358F" w:rsidP="006E358F">
      <w:pPr>
        <w:pStyle w:val="ATHeading3"/>
      </w:pPr>
      <w:bookmarkStart w:id="5" w:name="Sujet"/>
      <w:r w:rsidRPr="00FA3D5E">
        <w:t xml:space="preserve">Zakonodajna resolucija Evropskega parlamenta z dne </w:t>
      </w:r>
      <w:r w:rsidR="007861B5">
        <w:t>16.</w:t>
      </w:r>
      <w:r w:rsidR="007861B5" w:rsidRPr="00FA3D5E">
        <w:t xml:space="preserve"> </w:t>
      </w:r>
      <w:r w:rsidR="00B519D7">
        <w:t>januarja 2024</w:t>
      </w:r>
      <w:r w:rsidRPr="00FA3D5E">
        <w:t xml:space="preserve"> o predlogu uredbe Evropskega parlamenta in Sveta o spremembi Uredbe (EU) št. 600/2014 v zvezi z izboljšanjem preglednosti podatkov o trgu, odpravo ovir za vzpostavitev sistema stalnih informacij, optimizacijo obveznosti trgovanja in prepovedjo prejemanja plačil za posredovanje naročil strank</w:t>
      </w:r>
      <w:bookmarkEnd w:id="5"/>
      <w:r w:rsidRPr="00FA3D5E">
        <w:t xml:space="preserve"> </w:t>
      </w:r>
      <w:bookmarkStart w:id="6" w:name="References"/>
      <w:r w:rsidRPr="00FA3D5E">
        <w:t>(COM(2021)0727 – C9-0440/2021 – 2021/0385(COD))</w:t>
      </w:r>
      <w:bookmarkEnd w:id="6"/>
    </w:p>
    <w:p w14:paraId="2FF98F7B" w14:textId="77777777" w:rsidR="00316419" w:rsidRPr="00FA3D5E" w:rsidRDefault="00316419" w:rsidP="003F3A31">
      <w:pPr>
        <w:pStyle w:val="NormalBold"/>
        <w:spacing w:before="240"/>
      </w:pPr>
      <w:bookmarkStart w:id="7" w:name="TextBodyBegin"/>
      <w:bookmarkEnd w:id="7"/>
      <w:r w:rsidRPr="00FA3D5E">
        <w:t>(Redni zakonodajni postopek: prva obravnava)</w:t>
      </w:r>
    </w:p>
    <w:p w14:paraId="14023F0C" w14:textId="77777777" w:rsidR="00316419" w:rsidRPr="00FA3D5E" w:rsidRDefault="00316419" w:rsidP="00316419">
      <w:pPr>
        <w:pStyle w:val="EPComma"/>
      </w:pPr>
      <w:r w:rsidRPr="00FA3D5E">
        <w:rPr>
          <w:i/>
        </w:rPr>
        <w:t>Evropski parlament</w:t>
      </w:r>
      <w:r w:rsidRPr="00FA3D5E">
        <w:t>,</w:t>
      </w:r>
    </w:p>
    <w:p w14:paraId="35396F46" w14:textId="77777777" w:rsidR="00316419" w:rsidRPr="00FA3D5E" w:rsidRDefault="00316419" w:rsidP="00316419">
      <w:pPr>
        <w:pStyle w:val="NormalHanging12a"/>
      </w:pPr>
      <w:r w:rsidRPr="00FA3D5E">
        <w:t>–</w:t>
      </w:r>
      <w:r w:rsidRPr="00FA3D5E">
        <w:tab/>
        <w:t>ob upoštevanju predloga Komisije Evropskemu parlamentu in Svetu (COM(2021)0727),</w:t>
      </w:r>
    </w:p>
    <w:p w14:paraId="776EA7F1" w14:textId="50268E1B" w:rsidR="00316419" w:rsidRPr="00FA3D5E" w:rsidRDefault="00316419" w:rsidP="00316419">
      <w:pPr>
        <w:pStyle w:val="NormalHanging12a"/>
      </w:pPr>
      <w:r w:rsidRPr="00FA3D5E">
        <w:t>–</w:t>
      </w:r>
      <w:r w:rsidRPr="00FA3D5E">
        <w:tab/>
        <w:t xml:space="preserve">ob upoštevanju člena 294(2) </w:t>
      </w:r>
      <w:r w:rsidR="00B519D7">
        <w:t>in</w:t>
      </w:r>
      <w:r w:rsidR="00B519D7" w:rsidRPr="00FA3D5E">
        <w:t xml:space="preserve"> </w:t>
      </w:r>
      <w:r w:rsidRPr="00FA3D5E">
        <w:t>člena 114 Pogodbe o delovanju Evropske unije, na podlagi katerih je Komisija podala predlog Parlamentu (C9</w:t>
      </w:r>
      <w:r w:rsidR="00B519D7">
        <w:t>-</w:t>
      </w:r>
      <w:r w:rsidRPr="00FA3D5E">
        <w:t>0440/2021),</w:t>
      </w:r>
    </w:p>
    <w:p w14:paraId="6B2DCEBF" w14:textId="77777777" w:rsidR="00316419" w:rsidRPr="00FA3D5E" w:rsidRDefault="00316419" w:rsidP="00316419">
      <w:pPr>
        <w:pStyle w:val="NormalHanging12a"/>
      </w:pPr>
      <w:r w:rsidRPr="00FA3D5E">
        <w:t>–</w:t>
      </w:r>
      <w:r w:rsidRPr="00FA3D5E">
        <w:tab/>
        <w:t>ob upoštevanju člena 294(3) Pogodbe o delovanju Evropske unije,</w:t>
      </w:r>
    </w:p>
    <w:p w14:paraId="57615B83" w14:textId="77777777" w:rsidR="00316419" w:rsidRPr="00FA3D5E" w:rsidRDefault="00316419" w:rsidP="00316419">
      <w:pPr>
        <w:pStyle w:val="NormalHanging12a"/>
        <w:rPr>
          <w:szCs w:val="24"/>
        </w:rPr>
      </w:pPr>
      <w:r w:rsidRPr="00FA3D5E">
        <w:t>–</w:t>
      </w:r>
      <w:r w:rsidRPr="00FA3D5E">
        <w:tab/>
        <w:t>ob upoštevanju mnenja Evropske centralne banke z dne 1. junija 2022</w:t>
      </w:r>
      <w:r w:rsidRPr="00FA3D5E">
        <w:rPr>
          <w:rStyle w:val="FootnoteReference"/>
          <w:szCs w:val="24"/>
        </w:rPr>
        <w:footnoteReference w:id="1"/>
      </w:r>
      <w:r w:rsidRPr="00FA3D5E">
        <w:t>,</w:t>
      </w:r>
    </w:p>
    <w:p w14:paraId="4D00A09B" w14:textId="77777777" w:rsidR="00316419" w:rsidRPr="00FA3D5E" w:rsidRDefault="00316419" w:rsidP="00316419">
      <w:pPr>
        <w:pStyle w:val="NormalHanging12a"/>
      </w:pPr>
      <w:r w:rsidRPr="00FA3D5E">
        <w:t>–</w:t>
      </w:r>
      <w:r w:rsidRPr="00FA3D5E">
        <w:tab/>
        <w:t>ob upoštevanju mnenja Evropskega ekonomsko-socialnega odbora z dne 23. marca 2022</w:t>
      </w:r>
      <w:r w:rsidRPr="00FA3D5E">
        <w:rPr>
          <w:rStyle w:val="FootnoteReference"/>
          <w:szCs w:val="24"/>
        </w:rPr>
        <w:footnoteReference w:id="2"/>
      </w:r>
      <w:r w:rsidRPr="00FA3D5E">
        <w:t>,</w:t>
      </w:r>
    </w:p>
    <w:p w14:paraId="3549ABC6" w14:textId="343E0A21" w:rsidR="0077361B" w:rsidRDefault="0077361B" w:rsidP="0077361B">
      <w:pPr>
        <w:pStyle w:val="NormalHanging12a"/>
        <w:rPr>
          <w:noProof/>
          <w:szCs w:val="24"/>
        </w:rPr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74(4) Poslovnika, in zaveze predstavnika Sveta v pismu z dne </w:t>
      </w:r>
      <w:r w:rsidR="007861B5">
        <w:rPr>
          <w:noProof/>
          <w:szCs w:val="24"/>
        </w:rPr>
        <w:t>18. oktobra 2023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p w14:paraId="2C1E495B" w14:textId="77777777" w:rsidR="00316419" w:rsidRPr="00FA3D5E" w:rsidRDefault="00316419" w:rsidP="00316419">
      <w:pPr>
        <w:pStyle w:val="NormalHanging12a"/>
      </w:pPr>
      <w:r w:rsidRPr="00FA3D5E">
        <w:t>–</w:t>
      </w:r>
      <w:r w:rsidRPr="00FA3D5E">
        <w:tab/>
        <w:t>ob upoštevanju člena 59 Poslovnika,</w:t>
      </w:r>
    </w:p>
    <w:p w14:paraId="20F0E2E1" w14:textId="5C2D307C" w:rsidR="00316419" w:rsidRPr="00FA3D5E" w:rsidRDefault="00316419" w:rsidP="00316419">
      <w:pPr>
        <w:pStyle w:val="NormalHanging12a"/>
      </w:pPr>
      <w:r w:rsidRPr="00FA3D5E">
        <w:t>–</w:t>
      </w:r>
      <w:r w:rsidRPr="00FA3D5E">
        <w:tab/>
        <w:t>ob upoštevanju poročila Odbora za ekonomske in monetarne zadeve (A9</w:t>
      </w:r>
      <w:r w:rsidR="00B519D7">
        <w:t>-</w:t>
      </w:r>
      <w:r w:rsidRPr="00FA3D5E">
        <w:t>0040/2023),</w:t>
      </w:r>
    </w:p>
    <w:p w14:paraId="543C9BC4" w14:textId="51AFA955" w:rsidR="00316419" w:rsidRPr="00FA3D5E" w:rsidRDefault="00316419" w:rsidP="00316419">
      <w:pPr>
        <w:pStyle w:val="NormalHanging12a"/>
      </w:pPr>
      <w:r w:rsidRPr="00FA3D5E">
        <w:lastRenderedPageBreak/>
        <w:t>1.</w:t>
      </w:r>
      <w:r w:rsidRPr="00FA3D5E">
        <w:tab/>
        <w:t>sprejme stališče v prvi obravnavi, kakor je določeno v nadaljevanju;</w:t>
      </w:r>
    </w:p>
    <w:p w14:paraId="343099BA" w14:textId="77777777" w:rsidR="00316419" w:rsidRPr="00FA3D5E" w:rsidRDefault="00316419" w:rsidP="00316419">
      <w:pPr>
        <w:pStyle w:val="NormalHanging12a"/>
      </w:pPr>
      <w:r w:rsidRPr="00FA3D5E">
        <w:t>2.</w:t>
      </w:r>
      <w:r w:rsidRPr="00FA3D5E">
        <w:tab/>
        <w:t>poziva Komisijo, naj mu zadevo ponovno predloži, če svoj predlog nadomesti, ga bistveno spremeni ali ga namerava bistveno spremeniti;</w:t>
      </w:r>
    </w:p>
    <w:p w14:paraId="17D95962" w14:textId="1838F555" w:rsidR="00767DEE" w:rsidRDefault="00316419" w:rsidP="004A4566">
      <w:pPr>
        <w:pStyle w:val="NormalHanging12a"/>
      </w:pPr>
      <w:r w:rsidRPr="00FA3D5E">
        <w:t>3.</w:t>
      </w:r>
      <w:r w:rsidRPr="00FA3D5E">
        <w:tab/>
        <w:t>naroči svoji predsednici, naj stališče Parlamenta posreduje Svetu</w:t>
      </w:r>
      <w:r w:rsidR="00B519D7">
        <w:t>,</w:t>
      </w:r>
      <w:r w:rsidRPr="00FA3D5E">
        <w:t xml:space="preserve"> Komisiji </w:t>
      </w:r>
      <w:r w:rsidR="00B519D7">
        <w:t>in</w:t>
      </w:r>
      <w:r w:rsidR="00B519D7" w:rsidRPr="00FA3D5E">
        <w:t xml:space="preserve"> </w:t>
      </w:r>
      <w:r w:rsidRPr="00FA3D5E">
        <w:t>nacionalnim parlamentom.</w:t>
      </w:r>
    </w:p>
    <w:p w14:paraId="0060C596" w14:textId="77777777" w:rsidR="004A4566" w:rsidRDefault="004A4566" w:rsidP="004A4566">
      <w:pPr>
        <w:pStyle w:val="NormalHanging12a"/>
        <w:rPr>
          <w:b/>
        </w:rPr>
        <w:sectPr w:rsidR="004A4566" w:rsidSect="00FA3D5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060C697" w14:textId="1E97D39E" w:rsidR="0077361B" w:rsidRPr="003F3A31" w:rsidRDefault="0077361B" w:rsidP="0077361B">
      <w:pPr>
        <w:rPr>
          <w:b/>
          <w:szCs w:val="24"/>
        </w:rPr>
      </w:pPr>
      <w:r w:rsidRPr="003F3A31">
        <w:rPr>
          <w:b/>
          <w:szCs w:val="24"/>
        </w:rPr>
        <w:t>P9_TC1-COD(2021)0385</w:t>
      </w:r>
    </w:p>
    <w:p w14:paraId="3BAF6386" w14:textId="2700064C" w:rsidR="0077361B" w:rsidRDefault="0077361B" w:rsidP="0077361B">
      <w:pPr>
        <w:spacing w:before="240" w:after="200"/>
        <w:rPr>
          <w:b/>
          <w:szCs w:val="24"/>
        </w:rPr>
      </w:pPr>
      <w:r w:rsidRPr="003F3A31">
        <w:rPr>
          <w:b/>
          <w:szCs w:val="24"/>
        </w:rPr>
        <w:t xml:space="preserve">Stališče Evropskega parlamenta, sprejeto v prvi obravnavi </w:t>
      </w:r>
      <w:r w:rsidR="00B04E0D" w:rsidRPr="003F3A31">
        <w:rPr>
          <w:b/>
          <w:szCs w:val="24"/>
        </w:rPr>
        <w:t>16.</w:t>
      </w:r>
      <w:r w:rsidRPr="003F3A31">
        <w:rPr>
          <w:b/>
          <w:szCs w:val="24"/>
        </w:rPr>
        <w:t xml:space="preserve"> januarja 2024 z namenom sprejetja Uredbe (EU) 2024/... Evropskega parlamenta in Sveta </w:t>
      </w:r>
      <w:r w:rsidR="00763913" w:rsidRPr="00763913">
        <w:rPr>
          <w:b/>
          <w:szCs w:val="24"/>
        </w:rPr>
        <w:t>o spremembi Uredbe (EU) št. 600/2014 v zvezi z izboljšanjem preglednosti podatkov, odpravo ovir za vzpostavitev sistema stalnih informacij, optimizacijo obveznosti trgovanja in prepovedjo prejemanja plačil za tok naročil</w:t>
      </w:r>
      <w:bookmarkStart w:id="8" w:name="_GoBack"/>
      <w:bookmarkEnd w:id="8"/>
    </w:p>
    <w:p w14:paraId="094FEFBE" w14:textId="778D0BD7" w:rsidR="00763913" w:rsidRPr="003F3A31" w:rsidRDefault="00763913" w:rsidP="0077361B">
      <w:pPr>
        <w:spacing w:before="240" w:after="200"/>
        <w:rPr>
          <w:rFonts w:eastAsia="Calibri"/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791</w:t>
      </w:r>
      <w:r w:rsidRPr="00B07478">
        <w:rPr>
          <w:i/>
        </w:rPr>
        <w:t>.)</w:t>
      </w:r>
    </w:p>
    <w:sectPr w:rsidR="00763913" w:rsidRPr="003F3A31" w:rsidSect="00FA3D5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42B04" w14:textId="77777777" w:rsidR="006E358F" w:rsidRPr="00FA3D5E" w:rsidRDefault="006E358F">
      <w:r w:rsidRPr="00FA3D5E">
        <w:separator/>
      </w:r>
    </w:p>
  </w:endnote>
  <w:endnote w:type="continuationSeparator" w:id="0">
    <w:p w14:paraId="56255CBD" w14:textId="77777777" w:rsidR="006E358F" w:rsidRPr="00FA3D5E" w:rsidRDefault="006E358F">
      <w:r w:rsidRPr="00FA3D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333EA" w14:textId="77777777" w:rsidR="006E358F" w:rsidRPr="00FA3D5E" w:rsidRDefault="006E358F">
      <w:r w:rsidRPr="00FA3D5E">
        <w:separator/>
      </w:r>
    </w:p>
  </w:footnote>
  <w:footnote w:type="continuationSeparator" w:id="0">
    <w:p w14:paraId="0AB184AC" w14:textId="77777777" w:rsidR="006E358F" w:rsidRPr="00FA3D5E" w:rsidRDefault="006E358F">
      <w:r w:rsidRPr="00FA3D5E">
        <w:continuationSeparator/>
      </w:r>
    </w:p>
  </w:footnote>
  <w:footnote w:id="1">
    <w:p w14:paraId="3E0718A1" w14:textId="143D0CF2" w:rsidR="00316419" w:rsidRPr="003F3A31" w:rsidRDefault="00316419" w:rsidP="003F3A31">
      <w:pPr>
        <w:pStyle w:val="FootnoteText"/>
        <w:ind w:left="567" w:hanging="567"/>
        <w:rPr>
          <w:sz w:val="24"/>
          <w:szCs w:val="24"/>
          <w:lang w:val="sl-SI"/>
        </w:rPr>
      </w:pPr>
      <w:r w:rsidRPr="003F3A31">
        <w:rPr>
          <w:rStyle w:val="FootnoteReference"/>
          <w:sz w:val="24"/>
          <w:szCs w:val="24"/>
          <w:lang w:val="sl-SI"/>
        </w:rPr>
        <w:footnoteRef/>
      </w:r>
      <w:r w:rsidR="00FA3D5E" w:rsidRPr="003F3A31">
        <w:rPr>
          <w:sz w:val="24"/>
          <w:szCs w:val="24"/>
          <w:lang w:val="sl-SI"/>
        </w:rPr>
        <w:t xml:space="preserve"> </w:t>
      </w:r>
      <w:r w:rsidR="00FA3D5E" w:rsidRPr="003F3A31">
        <w:rPr>
          <w:sz w:val="24"/>
          <w:szCs w:val="24"/>
          <w:lang w:val="sl-SI"/>
        </w:rPr>
        <w:tab/>
      </w:r>
      <w:r w:rsidR="00B519D7" w:rsidRPr="003F3A31">
        <w:rPr>
          <w:sz w:val="24"/>
          <w:szCs w:val="24"/>
          <w:lang w:val="sl-SI"/>
        </w:rPr>
        <w:t xml:space="preserve">UL </w:t>
      </w:r>
      <w:r w:rsidRPr="003F3A31">
        <w:rPr>
          <w:sz w:val="24"/>
          <w:szCs w:val="24"/>
          <w:lang w:val="sl-SI"/>
        </w:rPr>
        <w:t xml:space="preserve">C 286, 27.7.2022, </w:t>
      </w:r>
      <w:r w:rsidR="00B519D7" w:rsidRPr="003F3A31">
        <w:rPr>
          <w:sz w:val="24"/>
          <w:szCs w:val="24"/>
          <w:lang w:val="sl-SI"/>
        </w:rPr>
        <w:t>str</w:t>
      </w:r>
      <w:r w:rsidRPr="003F3A31">
        <w:rPr>
          <w:sz w:val="24"/>
          <w:szCs w:val="24"/>
          <w:lang w:val="sl-SI"/>
        </w:rPr>
        <w:t>. 17.</w:t>
      </w:r>
    </w:p>
  </w:footnote>
  <w:footnote w:id="2">
    <w:p w14:paraId="3148A3DE" w14:textId="2C3CDF46" w:rsidR="00316419" w:rsidRPr="003F3A31" w:rsidRDefault="00316419" w:rsidP="003F3A31">
      <w:pPr>
        <w:pStyle w:val="FootnoteText"/>
        <w:ind w:left="567" w:hanging="567"/>
        <w:rPr>
          <w:sz w:val="24"/>
          <w:szCs w:val="24"/>
          <w:lang w:val="sl-SI"/>
        </w:rPr>
      </w:pPr>
      <w:r w:rsidRPr="003F3A31">
        <w:rPr>
          <w:rStyle w:val="FootnoteReference"/>
          <w:sz w:val="24"/>
          <w:szCs w:val="24"/>
          <w:lang w:val="sl-SI"/>
        </w:rPr>
        <w:footnoteRef/>
      </w:r>
      <w:r w:rsidR="00FA3D5E" w:rsidRPr="003F3A31">
        <w:rPr>
          <w:sz w:val="24"/>
          <w:szCs w:val="24"/>
          <w:lang w:val="sl-SI"/>
        </w:rPr>
        <w:t xml:space="preserve"> </w:t>
      </w:r>
      <w:r w:rsidR="00FA3D5E" w:rsidRPr="003F3A31">
        <w:rPr>
          <w:sz w:val="24"/>
          <w:szCs w:val="24"/>
          <w:lang w:val="sl-SI"/>
        </w:rPr>
        <w:tab/>
      </w:r>
      <w:r w:rsidR="00B519D7" w:rsidRPr="003F3A31">
        <w:rPr>
          <w:sz w:val="24"/>
          <w:szCs w:val="24"/>
          <w:lang w:val="sl-SI"/>
        </w:rPr>
        <w:t xml:space="preserve">UL </w:t>
      </w:r>
      <w:r w:rsidRPr="003F3A31">
        <w:rPr>
          <w:sz w:val="24"/>
          <w:szCs w:val="24"/>
          <w:lang w:val="sl-SI"/>
        </w:rPr>
        <w:t xml:space="preserve">C 290, 29.7.2022, </w:t>
      </w:r>
      <w:r w:rsidR="00B519D7" w:rsidRPr="003F3A31">
        <w:rPr>
          <w:sz w:val="24"/>
          <w:szCs w:val="24"/>
          <w:lang w:val="sl-SI"/>
        </w:rPr>
        <w:t>str</w:t>
      </w:r>
      <w:r w:rsidRPr="003F3A31">
        <w:rPr>
          <w:sz w:val="24"/>
          <w:szCs w:val="24"/>
          <w:lang w:val="sl-SI"/>
        </w:rPr>
        <w:t>. 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SL"/>
    <w:docVar w:name="dvnumam" w:val="0"/>
    <w:docVar w:name="dvpe" w:val="731.644"/>
    <w:docVar w:name="dvrapporteur" w:val="Poročevalka: "/>
    <w:docVar w:name="dvstar" w:val="***I"/>
    <w:docVar w:name="dvtitre" w:val="Zakonodajna resolucija Evropskega parlamenta z dne … 2023 o predlogu uredbe Evropskega parlamenta in Sveta o spremembi Uredbe (EU) št. 600/2014 v zvezi z izboljšanjem preglednosti podatkov o trgu, odpravo ovir za vzpostavitev sistema stalnih informacij, optimizacijo obveznosti trgovanja in prepovedjo prejemanja plačil za posredovanje naročil strank(COM(2021)0727 – C9-0440/2021 – 2021/0385(COD))"/>
  </w:docVars>
  <w:rsids>
    <w:rsidRoot w:val="006E358F"/>
    <w:rsid w:val="00002272"/>
    <w:rsid w:val="00064002"/>
    <w:rsid w:val="000677B9"/>
    <w:rsid w:val="000831BA"/>
    <w:rsid w:val="000A42CC"/>
    <w:rsid w:val="000E7DD9"/>
    <w:rsid w:val="0010095E"/>
    <w:rsid w:val="00125B37"/>
    <w:rsid w:val="00176681"/>
    <w:rsid w:val="00187494"/>
    <w:rsid w:val="001F32AE"/>
    <w:rsid w:val="002767FF"/>
    <w:rsid w:val="002959EF"/>
    <w:rsid w:val="002B18FE"/>
    <w:rsid w:val="002B5493"/>
    <w:rsid w:val="00316419"/>
    <w:rsid w:val="00343214"/>
    <w:rsid w:val="00361C00"/>
    <w:rsid w:val="0038789D"/>
    <w:rsid w:val="00395FA1"/>
    <w:rsid w:val="003E15D4"/>
    <w:rsid w:val="003F3A31"/>
    <w:rsid w:val="00411CCE"/>
    <w:rsid w:val="0041666E"/>
    <w:rsid w:val="00421060"/>
    <w:rsid w:val="00427CE5"/>
    <w:rsid w:val="00471C19"/>
    <w:rsid w:val="00473578"/>
    <w:rsid w:val="004867E3"/>
    <w:rsid w:val="00494A28"/>
    <w:rsid w:val="004A4566"/>
    <w:rsid w:val="004C0004"/>
    <w:rsid w:val="004C5D52"/>
    <w:rsid w:val="0050519A"/>
    <w:rsid w:val="005072A1"/>
    <w:rsid w:val="00514517"/>
    <w:rsid w:val="00545827"/>
    <w:rsid w:val="00560270"/>
    <w:rsid w:val="005A776C"/>
    <w:rsid w:val="005C2568"/>
    <w:rsid w:val="005E7DB8"/>
    <w:rsid w:val="006037C0"/>
    <w:rsid w:val="006631B6"/>
    <w:rsid w:val="00680577"/>
    <w:rsid w:val="006E358F"/>
    <w:rsid w:val="006F74FA"/>
    <w:rsid w:val="00731ADD"/>
    <w:rsid w:val="00734777"/>
    <w:rsid w:val="00747932"/>
    <w:rsid w:val="00751A4A"/>
    <w:rsid w:val="00756632"/>
    <w:rsid w:val="00762C74"/>
    <w:rsid w:val="00763913"/>
    <w:rsid w:val="00767DEE"/>
    <w:rsid w:val="0077361B"/>
    <w:rsid w:val="007861B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B89"/>
    <w:rsid w:val="00A1687D"/>
    <w:rsid w:val="00A43E52"/>
    <w:rsid w:val="00A4678D"/>
    <w:rsid w:val="00A778C7"/>
    <w:rsid w:val="00AB441E"/>
    <w:rsid w:val="00AB6293"/>
    <w:rsid w:val="00AE0928"/>
    <w:rsid w:val="00AF3B82"/>
    <w:rsid w:val="00B04E0D"/>
    <w:rsid w:val="00B12E95"/>
    <w:rsid w:val="00B22876"/>
    <w:rsid w:val="00B519D7"/>
    <w:rsid w:val="00B558F0"/>
    <w:rsid w:val="00BD48FE"/>
    <w:rsid w:val="00BD7BD8"/>
    <w:rsid w:val="00BE6ADC"/>
    <w:rsid w:val="00BE7AEE"/>
    <w:rsid w:val="00C05BFE"/>
    <w:rsid w:val="00C23CD4"/>
    <w:rsid w:val="00C57E2B"/>
    <w:rsid w:val="00C61C0C"/>
    <w:rsid w:val="00C941CB"/>
    <w:rsid w:val="00CA2522"/>
    <w:rsid w:val="00CC2357"/>
    <w:rsid w:val="00CF071A"/>
    <w:rsid w:val="00D058B8"/>
    <w:rsid w:val="00D56C11"/>
    <w:rsid w:val="00D834A0"/>
    <w:rsid w:val="00D872DF"/>
    <w:rsid w:val="00D91E21"/>
    <w:rsid w:val="00DA7FCD"/>
    <w:rsid w:val="00E16BC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D5E"/>
    <w:rsid w:val="00FB4360"/>
    <w:rsid w:val="00FB732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B5026"/>
  <w15:chartTrackingRefBased/>
  <w15:docId w15:val="{3B1FC05B-9C55-42EA-997F-688C0A03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1641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1641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1641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1641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1641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16419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316419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316419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316419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31641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1641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1641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16419"/>
    <w:pPr>
      <w:spacing w:after="120"/>
    </w:pPr>
  </w:style>
  <w:style w:type="paragraph" w:customStyle="1" w:styleId="PageHeading">
    <w:name w:val="PageHeading"/>
    <w:basedOn w:val="Normal"/>
    <w:rsid w:val="0031641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16419"/>
    <w:rPr>
      <w:b/>
    </w:rPr>
  </w:style>
  <w:style w:type="paragraph" w:customStyle="1" w:styleId="NormalBold12a">
    <w:name w:val="NormalBold12a"/>
    <w:basedOn w:val="Normal"/>
    <w:rsid w:val="00316419"/>
    <w:pPr>
      <w:spacing w:after="240"/>
    </w:pPr>
    <w:rPr>
      <w:b/>
    </w:rPr>
  </w:style>
  <w:style w:type="paragraph" w:customStyle="1" w:styleId="AmJustText">
    <w:name w:val="AmJustText"/>
    <w:basedOn w:val="Normal"/>
    <w:rsid w:val="0031641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1641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16419"/>
    <w:pPr>
      <w:spacing w:after="480"/>
      <w:ind w:left="1417"/>
    </w:pPr>
  </w:style>
  <w:style w:type="paragraph" w:customStyle="1" w:styleId="CoverNormal">
    <w:name w:val="CoverNormal"/>
    <w:basedOn w:val="Normal"/>
    <w:rsid w:val="00316419"/>
    <w:pPr>
      <w:ind w:left="1418"/>
    </w:pPr>
  </w:style>
  <w:style w:type="paragraph" w:customStyle="1" w:styleId="AmCrossRef">
    <w:name w:val="AmCrossRef"/>
    <w:basedOn w:val="Normal"/>
    <w:rsid w:val="0031641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164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1641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1641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1641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16419"/>
    <w:pPr>
      <w:spacing w:before="240" w:after="1200"/>
    </w:pPr>
  </w:style>
  <w:style w:type="paragraph" w:styleId="Header">
    <w:name w:val="header"/>
    <w:basedOn w:val="Normal"/>
    <w:link w:val="HeaderChar"/>
    <w:rsid w:val="003164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6419"/>
    <w:rPr>
      <w:sz w:val="24"/>
      <w:lang w:val="sl-SI"/>
    </w:rPr>
  </w:style>
  <w:style w:type="paragraph" w:customStyle="1" w:styleId="AmOrLang">
    <w:name w:val="AmOrLang"/>
    <w:basedOn w:val="Normal"/>
    <w:rsid w:val="0031641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1641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64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6419"/>
    <w:pPr>
      <w:spacing w:before="240"/>
    </w:pPr>
    <w:rPr>
      <w:b/>
    </w:rPr>
  </w:style>
  <w:style w:type="paragraph" w:customStyle="1" w:styleId="EPBody">
    <w:name w:val="EPBody"/>
    <w:basedOn w:val="Normal"/>
    <w:rsid w:val="0031641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1641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6419"/>
    <w:pPr>
      <w:spacing w:before="480" w:after="240"/>
    </w:pPr>
  </w:style>
  <w:style w:type="paragraph" w:customStyle="1" w:styleId="Lgendesigne">
    <w:name w:val="Légende signe"/>
    <w:basedOn w:val="Normal"/>
    <w:rsid w:val="0031641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641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6419"/>
    <w:rPr>
      <w:sz w:val="18"/>
    </w:rPr>
  </w:style>
  <w:style w:type="paragraph" w:styleId="Footer">
    <w:name w:val="footer"/>
    <w:basedOn w:val="Normal"/>
    <w:link w:val="FooterChar"/>
    <w:rsid w:val="003164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16419"/>
    <w:rPr>
      <w:sz w:val="24"/>
      <w:lang w:val="sl-SI"/>
    </w:rPr>
  </w:style>
  <w:style w:type="paragraph" w:customStyle="1" w:styleId="msonormal0">
    <w:name w:val="msonormal"/>
    <w:basedOn w:val="Normal"/>
    <w:rsid w:val="0031641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316419"/>
    <w:rPr>
      <w:noProof/>
      <w:sz w:val="24"/>
    </w:rPr>
  </w:style>
  <w:style w:type="paragraph" w:customStyle="1" w:styleId="Normal12">
    <w:name w:val="Normal12"/>
    <w:basedOn w:val="Normal"/>
    <w:link w:val="Normal12Char"/>
    <w:rsid w:val="0031641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1641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1641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1641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1641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1641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316419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316419"/>
    <w:pPr>
      <w:spacing w:after="120"/>
    </w:pPr>
  </w:style>
  <w:style w:type="character" w:customStyle="1" w:styleId="NormalBoldChar">
    <w:name w:val="NormalBold Char"/>
    <w:link w:val="NormalBold"/>
    <w:locked/>
    <w:rsid w:val="00316419"/>
    <w:rPr>
      <w:b/>
      <w:sz w:val="24"/>
      <w:lang w:val="sl-SI"/>
    </w:rPr>
  </w:style>
  <w:style w:type="paragraph" w:customStyle="1" w:styleId="Normal12Italic">
    <w:name w:val="Normal12Italic"/>
    <w:basedOn w:val="Normal12"/>
    <w:rsid w:val="00316419"/>
    <w:rPr>
      <w:i/>
    </w:rPr>
  </w:style>
  <w:style w:type="paragraph" w:customStyle="1" w:styleId="JustificationTitle">
    <w:name w:val="JustificationTitle"/>
    <w:basedOn w:val="Normal"/>
    <w:next w:val="Normal12"/>
    <w:rsid w:val="0031641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1641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1641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164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1641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31641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31641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16419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3164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1641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641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164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6419"/>
    <w:rPr>
      <w:b/>
      <w:bCs/>
      <w:lang w:val="sl-SI"/>
    </w:rPr>
  </w:style>
  <w:style w:type="paragraph" w:customStyle="1" w:styleId="Text1">
    <w:name w:val="Text 1"/>
    <w:basedOn w:val="Normal"/>
    <w:rsid w:val="0031641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1641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3164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6419"/>
    <w:rPr>
      <w:rFonts w:ascii="Segoe UI" w:hAnsi="Segoe UI" w:cs="Segoe UI"/>
      <w:sz w:val="18"/>
      <w:szCs w:val="18"/>
      <w:lang w:val="sl-SI"/>
    </w:rPr>
  </w:style>
  <w:style w:type="character" w:customStyle="1" w:styleId="no-parag">
    <w:name w:val="no-parag"/>
    <w:basedOn w:val="DefaultParagraphFont"/>
    <w:rsid w:val="00316419"/>
  </w:style>
  <w:style w:type="paragraph" w:styleId="Revision">
    <w:name w:val="Revision"/>
    <w:hidden/>
    <w:uiPriority w:val="99"/>
    <w:semiHidden/>
    <w:rsid w:val="00316419"/>
    <w:rPr>
      <w:sz w:val="24"/>
      <w:lang w:val="sl-SI"/>
    </w:rPr>
  </w:style>
  <w:style w:type="paragraph" w:customStyle="1" w:styleId="NormalCenter12a">
    <w:name w:val="NormalCenter12a"/>
    <w:basedOn w:val="Normal"/>
    <w:rsid w:val="0031641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316419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sid w:val="00316419"/>
    <w:rPr>
      <w:color w:val="0000FF"/>
      <w:u w:val="single"/>
    </w:rPr>
  </w:style>
  <w:style w:type="paragraph" w:customStyle="1" w:styleId="Text2">
    <w:name w:val="Text 2"/>
    <w:basedOn w:val="Normal"/>
    <w:rsid w:val="0031641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316419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316419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316419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1641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31641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316419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316419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1641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1641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31641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31641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31641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31641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31641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31641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31641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31641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31641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1641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316419"/>
    <w:pPr>
      <w:ind w:left="720"/>
      <w:contextualSpacing/>
    </w:pPr>
  </w:style>
  <w:style w:type="paragraph" w:customStyle="1" w:styleId="Normal12a">
    <w:name w:val="Normal12a"/>
    <w:basedOn w:val="Normal"/>
    <w:rsid w:val="00316419"/>
    <w:pPr>
      <w:spacing w:after="240"/>
    </w:pPr>
  </w:style>
  <w:style w:type="paragraph" w:customStyle="1" w:styleId="RollCallVotes">
    <w:name w:val="RollCallVotes"/>
    <w:basedOn w:val="Normal"/>
    <w:rsid w:val="0031641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1641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1641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16419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2959EF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2959EF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2959EF"/>
  </w:style>
  <w:style w:type="character" w:customStyle="1" w:styleId="rynqvb">
    <w:name w:val="rynqvb"/>
    <w:basedOn w:val="DefaultParagraphFont"/>
    <w:rsid w:val="002959E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59E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959EF"/>
    <w:pPr>
      <w:widowControl/>
      <w:spacing w:before="100" w:beforeAutospacing="1" w:after="100" w:afterAutospacing="1"/>
    </w:pPr>
    <w:rPr>
      <w:szCs w:val="24"/>
    </w:rPr>
  </w:style>
  <w:style w:type="character" w:customStyle="1" w:styleId="highlight">
    <w:name w:val="highlight"/>
    <w:basedOn w:val="DefaultParagraphFont"/>
    <w:rsid w:val="002959EF"/>
  </w:style>
  <w:style w:type="character" w:customStyle="1" w:styleId="ui-provider">
    <w:name w:val="ui-provider"/>
    <w:basedOn w:val="DefaultParagraphFont"/>
    <w:rsid w:val="002959EF"/>
  </w:style>
  <w:style w:type="paragraph" w:styleId="BodyText">
    <w:name w:val="Body Text"/>
    <w:basedOn w:val="Normal"/>
    <w:link w:val="BodyTextChar"/>
    <w:uiPriority w:val="99"/>
    <w:unhideWhenUsed/>
    <w:rsid w:val="002959EF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2959EF"/>
    <w:rPr>
      <w:rFonts w:ascii="Calibri" w:eastAsiaTheme="minorHAnsi" w:hAnsi="Calibri" w:cs="Calibri"/>
      <w:sz w:val="25"/>
      <w:szCs w:val="25"/>
      <w:lang w:val="sl-SI" w:eastAsia="en-US"/>
    </w:rPr>
  </w:style>
  <w:style w:type="paragraph" w:customStyle="1" w:styleId="norm">
    <w:name w:val="norm"/>
    <w:basedOn w:val="Normal"/>
    <w:rsid w:val="002959EF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2959EF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2959EF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2959EF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959EF"/>
    <w:rPr>
      <w:rFonts w:ascii="Calibri" w:eastAsiaTheme="minorHAnsi" w:hAnsi="Calibri" w:cstheme="minorBidi"/>
      <w:sz w:val="22"/>
      <w:szCs w:val="21"/>
      <w:lang w:val="sl-SI" w:eastAsia="en-US"/>
    </w:rPr>
  </w:style>
  <w:style w:type="paragraph" w:customStyle="1" w:styleId="Normal1">
    <w:name w:val="Normal1"/>
    <w:basedOn w:val="Normal"/>
    <w:rsid w:val="002959EF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2959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B80EA-7A59-458B-B457-D9F97AB87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2024-05-22T09:06:00Z</dcterms:created>
  <dcterms:modified xsi:type="dcterms:W3CDTF">2024-05-22T09:06:00Z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