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36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364C" w:rsidRDefault="000B703C" w:rsidP="0010095E">
            <w:pPr>
              <w:pStyle w:val="EPName"/>
            </w:pPr>
            <w:r w:rsidRPr="0025364C">
              <w:t>Parlamento Europeo</w:t>
            </w:r>
          </w:p>
          <w:p w:rsidR="00751A4A" w:rsidRPr="002536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5C30">
              <w:t>2019</w:t>
            </w:r>
            <w:r w:rsidRPr="0025364C">
              <w:t>-</w:t>
            </w:r>
            <w:r w:rsidRPr="00C75C3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5364C" w:rsidRDefault="00187494" w:rsidP="0010095E">
            <w:pPr>
              <w:pStyle w:val="EPLogo"/>
            </w:pPr>
            <w:r w:rsidRPr="002536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364C" w:rsidRDefault="00D058B8" w:rsidP="004C5D52">
      <w:pPr>
        <w:pStyle w:val="LineTop"/>
      </w:pPr>
    </w:p>
    <w:p w:rsidR="00680577" w:rsidRPr="0025364C" w:rsidRDefault="000B703C" w:rsidP="00680577">
      <w:pPr>
        <w:pStyle w:val="EPBodyTA1"/>
      </w:pPr>
      <w:r w:rsidRPr="0025364C">
        <w:t>TEXTOS APROBADOS</w:t>
      </w:r>
    </w:p>
    <w:p w:rsidR="00D058B8" w:rsidRPr="0025364C" w:rsidRDefault="00D058B8" w:rsidP="00D058B8">
      <w:pPr>
        <w:pStyle w:val="LineBottom"/>
      </w:pPr>
    </w:p>
    <w:p w:rsidR="000B703C" w:rsidRPr="0025364C" w:rsidRDefault="000B703C" w:rsidP="000B703C">
      <w:pPr>
        <w:pStyle w:val="ATHeading1"/>
      </w:pPr>
      <w:bookmarkStart w:id="0" w:name="TANumber"/>
      <w:r w:rsidRPr="0025364C">
        <w:t>P</w:t>
      </w:r>
      <w:r w:rsidRPr="00C75C30">
        <w:t>9</w:t>
      </w:r>
      <w:r w:rsidRPr="0025364C">
        <w:t>_</w:t>
      </w:r>
      <w:proofErr w:type="gramStart"/>
      <w:r w:rsidRPr="0025364C">
        <w:t>TA(</w:t>
      </w:r>
      <w:proofErr w:type="gramEnd"/>
      <w:r w:rsidRPr="00C75C30">
        <w:t>2024</w:t>
      </w:r>
      <w:r w:rsidRPr="0025364C">
        <w:t>)</w:t>
      </w:r>
      <w:bookmarkEnd w:id="0"/>
      <w:r w:rsidR="0014623C" w:rsidRPr="00C75C30">
        <w:t>0005</w:t>
      </w:r>
    </w:p>
    <w:p w:rsidR="000B703C" w:rsidRPr="0025364C" w:rsidRDefault="000B703C" w:rsidP="000B703C">
      <w:pPr>
        <w:pStyle w:val="ATHeading2"/>
      </w:pPr>
      <w:bookmarkStart w:id="1" w:name="title"/>
      <w:r w:rsidRPr="0025364C">
        <w:t>Medidas comerciales excepcionales para los países y territorios participantes o vinculados al Proceso de estabilización y asociación (versión codificada)</w:t>
      </w:r>
      <w:bookmarkEnd w:id="1"/>
    </w:p>
    <w:p w:rsidR="000B703C" w:rsidRPr="0025364C" w:rsidRDefault="000B703C" w:rsidP="000B703C">
      <w:pPr>
        <w:rPr>
          <w:i/>
          <w:vanish/>
        </w:rPr>
      </w:pPr>
      <w:r w:rsidRPr="0025364C">
        <w:rPr>
          <w:i/>
        </w:rPr>
        <w:fldChar w:fldCharType="begin"/>
      </w:r>
      <w:r w:rsidRPr="0025364C">
        <w:rPr>
          <w:i/>
        </w:rPr>
        <w:instrText xml:space="preserve"> TC"(</w:instrText>
      </w:r>
      <w:bookmarkStart w:id="2" w:name="DocNumber"/>
      <w:r w:rsidRPr="0025364C">
        <w:rPr>
          <w:i/>
        </w:rPr>
        <w:instrText>A</w:instrText>
      </w:r>
      <w:r w:rsidRPr="00C75C30">
        <w:rPr>
          <w:i/>
        </w:rPr>
        <w:instrText>9</w:instrText>
      </w:r>
      <w:r w:rsidRPr="0025364C">
        <w:rPr>
          <w:i/>
        </w:rPr>
        <w:instrText>-</w:instrText>
      </w:r>
      <w:r w:rsidRPr="00C75C30">
        <w:rPr>
          <w:i/>
        </w:rPr>
        <w:instrText>0001</w:instrText>
      </w:r>
      <w:r w:rsidRPr="0025364C">
        <w:rPr>
          <w:i/>
        </w:rPr>
        <w:instrText>/</w:instrText>
      </w:r>
      <w:r w:rsidRPr="00C75C30">
        <w:rPr>
          <w:i/>
        </w:rPr>
        <w:instrText>2024</w:instrText>
      </w:r>
      <w:bookmarkEnd w:id="2"/>
      <w:r w:rsidRPr="0025364C">
        <w:rPr>
          <w:i/>
        </w:rPr>
        <w:instrText xml:space="preserve"> - Ponente: Magdalena </w:instrText>
      </w:r>
      <w:proofErr w:type="spellStart"/>
      <w:r w:rsidRPr="0025364C">
        <w:rPr>
          <w:i/>
        </w:rPr>
        <w:instrText>Adamowicz</w:instrText>
      </w:r>
      <w:proofErr w:type="spellEnd"/>
      <w:r w:rsidRPr="0025364C">
        <w:rPr>
          <w:i/>
        </w:rPr>
        <w:instrText>)"\l</w:instrText>
      </w:r>
      <w:r w:rsidRPr="00C75C30">
        <w:rPr>
          <w:i/>
        </w:rPr>
        <w:instrText>3</w:instrText>
      </w:r>
      <w:r w:rsidRPr="0025364C">
        <w:rPr>
          <w:i/>
        </w:rPr>
        <w:instrText xml:space="preserve"> \n&gt; \* MERGEFORMAT </w:instrText>
      </w:r>
      <w:r w:rsidRPr="0025364C">
        <w:rPr>
          <w:i/>
        </w:rPr>
        <w:fldChar w:fldCharType="end"/>
      </w:r>
    </w:p>
    <w:p w:rsidR="000B703C" w:rsidRPr="0025364C" w:rsidRDefault="000B703C" w:rsidP="000B703C">
      <w:pPr>
        <w:rPr>
          <w:vanish/>
        </w:rPr>
      </w:pPr>
      <w:bookmarkStart w:id="3" w:name="Commission"/>
      <w:r w:rsidRPr="0025364C">
        <w:rPr>
          <w:vanish/>
        </w:rPr>
        <w:t>Comisión de Asuntos Jurídicos</w:t>
      </w:r>
      <w:bookmarkEnd w:id="3"/>
    </w:p>
    <w:p w:rsidR="000B703C" w:rsidRPr="0025364C" w:rsidRDefault="000B703C" w:rsidP="000B703C">
      <w:pPr>
        <w:rPr>
          <w:vanish/>
        </w:rPr>
      </w:pPr>
      <w:bookmarkStart w:id="4" w:name="PE"/>
      <w:r w:rsidRPr="0025364C">
        <w:rPr>
          <w:vanish/>
        </w:rPr>
        <w:t>PE</w:t>
      </w:r>
      <w:r w:rsidRPr="00C75C30">
        <w:rPr>
          <w:vanish/>
        </w:rPr>
        <w:t>756</w:t>
      </w:r>
      <w:r w:rsidRPr="0025364C">
        <w:rPr>
          <w:vanish/>
        </w:rPr>
        <w:t>.</w:t>
      </w:r>
      <w:r w:rsidRPr="00C75C30">
        <w:rPr>
          <w:vanish/>
        </w:rPr>
        <w:t>245</w:t>
      </w:r>
      <w:bookmarkEnd w:id="4"/>
    </w:p>
    <w:p w:rsidR="000B703C" w:rsidRPr="0025364C" w:rsidRDefault="000B703C" w:rsidP="000B703C">
      <w:pPr>
        <w:pStyle w:val="ATHeading3"/>
      </w:pPr>
      <w:bookmarkStart w:id="5" w:name="Sujet"/>
      <w:r w:rsidRPr="0025364C">
        <w:t xml:space="preserve">Resolución legislativa del Parlamento Europeo, de </w:t>
      </w:r>
      <w:r w:rsidRPr="00C75C30">
        <w:t>16</w:t>
      </w:r>
      <w:r w:rsidRPr="0025364C">
        <w:t xml:space="preserve"> de enero de </w:t>
      </w:r>
      <w:r w:rsidRPr="00C75C30">
        <w:t>2024</w:t>
      </w:r>
      <w:r w:rsidRPr="0025364C">
        <w:t>, sobre la propuesta de Reglamento del Parlamento Europeo y del Consejo por el que se introducen medidas comerciales excepcionales para los países y territorios participantes o vinculados al Proceso de estabilización y asociación (versión codificada)</w:t>
      </w:r>
      <w:bookmarkEnd w:id="5"/>
      <w:r w:rsidRPr="0025364C">
        <w:t xml:space="preserve"> </w:t>
      </w:r>
      <w:bookmarkStart w:id="6" w:name="References"/>
      <w:r w:rsidRPr="0025364C">
        <w:t>(</w:t>
      </w:r>
      <w:proofErr w:type="gramStart"/>
      <w:r w:rsidRPr="0025364C">
        <w:t>COM(</w:t>
      </w:r>
      <w:proofErr w:type="gramEnd"/>
      <w:r w:rsidRPr="00C75C30">
        <w:t>2022</w:t>
      </w:r>
      <w:r w:rsidRPr="0025364C">
        <w:t>)</w:t>
      </w:r>
      <w:r w:rsidRPr="00C75C30">
        <w:t>0503</w:t>
      </w:r>
      <w:r w:rsidRPr="0025364C">
        <w:t xml:space="preserve"> – C</w:t>
      </w:r>
      <w:r w:rsidRPr="00C75C30">
        <w:t>9</w:t>
      </w:r>
      <w:r w:rsidRPr="0025364C">
        <w:t>-</w:t>
      </w:r>
      <w:r w:rsidRPr="00C75C30">
        <w:t>0323</w:t>
      </w:r>
      <w:r w:rsidRPr="0025364C">
        <w:t>/</w:t>
      </w:r>
      <w:r w:rsidRPr="00C75C30">
        <w:t>2022</w:t>
      </w:r>
      <w:r w:rsidRPr="0025364C">
        <w:t xml:space="preserve"> – </w:t>
      </w:r>
      <w:r w:rsidRPr="00C75C30">
        <w:t>2022</w:t>
      </w:r>
      <w:r w:rsidRPr="0025364C">
        <w:t>/</w:t>
      </w:r>
      <w:r w:rsidRPr="00C75C30">
        <w:t>0304</w:t>
      </w:r>
      <w:r w:rsidRPr="0025364C">
        <w:t>(COD))</w:t>
      </w:r>
      <w:bookmarkEnd w:id="6"/>
    </w:p>
    <w:p w:rsidR="000B703C" w:rsidRPr="0025364C" w:rsidRDefault="000B703C" w:rsidP="000B703C"/>
    <w:p w:rsidR="00B21897" w:rsidRPr="0025364C" w:rsidRDefault="00B21897" w:rsidP="00B21897">
      <w:pPr>
        <w:pStyle w:val="NormalBold"/>
      </w:pPr>
      <w:bookmarkStart w:id="7" w:name="TextBodyBegin"/>
      <w:bookmarkEnd w:id="7"/>
      <w:r w:rsidRPr="0025364C">
        <w:t>(Procedimiento legislativo ordinario – codificación)</w:t>
      </w:r>
    </w:p>
    <w:p w:rsidR="00B21897" w:rsidRPr="0025364C" w:rsidRDefault="00B21897" w:rsidP="00B21897">
      <w:pPr>
        <w:pStyle w:val="EPComma"/>
        <w:spacing w:before="240"/>
      </w:pPr>
      <w:r w:rsidRPr="0025364C">
        <w:rPr>
          <w:i/>
        </w:rPr>
        <w:t>El Parlamento Europeo</w:t>
      </w:r>
      <w:r w:rsidRPr="0025364C">
        <w:t>,</w:t>
      </w:r>
    </w:p>
    <w:p w:rsidR="00B21897" w:rsidRPr="0025364C" w:rsidRDefault="00B21897" w:rsidP="00B21897">
      <w:pPr>
        <w:pStyle w:val="NormalHanging12a"/>
      </w:pPr>
      <w:r w:rsidRPr="0025364C">
        <w:t>–</w:t>
      </w:r>
      <w:r w:rsidRPr="0025364C">
        <w:tab/>
        <w:t>Vista la propuesta de la Comisión al Parlamento Europeo y al Consejo (</w:t>
      </w:r>
      <w:proofErr w:type="gramStart"/>
      <w:r w:rsidRPr="0025364C">
        <w:t>COM(</w:t>
      </w:r>
      <w:proofErr w:type="gramEnd"/>
      <w:r w:rsidRPr="00C75C30">
        <w:t>2022</w:t>
      </w:r>
      <w:r w:rsidRPr="0025364C">
        <w:t>)</w:t>
      </w:r>
      <w:r w:rsidRPr="00C75C30">
        <w:t>0503</w:t>
      </w:r>
      <w:r w:rsidRPr="0025364C">
        <w:t>),</w:t>
      </w:r>
    </w:p>
    <w:p w:rsidR="00B21897" w:rsidRPr="0025364C" w:rsidRDefault="00B21897" w:rsidP="00B21897">
      <w:pPr>
        <w:pStyle w:val="NormalHanging12a"/>
      </w:pPr>
      <w:r w:rsidRPr="0025364C">
        <w:t>–</w:t>
      </w:r>
      <w:r w:rsidRPr="0025364C">
        <w:tab/>
        <w:t>Vistos el artículo </w:t>
      </w:r>
      <w:r w:rsidRPr="00C75C30">
        <w:t>294</w:t>
      </w:r>
      <w:r w:rsidRPr="0025364C">
        <w:t>, apartado </w:t>
      </w:r>
      <w:r w:rsidRPr="00C75C30">
        <w:t>2</w:t>
      </w:r>
      <w:r w:rsidRPr="0025364C">
        <w:t>, y el artículo </w:t>
      </w:r>
      <w:r w:rsidRPr="00C75C30">
        <w:t>207</w:t>
      </w:r>
      <w:r w:rsidRPr="0025364C">
        <w:t>, apartado </w:t>
      </w:r>
      <w:r w:rsidRPr="00C75C30">
        <w:t>2</w:t>
      </w:r>
      <w:r w:rsidRPr="0025364C">
        <w:t>, del Tratado de Funcionamiento de la Unión Europea, conforme a los cuales la Comisión le ha presentado su propuesta (C</w:t>
      </w:r>
      <w:r w:rsidRPr="00C75C30">
        <w:t>9</w:t>
      </w:r>
      <w:r w:rsidRPr="0025364C">
        <w:noBreakHyphen/>
      </w:r>
      <w:r w:rsidRPr="00C75C30">
        <w:t>0323</w:t>
      </w:r>
      <w:r w:rsidRPr="0025364C">
        <w:t>/</w:t>
      </w:r>
      <w:r w:rsidRPr="00C75C30">
        <w:t>2022</w:t>
      </w:r>
      <w:r w:rsidRPr="0025364C">
        <w:t>),</w:t>
      </w:r>
    </w:p>
    <w:p w:rsidR="00B21897" w:rsidRPr="0025364C" w:rsidRDefault="00B21897" w:rsidP="00B21897">
      <w:pPr>
        <w:pStyle w:val="NormalHanging12a"/>
      </w:pPr>
      <w:r w:rsidRPr="0025364C">
        <w:t>–</w:t>
      </w:r>
      <w:r w:rsidRPr="0025364C">
        <w:tab/>
        <w:t>Visto el artículo </w:t>
      </w:r>
      <w:r w:rsidRPr="00C75C30">
        <w:t>294</w:t>
      </w:r>
      <w:r w:rsidRPr="0025364C">
        <w:t>, apartado </w:t>
      </w:r>
      <w:r w:rsidRPr="00C75C30">
        <w:t>3</w:t>
      </w:r>
      <w:r w:rsidRPr="0025364C">
        <w:t>, del Tratado de Funcionamiento de la Unión Europea,</w:t>
      </w:r>
    </w:p>
    <w:p w:rsidR="00B21897" w:rsidRPr="0025364C" w:rsidRDefault="00B21897" w:rsidP="00B21897">
      <w:pPr>
        <w:pStyle w:val="NormalHanging12a"/>
      </w:pPr>
      <w:r w:rsidRPr="0025364C">
        <w:t>–</w:t>
      </w:r>
      <w:r w:rsidRPr="0025364C">
        <w:tab/>
        <w:t xml:space="preserve">Visto el Acuerdo interinstitucional, de </w:t>
      </w:r>
      <w:r w:rsidRPr="00C75C30">
        <w:t>20</w:t>
      </w:r>
      <w:r w:rsidRPr="0025364C">
        <w:t xml:space="preserve"> de diciembre de </w:t>
      </w:r>
      <w:r w:rsidRPr="00C75C30">
        <w:t>1994</w:t>
      </w:r>
      <w:r w:rsidRPr="0025364C">
        <w:t>, sobre un método de trabajo acelerado con vistas a la codificación oficial de los textos legislativos</w:t>
      </w:r>
      <w:r w:rsidRPr="0025364C">
        <w:rPr>
          <w:rStyle w:val="FootnoteReference"/>
        </w:rPr>
        <w:footnoteReference w:id="1"/>
      </w:r>
      <w:r w:rsidRPr="0025364C">
        <w:t>,</w:t>
      </w:r>
    </w:p>
    <w:p w:rsidR="00B21897" w:rsidRPr="0025364C" w:rsidRDefault="00B21897" w:rsidP="00B21897">
      <w:pPr>
        <w:pStyle w:val="NormalHanging12a"/>
      </w:pPr>
      <w:r w:rsidRPr="0025364C">
        <w:t>–</w:t>
      </w:r>
      <w:r w:rsidRPr="0025364C">
        <w:tab/>
        <w:t>Vistos los artículos </w:t>
      </w:r>
      <w:r w:rsidRPr="00C75C30">
        <w:t>109</w:t>
      </w:r>
      <w:r w:rsidRPr="0025364C">
        <w:t xml:space="preserve"> y </w:t>
      </w:r>
      <w:r w:rsidRPr="00C75C30">
        <w:t>59</w:t>
      </w:r>
      <w:r w:rsidRPr="0025364C">
        <w:t xml:space="preserve"> de su Reglamento interno,</w:t>
      </w:r>
    </w:p>
    <w:p w:rsidR="00B21897" w:rsidRPr="0025364C" w:rsidRDefault="00B21897" w:rsidP="00B21897">
      <w:pPr>
        <w:pStyle w:val="NormalHanging12a"/>
      </w:pPr>
      <w:r w:rsidRPr="0025364C">
        <w:t>–</w:t>
      </w:r>
      <w:r w:rsidRPr="0025364C">
        <w:tab/>
        <w:t>Visto el informe de la Comisión de Asuntos Jurídicos (A</w:t>
      </w:r>
      <w:r w:rsidRPr="00C75C30">
        <w:t>9</w:t>
      </w:r>
      <w:r w:rsidRPr="0025364C">
        <w:noBreakHyphen/>
      </w:r>
      <w:r w:rsidRPr="00C75C30">
        <w:t>0001</w:t>
      </w:r>
      <w:r w:rsidRPr="0025364C">
        <w:t>/</w:t>
      </w:r>
      <w:r w:rsidRPr="00C75C30">
        <w:t>2024</w:t>
      </w:r>
      <w:r w:rsidRPr="0025364C">
        <w:t>),</w:t>
      </w:r>
    </w:p>
    <w:p w:rsidR="00B21897" w:rsidRPr="0025364C" w:rsidRDefault="00B21897" w:rsidP="00B21897">
      <w:pPr>
        <w:pStyle w:val="NormalHanging12a"/>
      </w:pPr>
      <w:r w:rsidRPr="0025364C">
        <w:t>A.</w:t>
      </w:r>
      <w:r w:rsidRPr="0025364C">
        <w:tab/>
        <w:t>Considerando que, según el grupo consultivo de los Servicios Jurídicos del Parlamento Europeo, del Consejo y de la Comisión, la propuesta en cuestión se limita a una codificación pura y simple de los textos existentes, sin ninguna modificación sustancial de estos;</w:t>
      </w:r>
    </w:p>
    <w:p w:rsidR="00B21897" w:rsidRPr="0025364C" w:rsidRDefault="00B21897" w:rsidP="00B21897">
      <w:pPr>
        <w:pStyle w:val="NormalHanging12a"/>
      </w:pPr>
      <w:r w:rsidRPr="00C75C30">
        <w:t>1</w:t>
      </w:r>
      <w:r w:rsidRPr="0025364C">
        <w:t>.</w:t>
      </w:r>
      <w:r w:rsidRPr="0025364C">
        <w:tab/>
        <w:t xml:space="preserve">Aprueba su Posición en primera lectura </w:t>
      </w:r>
      <w:r w:rsidR="002E28E5" w:rsidRPr="0025364C">
        <w:t>que figura a continuación</w:t>
      </w:r>
      <w:r w:rsidRPr="0025364C">
        <w:t>;</w:t>
      </w:r>
    </w:p>
    <w:p w:rsidR="002E28E5" w:rsidRPr="0025364C" w:rsidRDefault="00B21897" w:rsidP="00B21897">
      <w:pPr>
        <w:pStyle w:val="NormalHanging12a"/>
      </w:pPr>
      <w:r w:rsidRPr="00C75C30">
        <w:t>2</w:t>
      </w:r>
      <w:r w:rsidRPr="0025364C">
        <w:t>.</w:t>
      </w:r>
      <w:r w:rsidRPr="0025364C">
        <w:tab/>
        <w:t>Encarga a su presidenta que transmita la Posición del Parlamento al Consejo y a la Comisión, así como a los Parlamentos nacionales.</w:t>
      </w:r>
    </w:p>
    <w:p w:rsidR="002E28E5" w:rsidRPr="0025364C" w:rsidRDefault="002E28E5">
      <w:pPr>
        <w:widowControl/>
        <w:sectPr w:rsidR="002E28E5" w:rsidRPr="0025364C" w:rsidSect="005A771F">
          <w:footerReference w:type="even" r:id="rId9"/>
          <w:footnotePr>
            <w:numRestart w:val="eachSect"/>
          </w:footnotePr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cols w:space="720"/>
          <w:titlePg/>
        </w:sectPr>
      </w:pPr>
    </w:p>
    <w:p w:rsidR="002E28E5" w:rsidRPr="0025364C" w:rsidRDefault="002E28E5" w:rsidP="002E28E5">
      <w:pPr>
        <w:pStyle w:val="Normal12Hanging"/>
        <w:ind w:left="0" w:firstLine="0"/>
        <w:jc w:val="both"/>
        <w:rPr>
          <w:b/>
        </w:rPr>
      </w:pPr>
      <w:r w:rsidRPr="0025364C">
        <w:rPr>
          <w:b/>
        </w:rPr>
        <w:lastRenderedPageBreak/>
        <w:t>P</w:t>
      </w:r>
      <w:r w:rsidRPr="00C75C30">
        <w:rPr>
          <w:b/>
        </w:rPr>
        <w:t>9</w:t>
      </w:r>
      <w:r w:rsidRPr="0025364C">
        <w:rPr>
          <w:b/>
        </w:rPr>
        <w:t>_TC</w:t>
      </w:r>
      <w:r w:rsidRPr="00C75C30">
        <w:rPr>
          <w:b/>
        </w:rPr>
        <w:t>1</w:t>
      </w:r>
      <w:r w:rsidRPr="0025364C">
        <w:rPr>
          <w:b/>
        </w:rPr>
        <w:t>-</w:t>
      </w:r>
      <w:proofErr w:type="gramStart"/>
      <w:r w:rsidRPr="0025364C">
        <w:rPr>
          <w:b/>
        </w:rPr>
        <w:t>COD(</w:t>
      </w:r>
      <w:proofErr w:type="gramEnd"/>
      <w:r w:rsidRPr="00C75C30">
        <w:rPr>
          <w:b/>
        </w:rPr>
        <w:t>2022</w:t>
      </w:r>
      <w:r w:rsidRPr="0025364C">
        <w:rPr>
          <w:b/>
        </w:rPr>
        <w:t>)</w:t>
      </w:r>
      <w:r w:rsidRPr="00C75C30">
        <w:rPr>
          <w:b/>
        </w:rPr>
        <w:t>0304</w:t>
      </w:r>
    </w:p>
    <w:p w:rsidR="002E28E5" w:rsidRPr="0025364C" w:rsidRDefault="002E28E5" w:rsidP="005A771F">
      <w:pPr>
        <w:pStyle w:val="Titreobjet"/>
        <w:jc w:val="left"/>
      </w:pPr>
      <w:r w:rsidRPr="0025364C">
        <w:t xml:space="preserve">Posición del Parlamento Europeo aprobada en primera lectura el </w:t>
      </w:r>
      <w:r w:rsidRPr="00C75C30">
        <w:t>16</w:t>
      </w:r>
      <w:r w:rsidRPr="0025364C">
        <w:t xml:space="preserve"> de enero de </w:t>
      </w:r>
      <w:r w:rsidRPr="00C75C30">
        <w:t>2024</w:t>
      </w:r>
      <w:r w:rsidRPr="0025364C">
        <w:t xml:space="preserve"> con vistas a la adopción del Reglamento (UE) </w:t>
      </w:r>
      <w:r w:rsidRPr="00C75C30">
        <w:t>2024</w:t>
      </w:r>
      <w:r w:rsidRPr="0025364C">
        <w:t>/... del Parlamento Europeo y del Consejo sobre medidas comerciales excepcionales para los países y territorios participantes o vinculados al Proceso de Estabilización y Asociación (versión codificada)</w:t>
      </w:r>
    </w:p>
    <w:p w:rsidR="00B21897" w:rsidRPr="009D5E3B" w:rsidRDefault="009D5E3B" w:rsidP="009D5E3B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</w:t>
      </w:r>
      <w:bookmarkStart w:id="8" w:name="_GoBack"/>
      <w:bookmarkEnd w:id="8"/>
      <w:r>
        <w:rPr>
          <w:i/>
          <w:lang w:val="es-ES_tradnl"/>
        </w:rPr>
        <w:t>nsejo llegaron a un acuerdo, la posición del Parlamento coincide con el texto del acto legislativo definitivo</w:t>
      </w:r>
      <w:r w:rsidRPr="009D5E3B">
        <w:rPr>
          <w:i/>
          <w:lang w:val="es-ES_tradnl"/>
        </w:rPr>
        <w:t>, el Reglamento (UE) 2024/</w:t>
      </w:r>
      <w:r w:rsidRPr="009D5E3B">
        <w:rPr>
          <w:i/>
          <w:lang w:val="es-ES_tradnl"/>
        </w:rPr>
        <w:t>823</w:t>
      </w:r>
      <w:r>
        <w:rPr>
          <w:i/>
          <w:lang w:val="es-ES_tradnl"/>
        </w:rPr>
        <w:t>.)</w:t>
      </w:r>
    </w:p>
    <w:sectPr w:rsidR="00B21897" w:rsidRPr="009D5E3B" w:rsidSect="009D5E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71F" w:rsidRPr="00484209" w:rsidRDefault="005A771F">
      <w:r w:rsidRPr="00484209">
        <w:separator/>
      </w:r>
    </w:p>
  </w:endnote>
  <w:endnote w:type="continuationSeparator" w:id="0">
    <w:p w:rsidR="005A771F" w:rsidRPr="00484209" w:rsidRDefault="005A771F">
      <w:r w:rsidRPr="004842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Default="005A771F" w:rsidP="005A771F">
    <w:pPr>
      <w:pStyle w:val="EPFooter"/>
    </w:pPr>
    <w:r>
      <w:t>PE</w:t>
    </w:r>
    <w:r w:rsidRPr="00F95CBA">
      <w:rPr>
        <w:rStyle w:val="HideTWBExt"/>
      </w:rPr>
      <w:t>&lt;</w:t>
    </w:r>
    <w:proofErr w:type="spellStart"/>
    <w:r w:rsidRPr="00F95CBA">
      <w:rPr>
        <w:rStyle w:val="HideTWBExt"/>
      </w:rPr>
      <w:t>NoPE</w:t>
    </w:r>
    <w:proofErr w:type="spellEnd"/>
    <w:r w:rsidRPr="00F95CBA">
      <w:rPr>
        <w:rStyle w:val="HideTWBExt"/>
      </w:rPr>
      <w:t>&gt;</w:t>
    </w:r>
    <w:r>
      <w:t>756.245</w:t>
    </w:r>
    <w:r w:rsidRPr="00F95CBA">
      <w:rPr>
        <w:rStyle w:val="HideTWBExt"/>
      </w:rPr>
      <w:t>&lt;/</w:t>
    </w:r>
    <w:proofErr w:type="spellStart"/>
    <w:r w:rsidRPr="00F95CBA">
      <w:rPr>
        <w:rStyle w:val="HideTWBExt"/>
      </w:rPr>
      <w:t>NoPE</w:t>
    </w:r>
    <w:proofErr w:type="spellEnd"/>
    <w:r w:rsidRPr="00F95CBA">
      <w:rPr>
        <w:rStyle w:val="HideTWBExt"/>
      </w:rPr>
      <w:t>&gt;&lt;Version&gt;</w:t>
    </w:r>
    <w:r>
      <w:t>v03-00</w:t>
    </w:r>
    <w:r w:rsidRPr="00F95CBA">
      <w:rPr>
        <w:rStyle w:val="HideTWBExt"/>
      </w:rPr>
      <w:t>&lt;/</w:t>
    </w:r>
    <w:proofErr w:type="spellStart"/>
    <w:r w:rsidRPr="00F95CBA">
      <w:rPr>
        <w:rStyle w:val="HideTWBExt"/>
      </w:rPr>
      <w:t>Version</w:t>
    </w:r>
    <w:proofErr w:type="spellEnd"/>
    <w:r w:rsidRPr="00F95CBA"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</w:t>
    </w:r>
    <w:r>
      <w:fldChar w:fldCharType="end"/>
    </w:r>
    <w:r>
      <w:t>/</w:t>
    </w:r>
    <w:r w:rsidR="009D5E3B">
      <w:fldChar w:fldCharType="begin"/>
    </w:r>
    <w:r w:rsidR="009D5E3B">
      <w:instrText xml:space="preserve"> NUMPAGES  \* MERGEFORMAT </w:instrText>
    </w:r>
    <w:r w:rsidR="009D5E3B">
      <w:fldChar w:fldCharType="separate"/>
    </w:r>
    <w:r>
      <w:rPr>
        <w:noProof/>
      </w:rPr>
      <w:t>22</w:t>
    </w:r>
    <w:r w:rsidR="009D5E3B">
      <w:rPr>
        <w:noProof/>
      </w:rPr>
      <w:fldChar w:fldCharType="end"/>
    </w:r>
    <w:r>
      <w:tab/>
    </w:r>
    <w:r w:rsidRPr="00F95CBA">
      <w:rPr>
        <w:rStyle w:val="HideTWBExt"/>
      </w:rPr>
      <w:t>&lt;PathFdR&gt;</w:t>
    </w:r>
    <w:r>
      <w:t>RR\1293822ES.docx</w:t>
    </w:r>
    <w:r w:rsidRPr="00F95CBA">
      <w:rPr>
        <w:rStyle w:val="HideTWBExt"/>
      </w:rPr>
      <w:t>&lt;/</w:t>
    </w:r>
    <w:proofErr w:type="spellStart"/>
    <w:r w:rsidRPr="00F95CBA">
      <w:rPr>
        <w:rStyle w:val="HideTWBExt"/>
      </w:rPr>
      <w:t>PathFdR</w:t>
    </w:r>
    <w:proofErr w:type="spellEnd"/>
    <w:r w:rsidRPr="00F95CBA">
      <w:rPr>
        <w:rStyle w:val="HideTWBExt"/>
      </w:rPr>
      <w:t>&gt;</w:t>
    </w:r>
  </w:p>
  <w:p w:rsidR="005A771F" w:rsidRPr="00F86CDE" w:rsidRDefault="005A771F" w:rsidP="005A771F">
    <w:pPr>
      <w:pStyle w:val="EPFooter2"/>
    </w:pPr>
    <w:r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Pr="00484209" w:rsidRDefault="005A771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Pr="00484209" w:rsidRDefault="005A771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Pr="00484209" w:rsidRDefault="005A77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71F" w:rsidRPr="00484209" w:rsidRDefault="005A771F">
      <w:r w:rsidRPr="00484209">
        <w:separator/>
      </w:r>
    </w:p>
  </w:footnote>
  <w:footnote w:type="continuationSeparator" w:id="0">
    <w:p w:rsidR="005A771F" w:rsidRPr="00484209" w:rsidRDefault="005A771F">
      <w:r w:rsidRPr="00484209">
        <w:continuationSeparator/>
      </w:r>
    </w:p>
  </w:footnote>
  <w:footnote w:id="1">
    <w:p w:rsidR="005A771F" w:rsidRPr="0025364C" w:rsidRDefault="005A771F" w:rsidP="00484209">
      <w:pPr>
        <w:pStyle w:val="FootnoteText"/>
        <w:ind w:left="567" w:hanging="567"/>
        <w:rPr>
          <w:sz w:val="24"/>
          <w:szCs w:val="24"/>
          <w:lang w:val="es-ES_tradnl"/>
        </w:rPr>
      </w:pPr>
      <w:r w:rsidRPr="0025364C">
        <w:rPr>
          <w:rStyle w:val="FootnoteReference"/>
          <w:sz w:val="24"/>
          <w:szCs w:val="24"/>
          <w:lang w:val="es-ES_tradnl"/>
        </w:rPr>
        <w:footnoteRef/>
      </w:r>
      <w:r w:rsidRPr="0025364C">
        <w:rPr>
          <w:sz w:val="24"/>
          <w:szCs w:val="24"/>
          <w:lang w:val="es-ES_tradnl"/>
        </w:rPr>
        <w:t xml:space="preserve"> </w:t>
      </w:r>
      <w:r w:rsidRPr="0025364C">
        <w:rPr>
          <w:sz w:val="24"/>
          <w:szCs w:val="24"/>
          <w:lang w:val="es-ES_tradnl"/>
        </w:rPr>
        <w:tab/>
        <w:t>DO C </w:t>
      </w:r>
      <w:r w:rsidRPr="00C75C30">
        <w:rPr>
          <w:sz w:val="24"/>
          <w:szCs w:val="24"/>
          <w:lang w:val="es-ES_tradnl"/>
        </w:rPr>
        <w:t>102</w:t>
      </w:r>
      <w:r w:rsidRPr="0025364C">
        <w:rPr>
          <w:sz w:val="24"/>
          <w:szCs w:val="24"/>
          <w:lang w:val="es-ES_tradnl"/>
        </w:rPr>
        <w:t xml:space="preserve"> de </w:t>
      </w:r>
      <w:r w:rsidRPr="00C75C30">
        <w:rPr>
          <w:sz w:val="24"/>
          <w:szCs w:val="24"/>
          <w:lang w:val="es-ES_tradnl"/>
        </w:rPr>
        <w:t>4</w:t>
      </w:r>
      <w:r w:rsidRPr="0025364C">
        <w:rPr>
          <w:sz w:val="24"/>
          <w:szCs w:val="24"/>
          <w:lang w:val="es-ES_tradnl"/>
        </w:rPr>
        <w:t>.</w:t>
      </w:r>
      <w:r w:rsidRPr="00C75C30">
        <w:rPr>
          <w:sz w:val="24"/>
          <w:szCs w:val="24"/>
          <w:lang w:val="es-ES_tradnl"/>
        </w:rPr>
        <w:t>4</w:t>
      </w:r>
      <w:r w:rsidRPr="0025364C">
        <w:rPr>
          <w:sz w:val="24"/>
          <w:szCs w:val="24"/>
          <w:lang w:val="es-ES_tradnl"/>
        </w:rPr>
        <w:t>.</w:t>
      </w:r>
      <w:r w:rsidRPr="00C75C30">
        <w:rPr>
          <w:sz w:val="24"/>
          <w:szCs w:val="24"/>
          <w:lang w:val="es-ES_tradnl"/>
        </w:rPr>
        <w:t>1996</w:t>
      </w:r>
      <w:r w:rsidRPr="0025364C">
        <w:rPr>
          <w:sz w:val="24"/>
          <w:szCs w:val="24"/>
          <w:lang w:val="es-ES_tradnl"/>
        </w:rPr>
        <w:t>, p. </w:t>
      </w:r>
      <w:r w:rsidRPr="00C75C30">
        <w:rPr>
          <w:sz w:val="24"/>
          <w:szCs w:val="24"/>
          <w:lang w:val="es-ES_tradnl"/>
        </w:rPr>
        <w:t>2</w:t>
      </w:r>
      <w:r w:rsidRPr="0025364C">
        <w:rPr>
          <w:sz w:val="24"/>
          <w:szCs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Pr="00484209" w:rsidRDefault="005A77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Pr="00484209" w:rsidRDefault="005A77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71F" w:rsidRPr="00484209" w:rsidRDefault="005A77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ES"/>
    <w:docVar w:name="dvnumam" w:val="0"/>
    <w:docVar w:name="dvpe" w:val="756.245"/>
    <w:docVar w:name="dvrapporteur" w:val="Ponente: "/>
    <w:docVar w:name="dvstar" w:val="***I"/>
    <w:docVar w:name="dvtitre" w:val="Resolución legislativa del Parlamento Europeo, de 16 de enero de 2024, sobre la propuesta de Reglamento del Parlamento Europeo y del Consejo por el que se introducen medidas comerciales excepcionales para los países y territorios participantes o vinculados al Proceso de estabilización y asociación (versión codificada)(COM(2022)0503 – C9-0323/2022 – 2022/0304(COD))"/>
  </w:docVars>
  <w:rsids>
    <w:rsidRoot w:val="000B703C"/>
    <w:rsid w:val="00002272"/>
    <w:rsid w:val="00064002"/>
    <w:rsid w:val="000677B9"/>
    <w:rsid w:val="000831BA"/>
    <w:rsid w:val="000A42CC"/>
    <w:rsid w:val="000B703C"/>
    <w:rsid w:val="000E7DD9"/>
    <w:rsid w:val="0010095E"/>
    <w:rsid w:val="00125B37"/>
    <w:rsid w:val="0014623C"/>
    <w:rsid w:val="00187494"/>
    <w:rsid w:val="001F32AE"/>
    <w:rsid w:val="0025364C"/>
    <w:rsid w:val="002767FF"/>
    <w:rsid w:val="002B18FE"/>
    <w:rsid w:val="002B5493"/>
    <w:rsid w:val="002E28E5"/>
    <w:rsid w:val="00343214"/>
    <w:rsid w:val="00361C00"/>
    <w:rsid w:val="00395FA1"/>
    <w:rsid w:val="003E15D4"/>
    <w:rsid w:val="00411CCE"/>
    <w:rsid w:val="0041666E"/>
    <w:rsid w:val="00421060"/>
    <w:rsid w:val="00471C19"/>
    <w:rsid w:val="0048420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71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E3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897"/>
    <w:rsid w:val="00B22876"/>
    <w:rsid w:val="00B558F0"/>
    <w:rsid w:val="00BD48FE"/>
    <w:rsid w:val="00BD7BD8"/>
    <w:rsid w:val="00BE6ADC"/>
    <w:rsid w:val="00C05BFE"/>
    <w:rsid w:val="00C23CD4"/>
    <w:rsid w:val="00C61C0C"/>
    <w:rsid w:val="00C75C3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B5CAE"/>
  <w15:chartTrackingRefBased/>
  <w15:docId w15:val="{56B13AD8-39C9-4C6E-82A1-9ED11F5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21897"/>
    <w:rPr>
      <w:b/>
    </w:rPr>
  </w:style>
  <w:style w:type="paragraph" w:customStyle="1" w:styleId="NormalHanging12a">
    <w:name w:val="NormalHanging12a"/>
    <w:basedOn w:val="Normal"/>
    <w:rsid w:val="00B21897"/>
    <w:pPr>
      <w:spacing w:after="240"/>
      <w:ind w:left="567" w:hanging="567"/>
    </w:pPr>
  </w:style>
  <w:style w:type="paragraph" w:customStyle="1" w:styleId="EPComma">
    <w:name w:val="EPComma"/>
    <w:basedOn w:val="Normal"/>
    <w:rsid w:val="00B21897"/>
    <w:pPr>
      <w:spacing w:before="480" w:after="240"/>
    </w:pPr>
  </w:style>
  <w:style w:type="paragraph" w:customStyle="1" w:styleId="EPFooter2">
    <w:name w:val="EPFooter2"/>
    <w:basedOn w:val="Normal"/>
    <w:next w:val="Normal"/>
    <w:rsid w:val="002E28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2E28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28E5"/>
    <w:rPr>
      <w:sz w:val="24"/>
      <w:lang w:val="es-ES_tradnl"/>
    </w:rPr>
  </w:style>
  <w:style w:type="paragraph" w:customStyle="1" w:styleId="EPFooter">
    <w:name w:val="EPFooter"/>
    <w:basedOn w:val="Normal"/>
    <w:rsid w:val="002E28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uiPriority w:val="99"/>
    <w:rsid w:val="002E28E5"/>
    <w:pPr>
      <w:widowControl/>
      <w:tabs>
        <w:tab w:val="center" w:pos="4820"/>
        <w:tab w:val="center" w:pos="7371"/>
        <w:tab w:val="right" w:pos="9639"/>
      </w:tabs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E28E5"/>
    <w:rPr>
      <w:rFonts w:eastAsiaTheme="minorHAnsi"/>
      <w:sz w:val="24"/>
      <w:szCs w:val="22"/>
      <w:lang w:val="es-ES_tradnl" w:eastAsia="en-US"/>
    </w:rPr>
  </w:style>
  <w:style w:type="paragraph" w:customStyle="1" w:styleId="Point0">
    <w:name w:val="Point 0"/>
    <w:basedOn w:val="Normal"/>
    <w:rsid w:val="002E28E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E28E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E28E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E28E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E28E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E28E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E28E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E28E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E28E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ManualHeading1">
    <w:name w:val="Manual Heading 1"/>
    <w:basedOn w:val="Normal"/>
    <w:next w:val="Normal"/>
    <w:rsid w:val="002E28E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2E28E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12Hanging">
    <w:name w:val="Normal12Hanging"/>
    <w:basedOn w:val="Normal"/>
    <w:rsid w:val="002E28E5"/>
    <w:pPr>
      <w:spacing w:after="240"/>
      <w:ind w:left="357" w:hanging="357"/>
    </w:pPr>
    <w:rPr>
      <w:snapToGrid w:val="0"/>
    </w:rPr>
  </w:style>
  <w:style w:type="paragraph" w:styleId="BalloonText">
    <w:name w:val="Balloon Text"/>
    <w:basedOn w:val="Normal"/>
    <w:link w:val="BalloonTextChar"/>
    <w:rsid w:val="002E28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28E5"/>
    <w:rPr>
      <w:rFonts w:ascii="Segoe UI" w:hAnsi="Segoe UI" w:cs="Segoe UI"/>
      <w:sz w:val="18"/>
      <w:szCs w:val="18"/>
      <w:lang w:val="es-ES_tradnl"/>
    </w:rPr>
  </w:style>
  <w:style w:type="paragraph" w:customStyle="1" w:styleId="normal12hanging0">
    <w:name w:val="normal12hanging"/>
    <w:basedOn w:val="Normal"/>
    <w:rsid w:val="009D5E3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28626-56BD-4DF3-8CA8-AB93AFC50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2024-05-21T13:58:00Z</dcterms:created>
  <dcterms:modified xsi:type="dcterms:W3CDTF">2024-05-21T13:58:00Z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