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0B0" w:rsidTr="0010095E">
        <w:trPr>
          <w:trHeight w:hRule="exact" w:val="1418"/>
        </w:trPr>
        <w:tc>
          <w:tcPr>
            <w:tcW w:w="6804" w:type="dxa"/>
            <w:shd w:val="clear" w:color="auto" w:fill="auto"/>
            <w:vAlign w:val="center"/>
          </w:tcPr>
          <w:p w:rsidR="00751A4A" w:rsidRPr="001920B0" w:rsidRDefault="001F051A" w:rsidP="0010095E">
            <w:pPr>
              <w:pStyle w:val="EPName"/>
            </w:pPr>
            <w:r w:rsidRPr="001920B0">
              <w:t>Eiropas Parlaments</w:t>
            </w:r>
          </w:p>
          <w:p w:rsidR="00751A4A" w:rsidRPr="001920B0" w:rsidRDefault="00817416" w:rsidP="00756632">
            <w:pPr>
              <w:pStyle w:val="EPTerm"/>
              <w:rPr>
                <w:rStyle w:val="HideTWBExt"/>
                <w:noProof w:val="0"/>
                <w:vanish w:val="0"/>
                <w:color w:val="auto"/>
              </w:rPr>
            </w:pPr>
            <w:r w:rsidRPr="008408DB">
              <w:t>2019</w:t>
            </w:r>
            <w:r w:rsidRPr="001920B0">
              <w:t>-</w:t>
            </w:r>
            <w:r w:rsidRPr="008408DB">
              <w:t>2024</w:t>
            </w:r>
          </w:p>
        </w:tc>
        <w:tc>
          <w:tcPr>
            <w:tcW w:w="2268" w:type="dxa"/>
            <w:shd w:val="clear" w:color="auto" w:fill="auto"/>
          </w:tcPr>
          <w:p w:rsidR="00751A4A" w:rsidRPr="001920B0" w:rsidRDefault="00187494" w:rsidP="0010095E">
            <w:pPr>
              <w:pStyle w:val="EPLogo"/>
            </w:pPr>
            <w:r w:rsidRPr="001920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920B0" w:rsidRDefault="00D058B8" w:rsidP="004C5D52">
      <w:pPr>
        <w:pStyle w:val="LineTop"/>
      </w:pPr>
    </w:p>
    <w:p w:rsidR="00680577" w:rsidRPr="001920B0" w:rsidRDefault="001F051A" w:rsidP="00680577">
      <w:pPr>
        <w:pStyle w:val="EPBodyTA1"/>
      </w:pPr>
      <w:r w:rsidRPr="001920B0">
        <w:t>PIEŅEMTIE TEKSTI</w:t>
      </w:r>
    </w:p>
    <w:p w:rsidR="00D058B8" w:rsidRPr="001920B0" w:rsidRDefault="00D058B8" w:rsidP="00D058B8">
      <w:pPr>
        <w:pStyle w:val="LineBottom"/>
      </w:pPr>
    </w:p>
    <w:p w:rsidR="001F051A" w:rsidRPr="001920B0" w:rsidRDefault="001F051A" w:rsidP="001F051A">
      <w:pPr>
        <w:pStyle w:val="ATHeading1"/>
      </w:pPr>
      <w:bookmarkStart w:id="0" w:name="TANumber"/>
      <w:r w:rsidRPr="001920B0">
        <w:t>P</w:t>
      </w:r>
      <w:r w:rsidRPr="008408DB">
        <w:t>9</w:t>
      </w:r>
      <w:r w:rsidRPr="001920B0">
        <w:t>_TA(</w:t>
      </w:r>
      <w:r w:rsidRPr="008408DB">
        <w:t>2024</w:t>
      </w:r>
      <w:r w:rsidRPr="001920B0">
        <w:t>)</w:t>
      </w:r>
      <w:bookmarkEnd w:id="0"/>
      <w:r w:rsidR="00936F09" w:rsidRPr="008408DB">
        <w:t>0005</w:t>
      </w:r>
    </w:p>
    <w:p w:rsidR="001F051A" w:rsidRPr="001920B0" w:rsidRDefault="009904EF" w:rsidP="009904EF">
      <w:pPr>
        <w:pStyle w:val="ATHeading2"/>
      </w:pPr>
      <w:r>
        <w:t xml:space="preserve">Ārkārtas tirdzniecības pasākumi tām valstīm un teritorijām, kas piedalās vai ir saistītas ar stabilizācijas un asociācijas procesu </w:t>
      </w:r>
    </w:p>
    <w:p w:rsidR="001F051A" w:rsidRPr="001920B0" w:rsidRDefault="001F051A" w:rsidP="001F051A">
      <w:pPr>
        <w:rPr>
          <w:i/>
          <w:vanish/>
        </w:rPr>
      </w:pPr>
      <w:r w:rsidRPr="001920B0">
        <w:rPr>
          <w:i/>
        </w:rPr>
        <w:fldChar w:fldCharType="begin"/>
      </w:r>
      <w:r w:rsidRPr="001920B0">
        <w:rPr>
          <w:i/>
        </w:rPr>
        <w:instrText xml:space="preserve"> TC"(</w:instrText>
      </w:r>
      <w:bookmarkStart w:id="1" w:name="DocNumber"/>
      <w:r w:rsidRPr="001920B0">
        <w:rPr>
          <w:i/>
        </w:rPr>
        <w:instrText>A</w:instrText>
      </w:r>
      <w:r w:rsidRPr="008408DB">
        <w:rPr>
          <w:i/>
        </w:rPr>
        <w:instrText>9</w:instrText>
      </w:r>
      <w:r w:rsidRPr="001920B0">
        <w:rPr>
          <w:i/>
        </w:rPr>
        <w:instrText>-</w:instrText>
      </w:r>
      <w:r w:rsidRPr="008408DB">
        <w:rPr>
          <w:i/>
        </w:rPr>
        <w:instrText>0001</w:instrText>
      </w:r>
      <w:r w:rsidRPr="001920B0">
        <w:rPr>
          <w:i/>
        </w:rPr>
        <w:instrText>/</w:instrText>
      </w:r>
      <w:r w:rsidRPr="008408DB">
        <w:rPr>
          <w:i/>
        </w:rPr>
        <w:instrText>2024</w:instrText>
      </w:r>
      <w:bookmarkEnd w:id="1"/>
      <w:r w:rsidRPr="001920B0">
        <w:rPr>
          <w:i/>
        </w:rPr>
        <w:instrText xml:space="preserve"> - Referente: Magdalena Adamowicz)"\l</w:instrText>
      </w:r>
      <w:r w:rsidRPr="008408DB">
        <w:rPr>
          <w:i/>
        </w:rPr>
        <w:instrText>3</w:instrText>
      </w:r>
      <w:r w:rsidRPr="001920B0">
        <w:rPr>
          <w:i/>
        </w:rPr>
        <w:instrText xml:space="preserve"> \n&gt; \* MERGEFORMAT </w:instrText>
      </w:r>
      <w:r w:rsidRPr="001920B0">
        <w:rPr>
          <w:i/>
        </w:rPr>
        <w:fldChar w:fldCharType="end"/>
      </w:r>
    </w:p>
    <w:p w:rsidR="001F051A" w:rsidRPr="001920B0" w:rsidRDefault="001F051A" w:rsidP="001F051A">
      <w:pPr>
        <w:rPr>
          <w:vanish/>
        </w:rPr>
      </w:pPr>
      <w:bookmarkStart w:id="2" w:name="Commission"/>
      <w:r w:rsidRPr="001920B0">
        <w:rPr>
          <w:vanish/>
        </w:rPr>
        <w:t>Juridiskā komiteja</w:t>
      </w:r>
      <w:bookmarkEnd w:id="2"/>
    </w:p>
    <w:p w:rsidR="001F051A" w:rsidRPr="001920B0" w:rsidRDefault="001F051A" w:rsidP="001F051A">
      <w:pPr>
        <w:rPr>
          <w:vanish/>
        </w:rPr>
      </w:pPr>
      <w:bookmarkStart w:id="3" w:name="PE"/>
      <w:r w:rsidRPr="001920B0">
        <w:rPr>
          <w:vanish/>
        </w:rPr>
        <w:t>PE</w:t>
      </w:r>
      <w:r w:rsidRPr="008408DB">
        <w:rPr>
          <w:vanish/>
        </w:rPr>
        <w:t>756</w:t>
      </w:r>
      <w:r w:rsidRPr="001920B0">
        <w:rPr>
          <w:vanish/>
        </w:rPr>
        <w:t>.</w:t>
      </w:r>
      <w:r w:rsidRPr="008408DB">
        <w:rPr>
          <w:vanish/>
        </w:rPr>
        <w:t>245</w:t>
      </w:r>
      <w:bookmarkEnd w:id="3"/>
    </w:p>
    <w:p w:rsidR="00904899" w:rsidRPr="001920B0" w:rsidRDefault="001F051A" w:rsidP="009904EF">
      <w:pPr>
        <w:pStyle w:val="ATHeading3"/>
      </w:pPr>
      <w:bookmarkStart w:id="4" w:name="Sujet"/>
      <w:r w:rsidRPr="001920B0">
        <w:t xml:space="preserve">Eiropas Parlamenta </w:t>
      </w:r>
      <w:r w:rsidRPr="008408DB">
        <w:t>2024</w:t>
      </w:r>
      <w:r w:rsidRPr="001920B0">
        <w:t xml:space="preserve">. gada </w:t>
      </w:r>
      <w:r w:rsidR="009904EF" w:rsidRPr="008408DB">
        <w:t>16</w:t>
      </w:r>
      <w:r w:rsidRPr="001920B0">
        <w:t xml:space="preserve">. </w:t>
      </w:r>
      <w:r w:rsidR="009904EF">
        <w:t>janvāra</w:t>
      </w:r>
      <w:r w:rsidRPr="001920B0">
        <w:t xml:space="preserve"> normatīvā rezolūcija par priekšlikumu Eiropas Parlamenta un Padomes regulai par ārkārtas tirdzniecības pasākumiem tām valstīm un teritorijām, kas piedalās vai ir saistītas ar stabilizācijas un asociācijas procesu (kodifikācija)</w:t>
      </w:r>
      <w:bookmarkEnd w:id="4"/>
      <w:r w:rsidRPr="001920B0">
        <w:t xml:space="preserve"> </w:t>
      </w:r>
      <w:bookmarkStart w:id="5" w:name="References"/>
      <w:r w:rsidRPr="001920B0">
        <w:t>(COM(</w:t>
      </w:r>
      <w:r w:rsidRPr="008408DB">
        <w:t>2022</w:t>
      </w:r>
      <w:r w:rsidRPr="001920B0">
        <w:t>)</w:t>
      </w:r>
      <w:r w:rsidRPr="008408DB">
        <w:t>0503</w:t>
      </w:r>
      <w:r w:rsidRPr="001920B0">
        <w:t xml:space="preserve"> – C</w:t>
      </w:r>
      <w:r w:rsidRPr="008408DB">
        <w:t>9</w:t>
      </w:r>
      <w:r w:rsidRPr="001920B0">
        <w:t>-</w:t>
      </w:r>
      <w:r w:rsidRPr="008408DB">
        <w:t>0323</w:t>
      </w:r>
      <w:r w:rsidRPr="001920B0">
        <w:t>/</w:t>
      </w:r>
      <w:r w:rsidRPr="008408DB">
        <w:t>2022</w:t>
      </w:r>
      <w:r w:rsidRPr="001920B0">
        <w:t xml:space="preserve"> – </w:t>
      </w:r>
      <w:r w:rsidRPr="008408DB">
        <w:t>2022</w:t>
      </w:r>
      <w:r w:rsidRPr="001920B0">
        <w:t>/</w:t>
      </w:r>
      <w:r w:rsidRPr="008408DB">
        <w:t>0304</w:t>
      </w:r>
      <w:r w:rsidRPr="001920B0">
        <w:t>(COD))</w:t>
      </w:r>
      <w:bookmarkStart w:id="6" w:name="TextBodyBegin"/>
      <w:bookmarkEnd w:id="5"/>
      <w:bookmarkEnd w:id="6"/>
    </w:p>
    <w:p w:rsidR="00904899" w:rsidRPr="001920B0" w:rsidRDefault="00904899" w:rsidP="00904899">
      <w:pPr>
        <w:pStyle w:val="NormalBold"/>
      </w:pPr>
      <w:r w:rsidRPr="001920B0">
        <w:t>(Parastā likumdošanas procedūra – kodifikācija)</w:t>
      </w:r>
    </w:p>
    <w:p w:rsidR="00904899" w:rsidRPr="001920B0" w:rsidRDefault="00904899" w:rsidP="00904899">
      <w:pPr>
        <w:pStyle w:val="EPComma"/>
      </w:pPr>
      <w:r w:rsidRPr="001920B0">
        <w:rPr>
          <w:i/>
        </w:rPr>
        <w:t>Eiropas Parlaments</w:t>
      </w:r>
      <w:r w:rsidRPr="001920B0">
        <w:t>,</w:t>
      </w:r>
    </w:p>
    <w:p w:rsidR="00904899" w:rsidRPr="001920B0" w:rsidRDefault="00904899" w:rsidP="00904899">
      <w:pPr>
        <w:pStyle w:val="NormalHanging12a"/>
      </w:pPr>
      <w:r w:rsidRPr="001920B0">
        <w:t>–</w:t>
      </w:r>
      <w:r w:rsidRPr="001920B0">
        <w:tab/>
        <w:t>ņemot vērā Komisijas priekšlikumu Eiropas Parlamentam un Padomei (COM(</w:t>
      </w:r>
      <w:r w:rsidRPr="008408DB">
        <w:t>2022</w:t>
      </w:r>
      <w:r w:rsidRPr="001920B0">
        <w:t>)</w:t>
      </w:r>
      <w:r w:rsidRPr="008408DB">
        <w:t>0503</w:t>
      </w:r>
      <w:r w:rsidRPr="001920B0">
        <w:t>),</w:t>
      </w:r>
    </w:p>
    <w:p w:rsidR="00904899" w:rsidRPr="001920B0" w:rsidRDefault="00904899" w:rsidP="00904899">
      <w:pPr>
        <w:pStyle w:val="NormalHanging12a"/>
      </w:pPr>
      <w:r w:rsidRPr="001920B0">
        <w:t>–</w:t>
      </w:r>
      <w:r w:rsidRPr="001920B0">
        <w:tab/>
        <w:t xml:space="preserve">ņemot vērā Līguma par Eiropas Savienības darbību </w:t>
      </w:r>
      <w:r w:rsidRPr="008408DB">
        <w:t>294</w:t>
      </w:r>
      <w:r w:rsidRPr="001920B0">
        <w:t xml:space="preserve">. panta </w:t>
      </w:r>
      <w:r w:rsidRPr="008408DB">
        <w:t>2</w:t>
      </w:r>
      <w:r w:rsidRPr="001920B0">
        <w:t xml:space="preserve">. punktu un </w:t>
      </w:r>
      <w:r w:rsidRPr="008408DB">
        <w:t>207</w:t>
      </w:r>
      <w:r w:rsidRPr="001920B0">
        <w:t xml:space="preserve">. panta </w:t>
      </w:r>
      <w:r w:rsidRPr="008408DB">
        <w:t>2</w:t>
      </w:r>
      <w:r w:rsidRPr="001920B0">
        <w:t>. punktu, saskaņā ar kuriem Komisija tam ir iesniegusi priekšlikumu (C</w:t>
      </w:r>
      <w:r w:rsidRPr="008408DB">
        <w:t>9</w:t>
      </w:r>
      <w:r w:rsidRPr="001920B0">
        <w:noBreakHyphen/>
      </w:r>
      <w:r w:rsidRPr="008408DB">
        <w:t>0323</w:t>
      </w:r>
      <w:r w:rsidRPr="001920B0">
        <w:t>/</w:t>
      </w:r>
      <w:r w:rsidRPr="008408DB">
        <w:t>2022</w:t>
      </w:r>
      <w:r w:rsidRPr="001920B0">
        <w:t>),</w:t>
      </w:r>
    </w:p>
    <w:p w:rsidR="00904899" w:rsidRPr="001920B0" w:rsidRDefault="00904899" w:rsidP="00904899">
      <w:pPr>
        <w:pStyle w:val="NormalHanging12a"/>
      </w:pPr>
      <w:r w:rsidRPr="001920B0">
        <w:t>–</w:t>
      </w:r>
      <w:r w:rsidRPr="001920B0">
        <w:tab/>
        <w:t xml:space="preserve">ņemot vērā Līguma par Eiropas Savienības darbību </w:t>
      </w:r>
      <w:r w:rsidRPr="008408DB">
        <w:t>294</w:t>
      </w:r>
      <w:r w:rsidRPr="001920B0">
        <w:t xml:space="preserve">. panta </w:t>
      </w:r>
      <w:r w:rsidRPr="008408DB">
        <w:t>3</w:t>
      </w:r>
      <w:r w:rsidRPr="001920B0">
        <w:t>. punktu,</w:t>
      </w:r>
    </w:p>
    <w:p w:rsidR="00904899" w:rsidRPr="001920B0" w:rsidRDefault="00904899" w:rsidP="00904899">
      <w:pPr>
        <w:pStyle w:val="NormalHanging12a"/>
      </w:pPr>
      <w:r w:rsidRPr="001920B0">
        <w:t>–</w:t>
      </w:r>
      <w:r w:rsidRPr="001920B0">
        <w:tab/>
        <w:t xml:space="preserve">ņemot vērā </w:t>
      </w:r>
      <w:r w:rsidRPr="008408DB">
        <w:t>1994</w:t>
      </w:r>
      <w:r w:rsidRPr="001920B0">
        <w:t xml:space="preserve">. gada </w:t>
      </w:r>
      <w:r w:rsidRPr="008408DB">
        <w:t>20</w:t>
      </w:r>
      <w:r w:rsidRPr="001920B0">
        <w:t>. decembra Iestāžu nolīgumu “Paātrināta darba metode tiesību aktu oficiālai kodifikācijai”</w:t>
      </w:r>
      <w:r w:rsidRPr="001920B0">
        <w:rPr>
          <w:rStyle w:val="FootnoteReference"/>
        </w:rPr>
        <w:footnoteReference w:id="1"/>
      </w:r>
      <w:r w:rsidRPr="001920B0">
        <w:t>,</w:t>
      </w:r>
    </w:p>
    <w:p w:rsidR="00904899" w:rsidRPr="001920B0" w:rsidRDefault="00904899" w:rsidP="00904899">
      <w:pPr>
        <w:pStyle w:val="NormalHanging12a"/>
      </w:pPr>
      <w:r w:rsidRPr="001920B0">
        <w:t>–</w:t>
      </w:r>
      <w:r w:rsidRPr="001920B0">
        <w:tab/>
        <w:t xml:space="preserve">ņemot vērā Reglamenta </w:t>
      </w:r>
      <w:r w:rsidRPr="008408DB">
        <w:t>109</w:t>
      </w:r>
      <w:r w:rsidRPr="001920B0">
        <w:t xml:space="preserve">. un </w:t>
      </w:r>
      <w:r w:rsidRPr="008408DB">
        <w:t>59</w:t>
      </w:r>
      <w:r w:rsidRPr="001920B0">
        <w:t>. pantu,</w:t>
      </w:r>
    </w:p>
    <w:p w:rsidR="00904899" w:rsidRPr="001920B0" w:rsidRDefault="00904899" w:rsidP="00904899">
      <w:pPr>
        <w:pStyle w:val="NormalHanging12a"/>
      </w:pPr>
      <w:r w:rsidRPr="001920B0">
        <w:t>–</w:t>
      </w:r>
      <w:r w:rsidRPr="001920B0">
        <w:tab/>
        <w:t>ņemot vērā Ārlietu komitejas ziņojumu (A</w:t>
      </w:r>
      <w:r w:rsidRPr="008408DB">
        <w:t>9</w:t>
      </w:r>
      <w:r w:rsidRPr="001920B0">
        <w:noBreakHyphen/>
      </w:r>
      <w:r w:rsidRPr="008408DB">
        <w:t>0001</w:t>
      </w:r>
      <w:r w:rsidRPr="001920B0">
        <w:t>/</w:t>
      </w:r>
      <w:r w:rsidRPr="008408DB">
        <w:t>2024</w:t>
      </w:r>
      <w:r w:rsidRPr="001920B0">
        <w:t>),</w:t>
      </w:r>
    </w:p>
    <w:p w:rsidR="00904899" w:rsidRPr="001920B0" w:rsidRDefault="00904899" w:rsidP="00904899">
      <w:pPr>
        <w:pStyle w:val="NormalHanging12a"/>
      </w:pPr>
      <w:r w:rsidRPr="001920B0">
        <w:t>A.</w:t>
      </w:r>
      <w:r w:rsidRPr="001920B0">
        <w:tab/>
        <w:t>tā kā Eiropas Parlamenta, Padomes un Komisijas juridisko dienestu konsultatīvās darba grupas atzinumā teikts, ka šajā priekšlikumā ir paredzēta tikai spēkā esošo aktu kodifikācija, negrozot to būtību;</w:t>
      </w:r>
    </w:p>
    <w:p w:rsidR="00904899" w:rsidRPr="001920B0" w:rsidRDefault="00904899" w:rsidP="00904899">
      <w:pPr>
        <w:pStyle w:val="NormalHanging12a"/>
      </w:pPr>
      <w:r w:rsidRPr="008408DB">
        <w:t>1</w:t>
      </w:r>
      <w:r w:rsidRPr="001920B0">
        <w:t>.</w:t>
      </w:r>
      <w:r w:rsidRPr="001920B0">
        <w:tab/>
      </w:r>
      <w:r w:rsidR="009904EF" w:rsidRPr="009904EF">
        <w:t>pieņem pirmajā lasījumā turpmāk izklāstīto nostāju;</w:t>
      </w:r>
    </w:p>
    <w:p w:rsidR="00904899" w:rsidRPr="001920B0" w:rsidRDefault="00904899" w:rsidP="009904EF">
      <w:pPr>
        <w:pStyle w:val="NormalHanging12a"/>
      </w:pPr>
      <w:r w:rsidRPr="008408DB">
        <w:t>2</w:t>
      </w:r>
      <w:r w:rsidRPr="001920B0">
        <w:t>.</w:t>
      </w:r>
      <w:r w:rsidRPr="001920B0">
        <w:tab/>
        <w:t xml:space="preserve">uzdod priekšsēdētājai Parlamenta nostāju nosūtīt Padomei un Komisijai, kā arī </w:t>
      </w:r>
      <w:r w:rsidRPr="001920B0">
        <w:lastRenderedPageBreak/>
        <w:t>dalībvalstu parlamentiem.</w:t>
      </w:r>
    </w:p>
    <w:p w:rsidR="009904EF" w:rsidRDefault="009904EF" w:rsidP="009904EF">
      <w:pPr>
        <w:widowControl/>
        <w:spacing w:before="360"/>
        <w:jc w:val="center"/>
      </w:pPr>
      <w:bookmarkStart w:id="7" w:name="TextBodyEnd"/>
      <w:bookmarkEnd w:id="7"/>
    </w:p>
    <w:p w:rsidR="00936F09" w:rsidRDefault="00936F09" w:rsidP="009904EF">
      <w:pPr>
        <w:autoSpaceDE w:val="0"/>
        <w:autoSpaceDN w:val="0"/>
        <w:adjustRightInd w:val="0"/>
        <w:spacing w:after="240"/>
        <w:rPr>
          <w:b/>
          <w:bCs/>
          <w:color w:val="000000"/>
        </w:rPr>
        <w:sectPr w:rsidR="00936F09" w:rsidSect="001920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904EF" w:rsidRPr="000851D7" w:rsidRDefault="009904EF" w:rsidP="009904EF">
      <w:pPr>
        <w:autoSpaceDE w:val="0"/>
        <w:autoSpaceDN w:val="0"/>
        <w:adjustRightInd w:val="0"/>
        <w:spacing w:after="240"/>
        <w:rPr>
          <w:b/>
          <w:bCs/>
          <w:color w:val="000000"/>
        </w:rPr>
      </w:pPr>
      <w:r w:rsidRPr="00FD072E">
        <w:rPr>
          <w:b/>
          <w:bCs/>
          <w:color w:val="000000"/>
        </w:rPr>
        <w:lastRenderedPageBreak/>
        <w:t>P</w:t>
      </w:r>
      <w:r w:rsidRPr="008408DB">
        <w:rPr>
          <w:b/>
          <w:bCs/>
          <w:color w:val="000000"/>
        </w:rPr>
        <w:t>9</w:t>
      </w:r>
      <w:r w:rsidRPr="00FD072E">
        <w:rPr>
          <w:b/>
          <w:bCs/>
          <w:color w:val="000000"/>
        </w:rPr>
        <w:t>_</w:t>
      </w:r>
      <w:r w:rsidRPr="000851D7">
        <w:rPr>
          <w:b/>
          <w:bCs/>
          <w:color w:val="000000"/>
        </w:rPr>
        <w:t>TC</w:t>
      </w:r>
      <w:r w:rsidRPr="008408DB">
        <w:rPr>
          <w:b/>
          <w:bCs/>
          <w:color w:val="000000"/>
        </w:rPr>
        <w:t>1</w:t>
      </w:r>
      <w:r w:rsidRPr="000851D7">
        <w:rPr>
          <w:b/>
          <w:bCs/>
          <w:color w:val="000000"/>
        </w:rPr>
        <w:t>-COD(</w:t>
      </w:r>
      <w:r w:rsidRPr="008408DB">
        <w:rPr>
          <w:b/>
          <w:bCs/>
          <w:color w:val="000000"/>
        </w:rPr>
        <w:t>2022</w:t>
      </w:r>
      <w:r w:rsidRPr="000851D7">
        <w:rPr>
          <w:b/>
          <w:bCs/>
          <w:color w:val="000000"/>
        </w:rPr>
        <w:t>)</w:t>
      </w:r>
      <w:r w:rsidRPr="008408DB">
        <w:rPr>
          <w:b/>
          <w:bCs/>
          <w:color w:val="000000"/>
        </w:rPr>
        <w:t>0304</w:t>
      </w:r>
    </w:p>
    <w:p w:rsidR="009904EF" w:rsidRDefault="00186C46" w:rsidP="00936F09">
      <w:pPr>
        <w:autoSpaceDE w:val="0"/>
        <w:autoSpaceDN w:val="0"/>
        <w:adjustRightInd w:val="0"/>
        <w:spacing w:before="120" w:after="120"/>
        <w:rPr>
          <w:rFonts w:eastAsia="Calibri"/>
          <w:b/>
          <w:szCs w:val="22"/>
          <w:lang w:eastAsia="en-US"/>
        </w:rPr>
      </w:pPr>
      <w:r>
        <w:rPr>
          <w:b/>
        </w:rPr>
        <w:t xml:space="preserve">Eiropas Parlamenta nostāja, pieņemta pirmajā lasījumā </w:t>
      </w:r>
      <w:r w:rsidRPr="008408DB">
        <w:rPr>
          <w:b/>
        </w:rPr>
        <w:t>2024</w:t>
      </w:r>
      <w:r>
        <w:rPr>
          <w:b/>
        </w:rPr>
        <w:t xml:space="preserve">. gada </w:t>
      </w:r>
      <w:r w:rsidRPr="008408DB">
        <w:rPr>
          <w:b/>
        </w:rPr>
        <w:t>16</w:t>
      </w:r>
      <w:r>
        <w:rPr>
          <w:b/>
        </w:rPr>
        <w:t xml:space="preserve">. janvārī, lai pieņemtu Eiropas Parlamenta un Padomes Regulu (ES) </w:t>
      </w:r>
      <w:r w:rsidRPr="008408DB">
        <w:rPr>
          <w:b/>
        </w:rPr>
        <w:t>2024</w:t>
      </w:r>
      <w:r>
        <w:rPr>
          <w:b/>
        </w:rPr>
        <w:t>/...</w:t>
      </w:r>
      <w:bookmarkStart w:id="8" w:name="_DV_M1"/>
      <w:bookmarkStart w:id="9" w:name="_DV_M2"/>
      <w:bookmarkEnd w:id="8"/>
      <w:bookmarkEnd w:id="9"/>
      <w:r>
        <w:rPr>
          <w:b/>
        </w:rPr>
        <w:t xml:space="preserve"> </w:t>
      </w:r>
      <w:r w:rsidR="00A73310">
        <w:rPr>
          <w:b/>
          <w:bCs/>
          <w:color w:val="000000"/>
          <w:shd w:val="clear" w:color="auto" w:fill="FFFFFF"/>
        </w:rPr>
        <w:t>par ārkārtas tirdzniecības pasākumiem tām valstīm un teritorijām, kas piedalās vai ir saistītas ar stabilizācijas un asociācijas procesu</w:t>
      </w:r>
      <w:r w:rsidR="009904EF" w:rsidRPr="009904EF">
        <w:rPr>
          <w:rFonts w:eastAsia="Calibri"/>
          <w:b/>
          <w:szCs w:val="22"/>
          <w:lang w:eastAsia="en-US"/>
        </w:rPr>
        <w:t xml:space="preserve"> (kodifikācija)</w:t>
      </w:r>
    </w:p>
    <w:p w:rsidR="00A73310" w:rsidRDefault="00A73310" w:rsidP="00A73310">
      <w:pPr>
        <w:rPr>
          <w:i/>
        </w:rPr>
      </w:pPr>
      <w:r w:rsidRPr="003E6639">
        <w:rPr>
          <w:i/>
        </w:rPr>
        <w:t xml:space="preserve">(Tā kā starp Parlamentu un Padomi tika panākta vienošanās, Parlamenta nostāja atbilst galīgajam tiesību aktam Regulai </w:t>
      </w:r>
      <w:r w:rsidRPr="00A73310">
        <w:rPr>
          <w:i/>
        </w:rPr>
        <w:t>(ES) 2024/823.)</w:t>
      </w:r>
    </w:p>
    <w:p w:rsidR="00A73310" w:rsidRPr="009904EF" w:rsidRDefault="00A73310" w:rsidP="00936F09">
      <w:pPr>
        <w:autoSpaceDE w:val="0"/>
        <w:autoSpaceDN w:val="0"/>
        <w:adjustRightInd w:val="0"/>
        <w:spacing w:before="120" w:after="120"/>
        <w:rPr>
          <w:rFonts w:eastAsia="Calibri"/>
          <w:b/>
          <w:szCs w:val="22"/>
          <w:lang w:eastAsia="en-US"/>
        </w:rPr>
      </w:pPr>
      <w:bookmarkStart w:id="10" w:name="_GoBack"/>
      <w:bookmarkEnd w:id="10"/>
    </w:p>
    <w:sectPr w:rsidR="00A73310" w:rsidRPr="009904EF" w:rsidSect="001920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51A" w:rsidRPr="001920B0" w:rsidRDefault="001F051A">
      <w:r w:rsidRPr="001920B0">
        <w:separator/>
      </w:r>
    </w:p>
  </w:endnote>
  <w:endnote w:type="continuationSeparator" w:id="0">
    <w:p w:rsidR="001F051A" w:rsidRPr="001920B0" w:rsidRDefault="001F051A">
      <w:r w:rsidRPr="00192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51A" w:rsidRPr="001920B0" w:rsidRDefault="001F051A">
      <w:r w:rsidRPr="001920B0">
        <w:separator/>
      </w:r>
    </w:p>
  </w:footnote>
  <w:footnote w:type="continuationSeparator" w:id="0">
    <w:p w:rsidR="001F051A" w:rsidRPr="001920B0" w:rsidRDefault="001F051A">
      <w:r w:rsidRPr="001920B0">
        <w:continuationSeparator/>
      </w:r>
    </w:p>
  </w:footnote>
  <w:footnote w:id="1">
    <w:p w:rsidR="00904899" w:rsidRPr="001920B0" w:rsidRDefault="00904899" w:rsidP="001920B0">
      <w:pPr>
        <w:pStyle w:val="FootnoteText"/>
        <w:ind w:left="567" w:hanging="567"/>
        <w:rPr>
          <w:sz w:val="24"/>
          <w:lang w:val="lv-LV"/>
        </w:rPr>
      </w:pPr>
      <w:r w:rsidRPr="001920B0">
        <w:rPr>
          <w:rStyle w:val="FootnoteReference"/>
          <w:sz w:val="24"/>
          <w:lang w:val="lv-LV"/>
        </w:rPr>
        <w:footnoteRef/>
      </w:r>
      <w:r w:rsidR="001920B0" w:rsidRPr="001920B0">
        <w:rPr>
          <w:sz w:val="24"/>
          <w:lang w:val="lv-LV"/>
        </w:rPr>
        <w:t xml:space="preserve"> </w:t>
      </w:r>
      <w:r w:rsidR="001920B0" w:rsidRPr="001920B0">
        <w:rPr>
          <w:sz w:val="24"/>
          <w:lang w:val="lv-LV"/>
        </w:rPr>
        <w:tab/>
      </w:r>
      <w:r w:rsidRPr="001920B0">
        <w:rPr>
          <w:sz w:val="24"/>
          <w:lang w:val="lv-LV"/>
        </w:rPr>
        <w:t xml:space="preserve">OV C </w:t>
      </w:r>
      <w:r w:rsidRPr="008408DB">
        <w:rPr>
          <w:sz w:val="24"/>
          <w:lang w:val="lv-LV"/>
        </w:rPr>
        <w:t>102</w:t>
      </w:r>
      <w:r w:rsidRPr="001920B0">
        <w:rPr>
          <w:sz w:val="24"/>
          <w:lang w:val="lv-LV"/>
        </w:rPr>
        <w:t xml:space="preserve">, </w:t>
      </w:r>
      <w:r w:rsidRPr="008408DB">
        <w:rPr>
          <w:sz w:val="24"/>
          <w:lang w:val="lv-LV"/>
        </w:rPr>
        <w:t>4</w:t>
      </w:r>
      <w:r w:rsidRPr="001920B0">
        <w:rPr>
          <w:sz w:val="24"/>
          <w:lang w:val="lv-LV"/>
        </w:rPr>
        <w:t>.</w:t>
      </w:r>
      <w:r w:rsidRPr="008408DB">
        <w:rPr>
          <w:sz w:val="24"/>
          <w:lang w:val="lv-LV"/>
        </w:rPr>
        <w:t>4</w:t>
      </w:r>
      <w:r w:rsidRPr="001920B0">
        <w:rPr>
          <w:sz w:val="24"/>
          <w:lang w:val="lv-LV"/>
        </w:rPr>
        <w:t>.</w:t>
      </w:r>
      <w:r w:rsidRPr="008408DB">
        <w:rPr>
          <w:sz w:val="24"/>
          <w:lang w:val="lv-LV"/>
        </w:rPr>
        <w:t>1996</w:t>
      </w:r>
      <w:r w:rsidRPr="001920B0">
        <w:rPr>
          <w:sz w:val="24"/>
          <w:lang w:val="lv-LV"/>
        </w:rPr>
        <w:t xml:space="preserve">., </w:t>
      </w:r>
      <w:r w:rsidRPr="008408DB">
        <w:rPr>
          <w:sz w:val="24"/>
          <w:lang w:val="lv-LV"/>
        </w:rPr>
        <w:t>2</w:t>
      </w:r>
      <w:r w:rsidRPr="001920B0">
        <w:rPr>
          <w:sz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0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1/2024"/>
    <w:docVar w:name="dvlangue" w:val="LV"/>
    <w:docVar w:name="dvnumam" w:val="0"/>
    <w:docVar w:name="dvpe" w:val="756.245"/>
    <w:docVar w:name="dvrapporteur" w:val="Referente: "/>
    <w:docVar w:name="dvstar" w:val="***I"/>
    <w:docVar w:name="dvtitre" w:val="Eiropas Parlamenta 2024. gada XX. XXX normatīvā rezolūcija par priekšlikumu Eiropas Parlamenta un Padomes regulai par ārkārtas tirdzniecības pasākumiem tām valstīm un teritorijām, kas piedalās vai ir saistītas ar stabilizācijas un asociācijas procesu (kodifikācija)(COM(2022)0503 – C9-0323/2022 – 2022/0304(COD))"/>
  </w:docVars>
  <w:rsids>
    <w:rsidRoot w:val="001F051A"/>
    <w:rsid w:val="00002272"/>
    <w:rsid w:val="00064002"/>
    <w:rsid w:val="000677B9"/>
    <w:rsid w:val="000831BA"/>
    <w:rsid w:val="000A42CC"/>
    <w:rsid w:val="000E7DD9"/>
    <w:rsid w:val="0010095E"/>
    <w:rsid w:val="00125B37"/>
    <w:rsid w:val="00186C46"/>
    <w:rsid w:val="00187494"/>
    <w:rsid w:val="001920B0"/>
    <w:rsid w:val="001F051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59F"/>
    <w:rsid w:val="00727DCC"/>
    <w:rsid w:val="00731ADD"/>
    <w:rsid w:val="00734777"/>
    <w:rsid w:val="00747932"/>
    <w:rsid w:val="00751A4A"/>
    <w:rsid w:val="00756632"/>
    <w:rsid w:val="00762C74"/>
    <w:rsid w:val="00786EC0"/>
    <w:rsid w:val="007D1690"/>
    <w:rsid w:val="007E22AD"/>
    <w:rsid w:val="00817416"/>
    <w:rsid w:val="008408DB"/>
    <w:rsid w:val="00842779"/>
    <w:rsid w:val="00865F67"/>
    <w:rsid w:val="00881A7B"/>
    <w:rsid w:val="008840E5"/>
    <w:rsid w:val="00887B3E"/>
    <w:rsid w:val="008C2AC6"/>
    <w:rsid w:val="00904899"/>
    <w:rsid w:val="00930C23"/>
    <w:rsid w:val="0093193B"/>
    <w:rsid w:val="00936F09"/>
    <w:rsid w:val="009509D8"/>
    <w:rsid w:val="00950B64"/>
    <w:rsid w:val="00981893"/>
    <w:rsid w:val="009904EF"/>
    <w:rsid w:val="00A1687D"/>
    <w:rsid w:val="00A43E52"/>
    <w:rsid w:val="00A4678D"/>
    <w:rsid w:val="00A7331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C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C8AA8"/>
  <w15:chartTrackingRefBased/>
  <w15:docId w15:val="{F3C0F637-2096-485C-A099-47771872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04899"/>
    <w:rPr>
      <w:b/>
    </w:rPr>
  </w:style>
  <w:style w:type="paragraph" w:customStyle="1" w:styleId="NormalBold12a">
    <w:name w:val="NormalBold12a"/>
    <w:basedOn w:val="Normal"/>
    <w:rsid w:val="00904899"/>
    <w:pPr>
      <w:spacing w:after="240"/>
    </w:pPr>
    <w:rPr>
      <w:b/>
    </w:rPr>
  </w:style>
  <w:style w:type="paragraph" w:customStyle="1" w:styleId="NormalHanging12a">
    <w:name w:val="NormalHanging12a"/>
    <w:basedOn w:val="Normal"/>
    <w:rsid w:val="00904899"/>
    <w:pPr>
      <w:spacing w:after="240"/>
      <w:ind w:left="567" w:hanging="567"/>
    </w:pPr>
  </w:style>
  <w:style w:type="paragraph" w:customStyle="1" w:styleId="EPComma">
    <w:name w:val="EPComma"/>
    <w:basedOn w:val="Normal"/>
    <w:rsid w:val="00904899"/>
    <w:pPr>
      <w:spacing w:before="480" w:after="240"/>
    </w:pPr>
  </w:style>
  <w:style w:type="table" w:customStyle="1" w:styleId="TableGrid1">
    <w:name w:val="Table Grid1"/>
    <w:basedOn w:val="TableNormal"/>
    <w:next w:val="TableGrid"/>
    <w:uiPriority w:val="59"/>
    <w:rsid w:val="009904EF"/>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904EF"/>
    <w:rPr>
      <w:rFonts w:ascii="Segoe UI" w:hAnsi="Segoe UI" w:cs="Segoe UI"/>
      <w:sz w:val="18"/>
      <w:szCs w:val="18"/>
    </w:rPr>
  </w:style>
  <w:style w:type="character" w:customStyle="1" w:styleId="BalloonTextChar">
    <w:name w:val="Balloon Text Char"/>
    <w:basedOn w:val="DefaultParagraphFont"/>
    <w:link w:val="BalloonText"/>
    <w:rsid w:val="009904EF"/>
    <w:rPr>
      <w:rFonts w:ascii="Segoe UI" w:hAnsi="Segoe UI" w:cs="Segoe UI"/>
      <w:sz w:val="18"/>
      <w:szCs w:val="18"/>
      <w:lang w:val="lv-LV"/>
    </w:rPr>
  </w:style>
  <w:style w:type="character" w:styleId="CommentReference">
    <w:name w:val="annotation reference"/>
    <w:basedOn w:val="DefaultParagraphFont"/>
    <w:rsid w:val="00A73310"/>
    <w:rPr>
      <w:sz w:val="16"/>
      <w:szCs w:val="16"/>
    </w:rPr>
  </w:style>
  <w:style w:type="paragraph" w:styleId="CommentText">
    <w:name w:val="annotation text"/>
    <w:basedOn w:val="Normal"/>
    <w:link w:val="CommentTextChar"/>
    <w:rsid w:val="00A73310"/>
    <w:rPr>
      <w:sz w:val="20"/>
      <w:lang w:val="en-GB"/>
    </w:rPr>
  </w:style>
  <w:style w:type="character" w:customStyle="1" w:styleId="CommentTextChar">
    <w:name w:val="Comment Text Char"/>
    <w:basedOn w:val="DefaultParagraphFont"/>
    <w:link w:val="CommentText"/>
    <w:rsid w:val="00A73310"/>
  </w:style>
  <w:style w:type="character" w:styleId="Hyperlink">
    <w:name w:val="Hyperlink"/>
    <w:basedOn w:val="DefaultParagraphFont"/>
    <w:rsid w:val="00A73310"/>
    <w:rPr>
      <w:color w:val="0563C1" w:themeColor="hyperlink"/>
      <w:u w:val="single"/>
    </w:rPr>
  </w:style>
  <w:style w:type="character" w:styleId="FollowedHyperlink">
    <w:name w:val="FollowedHyperlink"/>
    <w:basedOn w:val="DefaultParagraphFont"/>
    <w:rsid w:val="00A73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6AC76-EE16-4E0B-BC54-E2A78B662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245</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2024-05-22T08:42:00Z</dcterms:created>
  <dcterms:modified xsi:type="dcterms:W3CDTF">2024-05-22T08:42:00Z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P9_TA(2024)0005_</vt:lpwstr>
  </property>
  <property fmtid="{D5CDD505-2E9C-101B-9397-08002B2CF9AE}" pid="4" name="&lt;Type&gt;">
    <vt:lpwstr>RR</vt:lpwstr>
  </property>
</Properties>
</file>