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7571" w:rsidTr="0010095E">
        <w:trPr>
          <w:trHeight w:hRule="exact" w:val="1418"/>
        </w:trPr>
        <w:tc>
          <w:tcPr>
            <w:tcW w:w="6804" w:type="dxa"/>
            <w:shd w:val="clear" w:color="auto" w:fill="auto"/>
            <w:vAlign w:val="center"/>
          </w:tcPr>
          <w:p w:rsidR="00751A4A" w:rsidRPr="00777571" w:rsidRDefault="00ED27E9" w:rsidP="0010095E">
            <w:pPr>
              <w:pStyle w:val="EPName"/>
            </w:pPr>
            <w:r w:rsidRPr="00777571">
              <w:t>Ευρωπαϊκό Κοινοβούλιο</w:t>
            </w:r>
          </w:p>
          <w:p w:rsidR="00751A4A" w:rsidRPr="00777571" w:rsidRDefault="00817416" w:rsidP="00756632">
            <w:pPr>
              <w:pStyle w:val="EPTerm"/>
              <w:rPr>
                <w:rStyle w:val="HideTWBExt"/>
                <w:noProof w:val="0"/>
                <w:vanish w:val="0"/>
                <w:color w:val="auto"/>
              </w:rPr>
            </w:pPr>
            <w:r w:rsidRPr="00777571">
              <w:t>2019-2024</w:t>
            </w:r>
          </w:p>
        </w:tc>
        <w:tc>
          <w:tcPr>
            <w:tcW w:w="2268" w:type="dxa"/>
            <w:shd w:val="clear" w:color="auto" w:fill="auto"/>
          </w:tcPr>
          <w:p w:rsidR="00751A4A" w:rsidRPr="00777571" w:rsidRDefault="00187494" w:rsidP="0010095E">
            <w:pPr>
              <w:pStyle w:val="EPLogo"/>
            </w:pPr>
            <w:r w:rsidRPr="007775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7571" w:rsidRDefault="00D058B8" w:rsidP="004C5D52">
      <w:pPr>
        <w:pStyle w:val="LineTop"/>
      </w:pPr>
    </w:p>
    <w:p w:rsidR="00680577" w:rsidRPr="00777571" w:rsidRDefault="00ED27E9" w:rsidP="00680577">
      <w:pPr>
        <w:pStyle w:val="EPBodyTA1"/>
      </w:pPr>
      <w:r w:rsidRPr="00777571">
        <w:t>ΚΕΙΜΕΝΑ ΠΟΥ ΕΓΚΡΙΘΗΚΑΝ</w:t>
      </w:r>
    </w:p>
    <w:p w:rsidR="00D058B8" w:rsidRPr="00777571" w:rsidRDefault="00D058B8" w:rsidP="00D058B8">
      <w:pPr>
        <w:pStyle w:val="LineBottom"/>
      </w:pPr>
    </w:p>
    <w:p w:rsidR="00ED27E9" w:rsidRPr="00777571" w:rsidRDefault="00ED27E9" w:rsidP="00ED27E9">
      <w:pPr>
        <w:pStyle w:val="ATHeading1"/>
      </w:pPr>
      <w:bookmarkStart w:id="0" w:name="TANumber"/>
      <w:r w:rsidRPr="00777571">
        <w:t>P9_TA(2024)000</w:t>
      </w:r>
      <w:r w:rsidR="00B92B83" w:rsidRPr="00777571">
        <w:t>6</w:t>
      </w:r>
      <w:bookmarkEnd w:id="0"/>
    </w:p>
    <w:p w:rsidR="00ED27E9" w:rsidRPr="00777571" w:rsidRDefault="00686751" w:rsidP="00686751">
      <w:pPr>
        <w:pStyle w:val="ATHeading2"/>
      </w:pPr>
      <w:bookmarkStart w:id="1" w:name="title"/>
      <w:r w:rsidRPr="00777571">
        <w:t>Ευνοϊκή μεταχείριση του χρέους έναντι του μετοχικού κεφαλαίου και περιορισμός της δυνατότητας έκπτωσης τόκων για σκοπούς φόρου εισοδήματος εταιρειών</w:t>
      </w:r>
      <w:bookmarkEnd w:id="1"/>
    </w:p>
    <w:p w:rsidR="00ED27E9" w:rsidRPr="00777571" w:rsidRDefault="00ED27E9" w:rsidP="00ED27E9">
      <w:pPr>
        <w:rPr>
          <w:i/>
          <w:vanish/>
        </w:rPr>
      </w:pPr>
      <w:r w:rsidRPr="00777571">
        <w:rPr>
          <w:i/>
        </w:rPr>
        <w:fldChar w:fldCharType="begin"/>
      </w:r>
      <w:r w:rsidRPr="00777571">
        <w:rPr>
          <w:i/>
        </w:rPr>
        <w:instrText xml:space="preserve"> TC"(</w:instrText>
      </w:r>
      <w:bookmarkStart w:id="2" w:name="DocNumber"/>
      <w:r w:rsidRPr="00777571">
        <w:rPr>
          <w:i/>
        </w:rPr>
        <w:instrText>A9-0387/2023</w:instrText>
      </w:r>
      <w:bookmarkEnd w:id="2"/>
      <w:r w:rsidRPr="00777571">
        <w:rPr>
          <w:i/>
        </w:rPr>
        <w:instrText xml:space="preserve"> - Εισηγητής: Luděk Niedermayer)"\l3 \n&gt; \* MERGEFORMAT </w:instrText>
      </w:r>
      <w:r w:rsidRPr="00777571">
        <w:rPr>
          <w:i/>
        </w:rPr>
        <w:fldChar w:fldCharType="end"/>
      </w:r>
    </w:p>
    <w:p w:rsidR="00ED27E9" w:rsidRPr="00777571" w:rsidRDefault="00ED27E9" w:rsidP="00ED27E9">
      <w:pPr>
        <w:rPr>
          <w:vanish/>
        </w:rPr>
      </w:pPr>
      <w:bookmarkStart w:id="3" w:name="Commission"/>
      <w:r w:rsidRPr="00777571">
        <w:rPr>
          <w:vanish/>
        </w:rPr>
        <w:t>Επιτροπή Οικονομικής και Νομισματικής Πολιτικής</w:t>
      </w:r>
      <w:bookmarkEnd w:id="3"/>
    </w:p>
    <w:p w:rsidR="00ED27E9" w:rsidRPr="00777571" w:rsidRDefault="00ED27E9" w:rsidP="00ED27E9">
      <w:pPr>
        <w:rPr>
          <w:vanish/>
        </w:rPr>
      </w:pPr>
      <w:bookmarkStart w:id="4" w:name="PE"/>
      <w:r w:rsidRPr="00777571">
        <w:rPr>
          <w:vanish/>
        </w:rPr>
        <w:t>PE738.463</w:t>
      </w:r>
      <w:bookmarkEnd w:id="4"/>
    </w:p>
    <w:p w:rsidR="00ED27E9" w:rsidRPr="00777571" w:rsidRDefault="00ED27E9" w:rsidP="00ED27E9">
      <w:pPr>
        <w:pStyle w:val="ATHeading3"/>
      </w:pPr>
      <w:bookmarkStart w:id="5" w:name="Sujet"/>
      <w:r w:rsidRPr="00777571">
        <w:t xml:space="preserve">Νομοθετικό ψήφισμα του Ευρωπαϊκού Κοινοβουλίου </w:t>
      </w:r>
      <w:r w:rsidR="006B6294" w:rsidRPr="00777571">
        <w:t xml:space="preserve">της </w:t>
      </w:r>
      <w:r w:rsidR="00686751" w:rsidRPr="00777571">
        <w:t>16</w:t>
      </w:r>
      <w:r w:rsidR="006B6294" w:rsidRPr="00777571">
        <w:t xml:space="preserve">ης Ιανουαρίου 2024 </w:t>
      </w:r>
      <w:r w:rsidRPr="00777571">
        <w:t>σχετικά με την πρόταση οδηγίας του Συμβουλίου που αφορά τη θέσπιση κανόνων για έκπτωση φόρου για τη μείωση της στρέβλωσης που προκαλείται από την ευνοϊκή μεταχείριση του χρέους έναντι του μετοχικού κεφαλαίου και για τον περιορισμό της δυνατότητας έκπτωσης τόκων για σκοπούς φόρου εισοδήματος εταιρειών</w:t>
      </w:r>
      <w:bookmarkEnd w:id="5"/>
      <w:r w:rsidRPr="00777571">
        <w:t xml:space="preserve"> </w:t>
      </w:r>
      <w:bookmarkStart w:id="6" w:name="References"/>
      <w:r w:rsidRPr="00777571">
        <w:t>(COM(2022)0216 – C9-0197/2022 – 2022/0154(CNS))</w:t>
      </w:r>
      <w:bookmarkEnd w:id="6"/>
    </w:p>
    <w:p w:rsidR="006B6294" w:rsidRPr="00777571" w:rsidRDefault="006B6294" w:rsidP="00F8551D">
      <w:pPr>
        <w:pStyle w:val="NormalBold"/>
      </w:pPr>
      <w:bookmarkStart w:id="7" w:name="TextBodyBegin"/>
      <w:bookmarkEnd w:id="7"/>
    </w:p>
    <w:p w:rsidR="00F8551D" w:rsidRPr="00777571" w:rsidRDefault="00F8551D" w:rsidP="00F8551D">
      <w:pPr>
        <w:pStyle w:val="NormalBold"/>
      </w:pPr>
      <w:r w:rsidRPr="00777571">
        <w:t>(Ειδική νομοθετική διαδικασία – διαβούλευση)</w:t>
      </w:r>
    </w:p>
    <w:p w:rsidR="00F8551D" w:rsidRPr="00777571" w:rsidRDefault="00F8551D" w:rsidP="00F8551D">
      <w:pPr>
        <w:pStyle w:val="EPComma"/>
      </w:pPr>
      <w:r w:rsidRPr="00777571">
        <w:rPr>
          <w:i/>
        </w:rPr>
        <w:t>Το Ευρωπαϊκό Κοινοβούλιο,</w:t>
      </w:r>
    </w:p>
    <w:p w:rsidR="00F8551D" w:rsidRPr="00777571" w:rsidRDefault="00F8551D" w:rsidP="00F8551D">
      <w:pPr>
        <w:pStyle w:val="NormalHanging12a"/>
      </w:pPr>
      <w:r w:rsidRPr="00777571">
        <w:t>–</w:t>
      </w:r>
      <w:r w:rsidRPr="00777571">
        <w:tab/>
        <w:t>έχοντας υπόψη την πρόταση της Επιτροπής προς το Συμβούλιο (COM(2022)0216),</w:t>
      </w:r>
    </w:p>
    <w:p w:rsidR="00F8551D" w:rsidRPr="00777571" w:rsidRDefault="00F8551D" w:rsidP="00F8551D">
      <w:pPr>
        <w:pStyle w:val="NormalHanging12a"/>
      </w:pPr>
      <w:r w:rsidRPr="00777571">
        <w:t>–</w:t>
      </w:r>
      <w:r w:rsidRPr="00777571">
        <w:tab/>
        <w:t>έχοντας υπόψη το άρθρο 115 της Συνθήκης για τη λειτουργία της Ευρωπαϊκής Ένωσης, σύμφωνα με το οποίο κλήθηκε από το Συμβούλιο να γνωμοδοτήσει (C9</w:t>
      </w:r>
      <w:r w:rsidRPr="00777571">
        <w:noBreakHyphen/>
        <w:t>0197/2022),</w:t>
      </w:r>
    </w:p>
    <w:p w:rsidR="00F8551D" w:rsidRPr="00777571" w:rsidRDefault="00F8551D" w:rsidP="00F8551D">
      <w:pPr>
        <w:pStyle w:val="NormalHanging12a"/>
      </w:pPr>
      <w:r w:rsidRPr="00777571">
        <w:t>–</w:t>
      </w:r>
      <w:r w:rsidRPr="00777571">
        <w:tab/>
        <w:t>έχοντας υπόψη την αιτιολογημένη γνώμη που υποβλήθηκε από το Σουηδικό Κοινοβούλιο στο πλαίσιο του πρωτοκόλλου αριθ. 2 σχετικά με την εφαρμογή των αρχών της επικουρικότητας και της αναλογικότητας, με την οποία υποστηρίζεται ότι το σχέδιο νομοθετικής πράξης δεν συνάδει με την αρχή της επικουρικότητας,</w:t>
      </w:r>
    </w:p>
    <w:p w:rsidR="00F8551D" w:rsidRPr="00777571" w:rsidRDefault="00F8551D" w:rsidP="00F8551D">
      <w:pPr>
        <w:pStyle w:val="NormalHanging12a"/>
      </w:pPr>
      <w:r w:rsidRPr="00777571">
        <w:t>–</w:t>
      </w:r>
      <w:r w:rsidRPr="00777571">
        <w:tab/>
        <w:t>έχοντας υπόψη το άρθρο 82 του Κανονισμού του,</w:t>
      </w:r>
    </w:p>
    <w:p w:rsidR="00F8551D" w:rsidRPr="00777571" w:rsidRDefault="00F8551D" w:rsidP="00F8551D">
      <w:pPr>
        <w:pStyle w:val="NormalHanging12a"/>
      </w:pPr>
      <w:r w:rsidRPr="00777571">
        <w:t>–</w:t>
      </w:r>
      <w:r w:rsidRPr="00777571">
        <w:tab/>
        <w:t>έχοντας υπόψη την έκθεση της Επιτροπής Οικονομικής και Νομισματικής Πολιτικής (A9-0387/2023),</w:t>
      </w:r>
    </w:p>
    <w:p w:rsidR="00F8551D" w:rsidRPr="00777571" w:rsidRDefault="00F8551D" w:rsidP="00F8551D">
      <w:pPr>
        <w:pStyle w:val="NormalHanging12a"/>
      </w:pPr>
      <w:r w:rsidRPr="00777571">
        <w:t>1.</w:t>
      </w:r>
      <w:r w:rsidRPr="00777571">
        <w:tab/>
        <w:t>εγκρίνει την πρόταση της Επιτροπής όπως τροποποιήθηκε·</w:t>
      </w:r>
    </w:p>
    <w:p w:rsidR="00F8551D" w:rsidRPr="00777571" w:rsidRDefault="00F8551D" w:rsidP="00F8551D">
      <w:pPr>
        <w:pStyle w:val="NormalHanging12a"/>
      </w:pPr>
      <w:r w:rsidRPr="00777571">
        <w:t>2.</w:t>
      </w:r>
      <w:r w:rsidRPr="00777571">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F8551D" w:rsidRPr="00777571" w:rsidRDefault="00F8551D" w:rsidP="00F8551D">
      <w:pPr>
        <w:pStyle w:val="NormalHanging12a"/>
      </w:pPr>
      <w:r w:rsidRPr="00777571">
        <w:t>3.</w:t>
      </w:r>
      <w:r w:rsidRPr="00777571">
        <w:tab/>
        <w:t xml:space="preserve">καλεί το Συμβούλιο, εφόσον προτίθεται να απομακρυνθεί από το κείμενο που ενέκρινε </w:t>
      </w:r>
      <w:r w:rsidRPr="00777571">
        <w:lastRenderedPageBreak/>
        <w:t>το Κοινοβούλιο, να το ενημερώσει σχετικά·</w:t>
      </w:r>
    </w:p>
    <w:p w:rsidR="00F8551D" w:rsidRPr="00777571" w:rsidRDefault="00F8551D" w:rsidP="00F8551D">
      <w:pPr>
        <w:pStyle w:val="NormalHanging12a"/>
      </w:pPr>
      <w:r w:rsidRPr="00777571">
        <w:t>4.</w:t>
      </w:r>
      <w:r w:rsidRPr="00777571">
        <w:tab/>
        <w:t>ζητεί να κληθεί εκ νέου να γνωμοδοτήσει εφόσον το Συμβούλιο προτίθεται να επιφέρει σημαντικές τροποποιήσεις στην πρόταση της Επιτροπής·</w:t>
      </w:r>
    </w:p>
    <w:p w:rsidR="00F8551D" w:rsidRPr="00777571" w:rsidRDefault="00F8551D" w:rsidP="00F8551D">
      <w:pPr>
        <w:pStyle w:val="NormalHanging12a"/>
      </w:pPr>
      <w:r w:rsidRPr="00777571">
        <w:t>5.</w:t>
      </w:r>
      <w:r w:rsidRPr="00777571">
        <w:tab/>
        <w:t>αναθέτει στην Πρόεδρό του να διαβιβάσει τη θέση του Κοινοβουλίου στο Συμβούλιο, στην Επιτροπή και στα εθνικά κοινοβούλια.</w:t>
      </w:r>
    </w:p>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1</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(1)</w:t>
            </w:r>
            <w:r w:rsidRPr="00777571">
              <w:tab/>
              <w:t>Η προώθηση ενός δίκαιου και βιώσιμου επιχειρηματικού περιβάλλοντος, μεταξύ άλλων, μέσω στοχευμένων φορολογικών μέτρων που παρέχουν κίνητρα για επενδύσεις και ανάπτυξη, αποτελεί υψηλή πολιτική προτεραιότητα της Ένωσης. Για τη στήριξη της βιώσιμης και μακροπρόθεσμης χρηματοδότησης των επιχειρήσεων, το φορολογικό σύστημα θα πρέπει να ελαχιστοποιεί τις ακούσιες στρεβλώσεις των επιχειρηματικών αποφάσεων, για παράδειγμα προς την κατεύθυνση της χρηματοδότησης μέσω χρέους και όχι μέσω μετοχικού κεφαλαίου. Παρότι το σχέδιο δράσης της Επιτροπής για την Ένωση Κεφαλαιαγορών του 2020</w:t>
            </w:r>
            <w:r w:rsidRPr="00777571">
              <w:rPr>
                <w:vertAlign w:val="superscript"/>
              </w:rPr>
              <w:t>14</w:t>
            </w:r>
            <w:r w:rsidRPr="00777571">
              <w:t xml:space="preserve"> περιλαμβάνει σημαντικές δράσεις για τη στήριξη της εν λόγω χρηματοδότησης, για παράδειγμα τη δράση 4 – Ενθάρρυνση πιο μακροπρόθεσμης χρηματοδότησης και χρηματοδότησης μετοχικού κεφαλαίου από θεσμικούς επενδυτές, θα πρέπει να ληφθούν στοχευμένα φορολογικά μέτρα για την ενίσχυση των εν λόγω δράσεων. Τα μέτρα αυτά θα πρέπει να λαμβάνουν υπόψη ζητήματα δημοσιονομικής βιωσιμότητας.</w:t>
            </w:r>
          </w:p>
        </w:tc>
        <w:tc>
          <w:tcPr>
            <w:tcW w:w="4876" w:type="dxa"/>
          </w:tcPr>
          <w:p w:rsidR="00F8551D" w:rsidRPr="00777571" w:rsidRDefault="00F8551D" w:rsidP="00CE6305">
            <w:pPr>
              <w:pStyle w:val="Normal6a"/>
              <w:rPr>
                <w:szCs w:val="24"/>
              </w:rPr>
            </w:pPr>
            <w:r w:rsidRPr="00777571">
              <w:t>(1)</w:t>
            </w:r>
            <w:r w:rsidRPr="00777571">
              <w:tab/>
              <w:t>Η προώθηση ενός δίκαιου και βιώσιμου επιχειρηματικού περιβάλλοντος</w:t>
            </w:r>
            <w:r w:rsidRPr="00777571">
              <w:rPr>
                <w:b/>
                <w:i/>
              </w:rPr>
              <w:t xml:space="preserve"> και η βελτίωση του συστήματος φορολογίας εταιρειών</w:t>
            </w:r>
            <w:r w:rsidRPr="00777571">
              <w:t>, μεταξύ άλλων, μέσω στοχευμένων φορολογικών μέτρων που παρέχουν κίνητρα για επενδύσεις και ανάπτυξη, αποτελεί υψηλή πολιτική προτεραιότητα της Ένωσης. Για τη στήριξη της βιώσιμης</w:t>
            </w:r>
            <w:r w:rsidRPr="00777571">
              <w:rPr>
                <w:b/>
                <w:i/>
              </w:rPr>
              <w:t>, ισχυρής</w:t>
            </w:r>
            <w:r w:rsidRPr="00777571">
              <w:t xml:space="preserve"> και μακροπρόθεσμης χρηματοδότησης των επιχειρήσεων</w:t>
            </w:r>
            <w:r w:rsidRPr="00777571">
              <w:rPr>
                <w:b/>
                <w:i/>
              </w:rPr>
              <w:t>, ιδίως μετά τις τρεις οικονομικές κρίσεις από το 2008, με πολλές εταιρείες να βασίζονται σε χρηματοδότηση με δανειακά κεφάλαια για την κάλυψη οικονομικών ζημιών</w:t>
            </w:r>
            <w:r w:rsidRPr="00777571">
              <w:t>, το φορολογικό σύστημα θα πρέπει να ελαχιστοποιεί τις ακούσιες στρεβλώσεις των επιχειρηματικών αποφάσεων, για παράδειγμα προς την κατεύθυνση της χρηματοδότησης μέσω χρέους και όχι μέσω μετοχικού κεφαλαίου. Παρότι το σχέδιο δράσης της Επιτροπής για την Ένωση Κεφαλαιαγορών του 2020</w:t>
            </w:r>
            <w:r w:rsidRPr="00777571">
              <w:rPr>
                <w:vertAlign w:val="superscript"/>
              </w:rPr>
              <w:t>14</w:t>
            </w:r>
            <w:r w:rsidRPr="00777571">
              <w:t xml:space="preserve"> περιλαμβάνει σημαντικές δράσεις για τη στήριξη της εν λόγω χρηματοδότησης, για παράδειγμα τη δράση 4 – Ενθάρρυνση πιο μακροπρόθεσμης χρηματοδότησης και χρηματοδότησης μετοχικού κεφαλαίου από θεσμικούς επενδυτές, θα πρέπει να ληφθούν στοχευμένα φορολογικά μέτρα για την ενίσχυση των εν λόγω δράσεων. Τα μέτρα αυτά θα πρέπει να λαμβάνουν υπόψη ζητήματα δημοσιονομικής βιωσιμότητας.</w:t>
            </w:r>
          </w:p>
        </w:tc>
      </w:tr>
      <w:tr w:rsidR="00F8551D" w:rsidRPr="00777571" w:rsidTr="00CE6305">
        <w:trPr>
          <w:jc w:val="center"/>
        </w:trPr>
        <w:tc>
          <w:tcPr>
            <w:tcW w:w="4876" w:type="dxa"/>
          </w:tcPr>
          <w:p w:rsidR="00F8551D" w:rsidRPr="00777571" w:rsidRDefault="00F8551D" w:rsidP="00CE6305">
            <w:pPr>
              <w:pStyle w:val="Normal6a"/>
            </w:pPr>
            <w:r w:rsidRPr="00777571">
              <w:lastRenderedPageBreak/>
              <w:t>__________________</w:t>
            </w:r>
          </w:p>
        </w:tc>
        <w:tc>
          <w:tcPr>
            <w:tcW w:w="4876" w:type="dxa"/>
          </w:tcPr>
          <w:p w:rsidR="00F8551D" w:rsidRPr="00777571" w:rsidRDefault="00F8551D" w:rsidP="00CE6305">
            <w:pPr>
              <w:pStyle w:val="Normal6a"/>
            </w:pPr>
            <w:r w:rsidRPr="00777571">
              <w:t>__________________</w:t>
            </w:r>
          </w:p>
        </w:tc>
      </w:tr>
      <w:tr w:rsidR="00F8551D" w:rsidRPr="00777571" w:rsidTr="00CE6305">
        <w:trPr>
          <w:jc w:val="center"/>
        </w:trPr>
        <w:tc>
          <w:tcPr>
            <w:tcW w:w="4876" w:type="dxa"/>
          </w:tcPr>
          <w:p w:rsidR="00F8551D" w:rsidRPr="00777571" w:rsidRDefault="00F8551D" w:rsidP="006B6294">
            <w:pPr>
              <w:pStyle w:val="Normal6a"/>
            </w:pPr>
            <w:r w:rsidRPr="00777571">
              <w:rPr>
                <w:vertAlign w:val="superscript"/>
              </w:rPr>
              <w:t>14</w:t>
            </w:r>
            <w:r w:rsidRPr="00777571">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«Ένωση Κεφαλαιαγορών για τα άτομα και τις επιχειρήσεις – νέο σχέδιο δράσης», COM(2020)</w:t>
            </w:r>
            <w:r w:rsidR="006B6294" w:rsidRPr="00777571">
              <w:t>0</w:t>
            </w:r>
            <w:r w:rsidRPr="00777571">
              <w:t>590</w:t>
            </w:r>
            <w:r w:rsidR="006B6294" w:rsidRPr="00777571">
              <w:br/>
            </w:r>
            <w:r w:rsidRPr="00777571">
              <w:t>(https://eur-lex.europa.eu/legal-content/EL/TXT/HTML/?uri=CELEX:52020DC0590&amp;from=EL)</w:t>
            </w:r>
          </w:p>
        </w:tc>
        <w:tc>
          <w:tcPr>
            <w:tcW w:w="4876" w:type="dxa"/>
          </w:tcPr>
          <w:p w:rsidR="00F8551D" w:rsidRPr="00777571" w:rsidRDefault="00F8551D" w:rsidP="006B6294">
            <w:pPr>
              <w:pStyle w:val="Normal6a"/>
            </w:pPr>
            <w:r w:rsidRPr="00777571">
              <w:rPr>
                <w:vertAlign w:val="superscript"/>
              </w:rPr>
              <w:t>14</w:t>
            </w:r>
            <w:r w:rsidRPr="00777571">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«Ένωση Κεφαλαιαγορών για τα άτομα και τις επιχειρήσεις – νέο σχέδιο δράσης», COM(2020)</w:t>
            </w:r>
            <w:r w:rsidR="006B6294" w:rsidRPr="00777571">
              <w:t>0</w:t>
            </w:r>
            <w:r w:rsidRPr="00777571">
              <w:t xml:space="preserve">590 </w:t>
            </w:r>
            <w:r w:rsidR="006B6294" w:rsidRPr="00777571">
              <w:br/>
            </w:r>
            <w:r w:rsidRPr="00777571">
              <w:t>(https://eur-lex.europa.eu/legal-content/EL/TXT/HTML/?uri=CELEX:52020DC0590&amp;from=EL)</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2</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1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rPr>
            </w:pPr>
            <w:r w:rsidRPr="00777571">
              <w:rPr>
                <w:b/>
                <w:i/>
              </w:rPr>
              <w:t>(1a)</w:t>
            </w:r>
            <w:r w:rsidRPr="00777571">
              <w:rPr>
                <w:b/>
                <w:i/>
              </w:rPr>
              <w:tab/>
              <w:t>Η προώθηση μιας ανταγωνιστικής και ανθεκτικής Ένωσης Κεφαλαιαγορών, με μια ισχυρή αγορά μετοχικού κεφαλαίου ως έναν από τους πυλώνες της, είναι απαραίτητη για την προώθηση των θέσεων εργασίας, την οικονομική ανάπτυξη και τις επενδύσεις. Απαιτούνται περισσότερες ιδιωτικές επενδύσεις μέσω μετοχικού κεφαλαίου προκειμένου να αντιμετωπιστούν οι οικονομικές προκλήσεις που διαφαίνονται στον ορίζοντα. Επομένως, συνιστάται θερμά η δημιουργία ενός νομικού μέσου για την εναρμόνιση των υφιστάμενων νομοθετικών διατάξεων με στόχο τη μείωση της μεροληψίας των φορολογουμένων υπέρ του χρέους κατά την πραγματοποίηση επενδυτικών επιλογών, με την επιφύλαξη της νόμιμης και αποτελεσματικής χρήσης των χρεωστικών τίτλων.</w:t>
            </w:r>
          </w:p>
        </w:tc>
      </w:tr>
    </w:tbl>
    <w:p w:rsidR="00F8551D" w:rsidRPr="00777571" w:rsidRDefault="00F8551D" w:rsidP="00F8551D"/>
    <w:p w:rsidR="00F8551D" w:rsidRPr="00777571" w:rsidRDefault="00F8551D" w:rsidP="00F8551D">
      <w:pPr>
        <w:pStyle w:val="AmNumberTabs"/>
        <w:keepNext/>
      </w:pPr>
      <w:r w:rsidRPr="00777571">
        <w:lastRenderedPageBreak/>
        <w:t>Τροπολογία</w:t>
      </w:r>
      <w:r w:rsidRPr="00777571">
        <w:tab/>
      </w:r>
      <w:r w:rsidRPr="00777571">
        <w:tab/>
        <w:t>3</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(2)</w:t>
            </w:r>
            <w:r w:rsidRPr="00777571">
              <w:tab/>
              <w:t>Τα φορολογικά συστήματα των κρατών μελών επιτρέπουν στις φορολογούμενες εταιρείες να αφαιρούν καταβληθέντες τόκους για χρηματοδότηση μέσω χρέους και, ως εκ τούτου, να μειώνουν τον φόρο εισοδήματος εταιρειών, ενώ οι δαπάνες που σχετίζονται με τη χρηματοδότηση μέσω μετοχικού κεφαλαίου δεν εκπίπτουν από τον φόρο στα περισσότερα κράτη μέλη. Η ασύμμετρη φορολογική μεταχείριση της χρηματοδότησης μέσω χρέους και μέσω μετοχικού κεφαλαίου σε ολόκληρη την Ένωση οδηγεί σε μεροληψία υπέρ του χρέους στις επενδυτικές αποφάσεις. Επιπλέον, όταν τα κράτη μέλη προβλέπουν στην εθνική τους νομοθεσία έκπτωση φόρου για τη χρηματοδότηση μέσω μετοχικού κεφαλαίου, τα εν λόγω εθνικά μέτρα διαφέρουν σημαντικά όσον αφορά τον σχεδιασμό πολιτικής.</w:t>
            </w:r>
          </w:p>
        </w:tc>
        <w:tc>
          <w:tcPr>
            <w:tcW w:w="4876" w:type="dxa"/>
          </w:tcPr>
          <w:p w:rsidR="00F8551D" w:rsidRPr="00777571" w:rsidRDefault="00F8551D" w:rsidP="00CE6305">
            <w:pPr>
              <w:pStyle w:val="Normal6a"/>
              <w:rPr>
                <w:b/>
                <w:i/>
              </w:rPr>
            </w:pPr>
            <w:r w:rsidRPr="00777571">
              <w:t>(2)</w:t>
            </w:r>
            <w:r w:rsidRPr="00777571">
              <w:tab/>
              <w:t xml:space="preserve">Τα φορολογικά συστήματα των κρατών μελών επιτρέπουν στις φορολογούμενες εταιρείες να αφαιρούν καταβληθέντες τόκους για χρηματοδότηση μέσω χρέους και, ως εκ τούτου, να μειώνουν τον φόρο εισοδήματος εταιρειών, ενώ οι δαπάνες που σχετίζονται με τη χρηματοδότηση μέσω μετοχικού κεφαλαίου δεν εκπίπτουν από τον φόρο στα περισσότερα κράτη μέλη. Η ασύμμετρη φορολογική μεταχείριση της χρηματοδότησης μέσω χρέους και μέσω μετοχικού κεφαλαίου σε ολόκληρη την Ένωση οδηγεί σε μεροληψία υπέρ του χρέους στις επενδυτικές αποφάσεις. </w:t>
            </w:r>
            <w:r w:rsidRPr="00777571">
              <w:rPr>
                <w:b/>
                <w:i/>
              </w:rPr>
              <w:t>Οι πρόσφατες κρίσεις που συνδέονται με τα προβλήματα χρέους των επιχειρήσεων στην εσωτερική αγορά κατέδειξαν ότι υπάρχει ανάγκη για μεταρρύθμιση που θα θέτει το μετοχικό κεφάλαιο και το χρέος σε ισότιμη βάση και θα δίνει τέλος στο πλεονέκτημα της χρηματοδότησης μέσω χρέους. Η παρούσα οδηγία αποτελεί απάντηση στις πολυάριθμες εκκλήσεις του Κοινοβουλίου για αντιμετώπιση της στρέβλωσης που προκαλείται από την ευνοϊκή από φορολογική άποψη μεταχείριση του χρέους έναντι του μετοχικού κεφαλαίου</w:t>
            </w:r>
            <w:r w:rsidRPr="00777571">
              <w:rPr>
                <w:b/>
                <w:i/>
                <w:vertAlign w:val="superscript"/>
              </w:rPr>
              <w:t>1α</w:t>
            </w:r>
            <w:r w:rsidRPr="00777571">
              <w:rPr>
                <w:b/>
                <w:i/>
              </w:rPr>
              <w:t xml:space="preserve">. </w:t>
            </w:r>
            <w:r w:rsidRPr="00777571">
              <w:t xml:space="preserve">Επιπλέον, όταν τα κράτη μέλη προβλέπουν στην εθνική τους νομοθεσία έκπτωση φόρου για τη χρηματοδότηση μέσω μετοχικού κεφαλαίου, τα εν λόγω εθνικά μέτρα διαφέρουν σημαντικά όσον αφορά τον σχεδιασμό πολιτικής. </w:t>
            </w:r>
            <w:r w:rsidRPr="00777571">
              <w:rPr>
                <w:b/>
                <w:i/>
              </w:rPr>
              <w:t xml:space="preserve">Ως εκ τούτου, είναι απαραίτητο να διασφαλιστούν ίσοι όροι ανταγωνισμού για λύσεις μετοχικού κεφαλαίου και χρεωστικούς τίτλους, έχοντας κατά νου την ανάγκη να διασφαλιστούν ελάχιστα επίπεδα συστηματικής συνοχής μεταξύ των εθνικών φορολογικών πλαισίων, συγκεκριμένα σε επίπεδο φορολογικών </w:t>
            </w:r>
            <w:r w:rsidRPr="00777571">
              <w:rPr>
                <w:b/>
                <w:i/>
              </w:rPr>
              <w:lastRenderedPageBreak/>
              <w:t>οφελών.</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pPr>
            <w:r w:rsidRPr="00777571">
              <w:t>__________________</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rPr>
            </w:pPr>
            <w:r w:rsidRPr="00777571">
              <w:rPr>
                <w:b/>
                <w:i/>
                <w:vertAlign w:val="superscript"/>
              </w:rPr>
              <w:t>1a</w:t>
            </w:r>
            <w:r w:rsidRPr="00777571">
              <w:rPr>
                <w:b/>
                <w:i/>
              </w:rPr>
              <w:t xml:space="preserve"> Βλ.:</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vertAlign w:val="superscript"/>
              </w:rPr>
            </w:pPr>
            <w:r w:rsidRPr="00777571">
              <w:rPr>
                <w:b/>
                <w:i/>
              </w:rPr>
              <w:t>–</w:t>
            </w:r>
            <w:r w:rsidRPr="00777571">
              <w:rPr>
                <w:b/>
                <w:i/>
              </w:rPr>
              <w:tab/>
              <w:t xml:space="preserve">το ψήφισμα του Ευρωπαϊκού Κοινοβουλίου της 8ης Οκτωβρίου 2020 σχετικά με την περαιτέρω προώθηση της Ένωσης Κεφαλαιαγορών (CMU): βελτίωση της πρόσβασης σε χρηματοδότηση μέσω κεφαλαιαγορών, ιδίως για τις ΜΜΕ, και περαιτέρω διευκόλυνση της συμμετοχής ιδιωτών επενδυτών (2020/2036(INI)) (ΕΕ C 395 της 29.9.2021, σ. 89)· </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6B6294">
            <w:pPr>
              <w:pStyle w:val="Normal6a"/>
              <w:rPr>
                <w:b/>
                <w:i/>
                <w:vertAlign w:val="superscript"/>
              </w:rPr>
            </w:pPr>
            <w:r w:rsidRPr="00777571">
              <w:rPr>
                <w:b/>
                <w:i/>
              </w:rPr>
              <w:t>–</w:t>
            </w:r>
            <w:r w:rsidRPr="00777571">
              <w:rPr>
                <w:b/>
                <w:i/>
              </w:rPr>
              <w:tab/>
              <w:t>το νομοθετικό ψήφισμα του Ευρωπαϊκού Κοινοβουλίου της 15ης Μαρτίου 2018 σχετικά με την πρόταση οδηγίας του Συμβουλίου για κοινή ενοποιημένη βάση φορολογίας εταιρειών (ΚΕΒΦΕ) (2016/0337(CNS)) (ΕΕ C 162 της 10.5.2019, σ. 181)·</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rPr>
            </w:pPr>
            <w:r w:rsidRPr="00777571">
              <w:rPr>
                <w:b/>
                <w:i/>
              </w:rPr>
              <w:t>–</w:t>
            </w:r>
            <w:r w:rsidRPr="00777571">
              <w:rPr>
                <w:b/>
                <w:i/>
              </w:rPr>
              <w:tab/>
              <w:t xml:space="preserve">το ψήφισμα του Ευρωπαϊκού Κοινοβουλίου της 10ης Μαρτίου 2022 με συστάσεις προς την Επιτροπή σχετικά με τη δίκαιη και απλή φορολόγηση για τη στήριξη της στρατηγικής ανάκαμψης (συνέχεια που δίδεται από το ΕΚ στο σχέδιο δράσης της Επιτροπής του Ιουλίου και στις 25 πρωτοβουλίες της στον τομέα του ΦΠΑ, των επιχειρήσεων και της ατομικής φορολόγησης) (2020/2254(INL)) (ΕΕ </w:t>
            </w:r>
            <w:r w:rsidR="00370D2A">
              <w:rPr>
                <w:b/>
                <w:i/>
                <w:lang w:val="en-GB"/>
              </w:rPr>
              <w:t>C</w:t>
            </w:r>
            <w:r w:rsidR="00370D2A" w:rsidRPr="00370D2A">
              <w:rPr>
                <w:b/>
                <w:i/>
              </w:rPr>
              <w:t xml:space="preserve"> </w:t>
            </w:r>
            <w:bookmarkStart w:id="8" w:name="_GoBack"/>
            <w:bookmarkEnd w:id="8"/>
            <w:r w:rsidRPr="00777571">
              <w:rPr>
                <w:b/>
                <w:i/>
              </w:rPr>
              <w:t>347 της 9.9.2022, σ. 211)·</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rPr>
            </w:pPr>
            <w:r w:rsidRPr="00777571">
              <w:rPr>
                <w:b/>
                <w:i/>
              </w:rPr>
              <w:t>–</w:t>
            </w:r>
            <w:r w:rsidRPr="00777571">
              <w:rPr>
                <w:b/>
                <w:i/>
              </w:rPr>
              <w:tab/>
              <w:t>το ψήφισμα του Ευρωπαϊκού Κοινοβουλίου της 15ης Φεβρουαρίου 2022 σχετικά με τον αντίκτυπο των εθνικών φορολογικών μεταρρυθμίσεων στην οικονομία της ΕΕ (</w:t>
            </w:r>
            <w:r w:rsidR="006B6294" w:rsidRPr="00777571">
              <w:rPr>
                <w:b/>
                <w:i/>
              </w:rPr>
              <w:t>2021/2074(INI)</w:t>
            </w:r>
            <w:r w:rsidRPr="00777571">
              <w:rPr>
                <w:b/>
                <w:i/>
              </w:rPr>
              <w:t>) (ΕΕ C 342 της 6.9.2022, σ. 14).</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4</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(3)</w:t>
            </w:r>
            <w:r w:rsidRPr="00777571">
              <w:tab/>
              <w:t xml:space="preserve">Προκειμένου να εξαλειφθούν </w:t>
            </w:r>
            <w:r w:rsidRPr="00777571">
              <w:lastRenderedPageBreak/>
              <w:t>πιθανές στρεβλώσεις που σχετίζονται με τη φορολογία μεταξύ των κρατών μελών, είναι αναγκαίο να θεσπιστεί ένα κοινό πλαίσιο κανόνων για τη συντονισμένη αντιμετώπιση της στρέβλωσης που προκαλείται από την ευνοϊκή από φορολογική άποψη μεταχείριση του χρέους έναντι του μετοχικού κεφαλαίου σε ολόκληρη την Ένωση. Οι κανόνες αυτοί θα πρέπει να διασφαλίζουν ότι η χρηματοδότηση μέσω μετοχικού κεφαλαίου και η χρηματοδότηση μέσω χρέους αντιμετωπίζονται με παρόμοιο τρόπο για φορολογικούς σκοπούς σε ολόκληρη την ενιαία αγορά. Ταυτόχρονα, ένα κοινό ενωσιακό νομοθετικό πλαίσιο θα πρέπει να είναι βιώσιμο και βραχυπρόθεσμα για τους προϋπολογισμούς των κρατών μελών. Ως εκ τούτου, το εν λόγω πλαίσιο θα πρέπει να περιλαμβάνει κανόνες αφενός για την έκπτωση από τον φόρο του κόστους χρηματοδότησης μέσω μετοχικού κεφαλαίου και, αφετέρου, για τον περιορισμό της έκπτωσης από τον φόρο του κόστους χρηματοδότησης μέσω χρέους.</w:t>
            </w:r>
          </w:p>
          <w:p w:rsidR="00F8551D" w:rsidRPr="00777571" w:rsidRDefault="00F8551D" w:rsidP="00CE6305">
            <w:pPr>
              <w:pStyle w:val="Normal6a"/>
            </w:pPr>
          </w:p>
        </w:tc>
        <w:tc>
          <w:tcPr>
            <w:tcW w:w="4876" w:type="dxa"/>
          </w:tcPr>
          <w:p w:rsidR="00F8551D" w:rsidRPr="00777571" w:rsidRDefault="00F8551D" w:rsidP="00686751">
            <w:pPr>
              <w:pStyle w:val="Normal6a"/>
              <w:rPr>
                <w:b/>
                <w:i/>
              </w:rPr>
            </w:pPr>
            <w:r w:rsidRPr="00777571">
              <w:lastRenderedPageBreak/>
              <w:t>(3)</w:t>
            </w:r>
            <w:r w:rsidRPr="00777571">
              <w:tab/>
              <w:t xml:space="preserve">Προκειμένου να εξαλειφθούν </w:t>
            </w:r>
            <w:r w:rsidRPr="00777571">
              <w:lastRenderedPageBreak/>
              <w:t>πιθανές στρεβλώσεις που σχετίζονται με τη φορολογία μεταξύ των κρατών μελών, είναι αναγκαίο να θεσπιστεί ένα κοινό πλαίσιο κανόνων για τη συντονισμένη αντιμετώπιση της στρέβλωσης που προκαλείται από την ευνοϊκή από φορολογική άποψη μεταχείριση του χρέους έναντι του μετοχικού κεφαλαίου σε ολόκληρη την Ένωση</w:t>
            </w:r>
            <w:r w:rsidRPr="00777571">
              <w:rPr>
                <w:b/>
                <w:i/>
              </w:rPr>
              <w:t>, με πλήρη σεβασμό παράλληλα στο ενωσιακό θεσμικό πλαίσιο για φορολογικά θέματα που καθορίζεται από τις Συνθήκες</w:t>
            </w:r>
            <w:r w:rsidRPr="00777571">
              <w:t xml:space="preserve">. Οι κανόνες αυτοί θα πρέπει να διασφαλίζουν ότι η χρηματοδότηση μέσω μετοχικού κεφαλαίου και η χρηματοδότηση μέσω χρέους αντιμετωπίζονται με παρόμοιο τρόπο για φορολογικούς σκοπούς σε ολόκληρη την ενιαία αγορά. Ταυτόχρονα, </w:t>
            </w:r>
            <w:r w:rsidRPr="00777571">
              <w:rPr>
                <w:b/>
                <w:i/>
              </w:rPr>
              <w:t xml:space="preserve">δεδομένων της εκτεταμένης έκπτωσης από τον φόρο του χρέους και του γεγονότος ότι η θέσπιση έκπτωσης φόρου επί αυξήσεων μετοχικού κεφαλαίου θα μπορούσε να έχει άμεσο αντίκτυπο στα δημόσια έσοδα, </w:t>
            </w:r>
            <w:r w:rsidRPr="00777571">
              <w:t xml:space="preserve">ένα κοινό ενωσιακό νομοθετικό πλαίσιο θα πρέπει να είναι βιώσιμο και βραχυπρόθεσμα για τους προϋπολογισμούς των κρατών μελών. Ως εκ τούτου, το εν λόγω πλαίσιο θα πρέπει να περιλαμβάνει κανόνες αφενός για την έκπτωση από τον φόρο του κόστους χρηματοδότησης μέσω μετοχικού κεφαλαίου και, αφετέρου, για τον περιορισμό της έκπτωσης από τον φόρο του κόστους χρηματοδότησης μέσω χρέους. </w:t>
            </w:r>
            <w:r w:rsidRPr="00777571">
              <w:rPr>
                <w:b/>
                <w:i/>
              </w:rPr>
              <w:t>Η παρούσα οδηγία αποσκοπεί στην επίτευξη καλύτερης ισορροπίας μεταξύ των διαφόρων προκλήσεων που σχετίζονται με τη βιωσιμότητα των δημόσιων οικονομικών των κρατών μελών βραχυπρόθεσμα και, μέσω αυτής, θα πρέπει να αποτρέπει τα κράτη μέλη από σημαντικές απώλειες εσόδων και να αποσκοπεί στη βελτίωση της χρηματοπιστωτικής σταθερότητας των εταιρειών.</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5</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3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686751">
            <w:pPr>
              <w:pStyle w:val="Normal6a"/>
              <w:rPr>
                <w:b/>
                <w:i/>
              </w:rPr>
            </w:pPr>
            <w:r w:rsidRPr="00777571">
              <w:rPr>
                <w:b/>
                <w:i/>
              </w:rPr>
              <w:t>(3a)</w:t>
            </w:r>
            <w:r w:rsidRPr="00777571">
              <w:rPr>
                <w:b/>
                <w:i/>
              </w:rPr>
              <w:tab/>
              <w:t>Προκειμένου να αναπτυχθεί περαιτέρω η Ένωση Κεφαλαιαγορών, η παρούσα οδηγία στοχεύει στη διαφοροποίηση των πηγών χρηματοδότησης για τις εταιρείες της Ένωσης, ιδίως για τις ΜΜΕ. Επομένως, θα πρέπει να αποφευχθεί η δημιουργία νέου κόστους και φραγμών όσον αφορά την πρόσβαση σε χρηματοδότηση για τις εταιρείες που δεν έχουν ακόμη εύκολη πρόσβαση στις κεφαλαιαγορές. Ο περιορισμός της έκπτωσης όσον αφορά το κόστος των τόκων των εν λόγω εταιρειών θα μπορούσε να παρεμποδίσει τις επενδύσεις σε ολόκληρη την Ένωση και, συνεπώς, η έκπτωση τόκων δεν θα πρέπει να περιορίζεται για τις ΜΜΕ και τους μεσαίους ομίλους.</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6</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(5)</w:t>
            </w:r>
            <w:r w:rsidRPr="00777571">
              <w:tab/>
              <w:t>Για να εξουδετερωθεί η δυσμενής μεταχείριση της χρηματοδότησης μέσω μετοχικού κεφαλαίου, θα πρέπει να προβλεφθεί έκπτωση φόρου ώστε οι αυξήσεις του μετοχικού κεφαλαίου μιας φορολογούμενης εταιρείας από τη μια φορολογική περίοδο στην άλλη να εκπίπτουν από τη φορολογητέα βάση της, υπό ορισμένες προϋποθέσεις. Η έκπτωση φόρου θα πρέπει να υπολογίζεται πολλαπλασιάζοντας την αύξηση του μετοχικού κεφαλαίου με ένα πλασματικό επιτόκιο που βασίζεται σε επιτόκιο άνευ κινδύνου, όπως προβλέπεται στις εκτελεστικές πράξεις που εκδίδονται σύμφωνα με το άρθρο 77ε παράγραφος 2 της οδηγίας 2009/138/ΕΚ. Τα εν λόγω επιτόκια άνευ κινδύνου αποτελούν ήδη μέρος της νομοθεσίας της ΕΕ και έχουν εφαρμοστεί στην πράξη και αποτελεσματικά ως τέτοια. Οποιοδήποτε τμήμα της έκπτωσης φόρου που δεν μπορεί να εφαρμοστεί σε μια φορολογική περίοδο λόγω ανεπαρκών φορολογητέων κερδών μπορεί να μεταφερθεί σε μεταγενέστερο χρόνο. Λαμβανομένων υπόψη των ειδικών προκλήσεων που αντιμετωπίζουν οι μικρές και μεσαίες επιχειρήσεις (ΜΜΕ) όσον αφορά την πρόσβαση στις κεφαλαιαγορές, θα πρέπει να προβλεφθεί αυξημένη έκπτωση φόρου επί του μετοχικού κεφαλαίου για τις φορολογούμενες εταιρείες που είναι ΜΜΕ. Προκειμένου μια έκπτωση φόρου επί του μετοχικού κεφαλαίου να είναι βιώσιμη για τα δημόσια οικονομικά βραχυπρόθεσμα, θα πρέπει να είναι χρονικά περιορισμένη. Για να προστατευθεί το σύστημα από καταχρήσεις, είναι αναγκαίο να εξαιρεθεί, από τον υπολογισμό των μεταβολών του μετοχικού κεφαλαίου, η φορολογική αξία των ιδίων μετοχών μιας φορολογούμενης εταιρείας, καθώς και εκείνη της συμμετοχής της σε συνδεδεμένες επιχειρήσεις. Στο ίδιο πνεύμα, είναι αναγκαίο να προβλεφθεί η φορολόγηση της μείωσης του μετοχικού κεφαλαίου μιας φορολογούμενης εταιρείας από τη μια φορολογική περίοδο στην επόμενη, προκειμένου να αποφευχθεί το ενδεχόμενο καταχρηστικής αύξησης του μετοχικού κεφαλαίου. Ένας τέτοιος κανόνας θα ενθάρρυνε επίσης τη διατήρηση ενός επιπέδου μετοχικού κεφαλαίου. Θα εφαρμοζόταν κατά τρόπο ώστε, σε περίπτωση μείωσης του μετοχικού κεφαλαίου φορολογούμενης εταιρείας που έχει επωφεληθεί από έκπτωση φόρου επί αύξησης μετοχικού κεφαλαίου, ποσό που υπολογίζεται με τον ίδιο τρόπο όπως η έκπτωση φόρου να καθίσταται φορολογητέο για 10 φορολογικές περιόδους</w:t>
            </w:r>
            <w:r w:rsidRPr="00777571">
              <w:rPr>
                <w:b/>
                <w:i/>
              </w:rPr>
              <w:t>·</w:t>
            </w:r>
            <w:r w:rsidRPr="00777571">
              <w:t xml:space="preserve"> εκτός εάν η φορολογούμενη εταιρεία προσκομίσει στοιχεία που να αποδεικνύουν ότι η μείωση αυτή οφείλεται αποκλειστικά σε ζημίες που σημειώθηκαν κατά τη διάρκεια της φορολογικής περιόδου ή σε νομική υποχρέωση.</w:t>
            </w:r>
          </w:p>
        </w:tc>
        <w:tc>
          <w:tcPr>
            <w:tcW w:w="4876" w:type="dxa"/>
          </w:tcPr>
          <w:p w:rsidR="00F8551D" w:rsidRPr="00777571" w:rsidRDefault="00F8551D" w:rsidP="00CE6305">
            <w:pPr>
              <w:pStyle w:val="Normal6a"/>
            </w:pPr>
            <w:r w:rsidRPr="00777571">
              <w:t>(5)</w:t>
            </w:r>
            <w:r w:rsidRPr="00777571">
              <w:tab/>
              <w:t xml:space="preserve">Για να εξουδετερωθεί η δυσμενής μεταχείριση της χρηματοδότησης μέσω μετοχικού κεφαλαίου, θα πρέπει να προβλεφθεί έκπτωση φόρου ώστε οι αυξήσεις του μετοχικού κεφαλαίου μιας φορολογούμενης εταιρείας από τη μια φορολογική περίοδο στην άλλη να εκπίπτουν από τη φορολογητέα βάση της, υπό ορισμένες προϋποθέσεις. Η έκπτωση φόρου θα πρέπει να υπολογίζεται πολλαπλασιάζοντας την αύξηση του μετοχικού κεφαλαίου με ένα πλασματικό επιτόκιο που βασίζεται σε επιτόκιο άνευ κινδύνου, όπως προβλέπεται στις εκτελεστικές πράξεις που εκδίδονται σύμφωνα με το άρθρο 77ε παράγραφος 2 της οδηγίας 2009/138/ΕΚ. Τα εν λόγω επιτόκια άνευ κινδύνου αποτελούν ήδη μέρος της νομοθεσίας της ΕΕ και έχουν εφαρμοστεί στην πράξη και αποτελεσματικά ως τέτοια. Οποιοδήποτε τμήμα της έκπτωσης φόρου δεν μπορεί να εφαρμοστεί σε μια φορολογική περίοδο λόγω ανεπαρκών φορολογητέων κερδών μπορεί να μεταφερθεί σε μεταγενέστερο χρόνο. Λαμβανομένων υπόψη των ειδικών προκλήσεων που αντιμετωπίζουν οι μικρές και μεσαίες επιχειρήσεις (ΜΜΕ) </w:t>
            </w:r>
            <w:r w:rsidRPr="00777571">
              <w:rPr>
                <w:b/>
                <w:i/>
              </w:rPr>
              <w:t xml:space="preserve">και οι μεσαίοι όμιλοι </w:t>
            </w:r>
            <w:r w:rsidRPr="00777571">
              <w:t xml:space="preserve">όσον αφορά την πρόσβαση στις κεφαλαιαγορές, </w:t>
            </w:r>
            <w:r w:rsidRPr="00777571">
              <w:rPr>
                <w:b/>
                <w:i/>
              </w:rPr>
              <w:t xml:space="preserve">το μεγαλύτερο κόστος χρηματοδότησης, τη μικρότερη διαθεσιμότητα κεφαλαίου και τη μεγαλύτερη πιθανότητα να αντιμετωπίσουν μεγαλύτερες περιόδους ζημιών, </w:t>
            </w:r>
            <w:r w:rsidRPr="00777571">
              <w:t>θα πρέπει να προβλεφθεί αυξημένη έκπτωση φόρου επί του μετοχικού κεφαλαίου</w:t>
            </w:r>
            <w:r w:rsidRPr="00777571">
              <w:rPr>
                <w:b/>
                <w:i/>
              </w:rPr>
              <w:t>, καθώς και μεγαλύτερη περίοδος φορολογικής έκπτωσης</w:t>
            </w:r>
            <w:r w:rsidRPr="00777571">
              <w:t xml:space="preserve"> για τις φορολογούμενες εταιρείες που είναι ΜΜΕ</w:t>
            </w:r>
            <w:r w:rsidRPr="00777571">
              <w:rPr>
                <w:b/>
                <w:i/>
              </w:rPr>
              <w:t xml:space="preserve"> ή μεσαίοι όμιλοι</w:t>
            </w:r>
            <w:r w:rsidRPr="00777571">
              <w:t>. Προκειμένου μια έκπτωση φόρου επί του μετοχικού κεφαλαίου να είναι βιώσιμη για τα δημόσια οικονομικά βραχυπρόθεσμα, θα πρέπει να είναι</w:t>
            </w:r>
            <w:r w:rsidRPr="00777571">
              <w:rPr>
                <w:b/>
                <w:i/>
              </w:rPr>
              <w:t xml:space="preserve"> ορθά και αναλογικά</w:t>
            </w:r>
            <w:r w:rsidRPr="00777571">
              <w:t xml:space="preserve"> χρονικά περιορισμένη. Για να προστατευθεί το σύστημα από καταχρήσεις, είναι αναγκαίο να εξαιρεθεί, από τον υπολογισμό των μεταβολών του μετοχικού κεφαλαίου, η φορολογική αξία των ιδίων μετοχών μιας φορολογούμενης εταιρείας, καθώς και εκείνη της συμμετοχής της σε συνδεδεμένες επιχειρήσεις. Στο ίδιο πνεύμα, είναι αναγκαίο να προβλεφθεί η φορολόγηση της μείωσης του μετοχικού κεφαλαίου μιας φορολογούμενης εταιρείας από τη μια φορολογική περίοδο στην επόμενη, προκειμένου να αποφευχθεί το ενδεχόμενο καταχρηστικής αύξησης του μετοχικού κεφαλαίου. Ένας τέτοιος κανόνας θα ενθάρρυνε επίσης τη διατήρηση ενός επιπέδου μετοχικού κεφαλαίου. Θα εφαρμοζόταν κατά τρόπο ώστε, σε περίπτωση μείωσης του μετοχικού κεφαλαίου φορολογούμενης εταιρείας που έχει επωφεληθεί από έκπτωση φόρου επί αύξησης μετοχικού κεφαλαίου, ποσό που υπολογίζεται με τον ίδιο τρόπο όπως η έκπτωση φόρου να καθίσταται φορολογητέο για 10 φορολογικές περιόδους</w:t>
            </w:r>
            <w:r w:rsidRPr="00777571">
              <w:rPr>
                <w:b/>
                <w:i/>
              </w:rPr>
              <w:t xml:space="preserve"> για ΜΜΕ και μεσαίους ομίλους και για 7 διαδοχικές φορολογικές περιόδους για οποιαδήποτε φορολογούμενη εταιρεία δεν είναι ΜΜΕ ή μεσαίος όμιλος,</w:t>
            </w:r>
            <w:r w:rsidRPr="00777571">
              <w:t xml:space="preserve"> εκτός εάν η φορολογούμενη εταιρεία προσκομίσει στοιχεία που να αποδεικνύουν ότι η μείωση αυτή οφείλεται αποκλειστικά σε ζημίες που σημειώθηκαν κατά τη διάρκεια της φορολογικής περιόδου ή σε νομική υποχρέωση. </w:t>
            </w:r>
            <w:r w:rsidRPr="00777571">
              <w:rPr>
                <w:b/>
                <w:i/>
              </w:rPr>
              <w:t>Η Επιτροπή και τα κράτη μέλη θα πρέπει να αναλάβουν ενέργειες ενημέρωσης και επικοινωνίας σχετικά με την παρούσα οδηγία, ιδίως όσον αφορά τις δυνατότητες και τα οφέλη της για τις ΜΜΕ.</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7</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(6)</w:t>
            </w:r>
            <w:r w:rsidRPr="00777571">
              <w:tab/>
              <w:t xml:space="preserve">Προκειμένου να αποφευχθεί η κατάχρηση της έκπτωσης φόρου επί του μετοχικού κεφαλαίου, είναι αναγκαίο να θεσπιστούν ειδικοί κανόνες για την καταπολέμηση της φοροαποφυγής. Οι κανόνες αυτοί θα πρέπει να στοχεύουν, ειδικότερα, στα συστήματα που εφαρμόζονται για την παράκαμψη των όρων υπό τους οποίους μια αύξηση μετοχικού κεφαλαίου πληροί τις προϋποθέσεις για τη χορήγηση έκπτωσης φόρου δυνάμει της παρούσας οδηγίας, για παράδειγμα, μέσω της </w:t>
            </w:r>
            <w:proofErr w:type="spellStart"/>
            <w:r w:rsidRPr="00777571">
              <w:t>ενδοομιλικής</w:t>
            </w:r>
            <w:proofErr w:type="spellEnd"/>
            <w:r w:rsidRPr="00777571">
              <w:t xml:space="preserve"> μεταβίβασης συμμετοχών σε συνδεδεμένες επιχειρήσεις. Οι κανόνες αυτοί θα πρέπει επίσης να στοχεύουν σε συστήματα που εφαρμόζονται για να ζητείται έκπτωση φόρου σε περίπτωση που δεν υπάρχει αύξηση μετοχικού κεφαλαίου σε επίπεδο ομίλου. Για παράδειγμα, για τους σκοπούς αυτούς θα μπορούσε να χρησιμοποιηθεί </w:t>
            </w:r>
            <w:proofErr w:type="spellStart"/>
            <w:r w:rsidRPr="00777571">
              <w:t>ενδοομιλική</w:t>
            </w:r>
            <w:proofErr w:type="spellEnd"/>
            <w:r w:rsidRPr="00777571">
              <w:t xml:space="preserve"> χρηματοδότηση μέσω χρέους ή συνεισφορές σε μετρητά. Ειδικοί κανόνες για την καταπολέμηση της φοροαποφυγής θα πρέπει επίσης να αποτρέπουν την εφαρμογή συστημάτων μέσω των οποίων μπορεί να υποστηρίζεται ότι η αύξηση του μετοχικού κεφαλαίου, και η αντίστοιχη έκπτωση φόρου, είναι υψηλότερη απ’ ό,τι στην πραγματικότητα, για παράδειγμα, μέσω αύξησης των εισπρακτέων απαιτήσεων που χρηματοδοτούνται μέσω δανείων ή υπερτίμησης των περιουσιακών στοιχείων. Επιπλέον, ο γενικός κανόνας για την καταπολέμηση των καταχρηστικών φορολογικών πρακτικών που προβλέπεται στο άρθρο 6 της οδηγίας (ΕΕ) 2016/1164</w:t>
            </w:r>
            <w:r w:rsidRPr="00777571">
              <w:rPr>
                <w:rStyle w:val="Sup"/>
              </w:rPr>
              <w:t>15</w:t>
            </w:r>
            <w:r w:rsidRPr="00777571">
              <w:t xml:space="preserve"> του Συμβουλίου εφαρμόζεται κατά των καταχρηστικών πράξεων που δεν καλύπτονται από το ειδικό πλαίσιο της παρούσας οδηγίας για την καταπολέμηση της φοροαποφυγής.</w:t>
            </w:r>
          </w:p>
        </w:tc>
        <w:tc>
          <w:tcPr>
            <w:tcW w:w="4876" w:type="dxa"/>
          </w:tcPr>
          <w:p w:rsidR="00F8551D" w:rsidRPr="00777571" w:rsidRDefault="00F8551D" w:rsidP="00CE6305">
            <w:pPr>
              <w:pStyle w:val="Normal6a"/>
            </w:pPr>
            <w:r w:rsidRPr="00777571">
              <w:t>(6)</w:t>
            </w:r>
            <w:r w:rsidRPr="00777571">
              <w:tab/>
              <w:t xml:space="preserve">Προκειμένου να αποφευχθεί η κατάχρηση της έκπτωσης φόρου επί του μετοχικού κεφαλαίου, είναι αναγκαίο να θεσπιστούν ειδικοί κανόνες για την καταπολέμηση της φοροαποφυγής. Οι κανόνες αυτοί θα πρέπει να στοχεύουν, ειδικότερα, στα συστήματα που εφαρμόζονται για την παράκαμψη των όρων υπό τους οποίους μια αύξηση μετοχικού κεφαλαίου πληροί τις προϋποθέσεις για τη χορήγηση έκπτωσης φόρου δυνάμει της παρούσας οδηγίας, για παράδειγμα, μέσω της </w:t>
            </w:r>
            <w:proofErr w:type="spellStart"/>
            <w:r w:rsidRPr="00777571">
              <w:t>ενδοομιλικής</w:t>
            </w:r>
            <w:proofErr w:type="spellEnd"/>
            <w:r w:rsidRPr="00777571">
              <w:t xml:space="preserve"> μεταβίβασης συμμετοχών σε συνδεδεμένες επιχειρήσεις. Οι κανόνες αυτοί θα πρέπει επίσης να στοχεύουν σε συστήματα που εφαρμόζονται για να ζητείται έκπτωση φόρου σε περίπτωση που δεν υπάρχει αύξηση μετοχικού κεφαλαίου σε επίπεδο ομίλου. Για παράδειγμα, για τους σκοπούς αυτούς θα μπορούσε να χρησιμοποιηθεί </w:t>
            </w:r>
            <w:proofErr w:type="spellStart"/>
            <w:r w:rsidRPr="00777571">
              <w:t>ενδοομιλική</w:t>
            </w:r>
            <w:proofErr w:type="spellEnd"/>
            <w:r w:rsidRPr="00777571">
              <w:t xml:space="preserve"> χρηματοδότηση μέσω χρέους ή συνεισφορές σε μετρητά. Ειδικοί κανόνες για την καταπολέμηση της φοροαποφυγής θα πρέπει επίσης να αποτρέπουν την εφαρμογή συστημάτων μέσω των οποίων μπορεί να υποστηρίζεται ότι η αύξηση του μετοχικού κεφαλαίου, και η αντίστοιχη έκπτωση φόρου, είναι υψηλότερη απ’ ό,τι στην πραγματικότητα, για παράδειγμα, μέσω αύξησης των εισπρακτέων απαιτήσεων που χρηματοδοτούνται μέσω δανείων ή υπερτίμησης των περιουσιακών στοιχείων. Επιπλέον, ο γενικός κανόνας για την καταπολέμηση των καταχρηστικών φορολογικών πρακτικών που προβλέπεται στο άρθρο 6 της οδηγίας (ΕΕ) 2016/1164</w:t>
            </w:r>
            <w:r w:rsidRPr="00777571">
              <w:rPr>
                <w:rStyle w:val="Sup"/>
              </w:rPr>
              <w:t>15</w:t>
            </w:r>
            <w:r w:rsidRPr="00777571">
              <w:t xml:space="preserve"> του Συμβουλίου εφαρμόζεται κατά των καταχρηστικών πράξεων που δεν καλύπτονται από το ειδικό πλαίσιο της παρούσας οδηγίας για την καταπολέμηση της φοροαποφυγής. </w:t>
            </w:r>
            <w:r w:rsidRPr="00777571">
              <w:rPr>
                <w:b/>
                <w:i/>
              </w:rPr>
              <w:t>Τα κράτη μέλη θα πρέπει επίσης να διασφαλίζουν ότι τα μέτρα που εγκρίνουν για τη μεταφορά της παρούσας οδηγίας στο εθνικό δίκαιο συμμορφώνονται με τις κατευθυντήριες γραμμές που παρέχονται από την ομάδα «Κώδικας δεοντολογίας» (φορολογία των επιχειρήσεων).</w:t>
            </w:r>
          </w:p>
        </w:tc>
      </w:tr>
      <w:tr w:rsidR="00F8551D" w:rsidRPr="00777571" w:rsidTr="00CE6305">
        <w:trPr>
          <w:jc w:val="center"/>
        </w:trPr>
        <w:tc>
          <w:tcPr>
            <w:tcW w:w="4876" w:type="dxa"/>
          </w:tcPr>
          <w:p w:rsidR="00F8551D" w:rsidRPr="00777571" w:rsidRDefault="00F8551D" w:rsidP="00CE6305">
            <w:pPr>
              <w:pStyle w:val="Normal6a"/>
            </w:pPr>
            <w:r w:rsidRPr="00777571">
              <w:rPr>
                <w:b/>
                <w:i/>
              </w:rPr>
              <w:t>_________________</w:t>
            </w:r>
          </w:p>
        </w:tc>
        <w:tc>
          <w:tcPr>
            <w:tcW w:w="4876" w:type="dxa"/>
          </w:tcPr>
          <w:p w:rsidR="00F8551D" w:rsidRPr="00777571" w:rsidRDefault="00F8551D" w:rsidP="00CE6305">
            <w:pPr>
              <w:pStyle w:val="Normal6a"/>
            </w:pPr>
            <w:r w:rsidRPr="00777571">
              <w:rPr>
                <w:b/>
                <w:i/>
              </w:rPr>
              <w:t>_________________</w:t>
            </w:r>
          </w:p>
        </w:tc>
      </w:tr>
      <w:tr w:rsidR="00F8551D" w:rsidRPr="00777571" w:rsidTr="00CE6305">
        <w:trPr>
          <w:jc w:val="center"/>
        </w:trPr>
        <w:tc>
          <w:tcPr>
            <w:tcW w:w="4876" w:type="dxa"/>
          </w:tcPr>
          <w:p w:rsidR="00F8551D" w:rsidRPr="00777571" w:rsidRDefault="00F8551D" w:rsidP="00CE6305">
            <w:pPr>
              <w:pStyle w:val="Normal6a"/>
            </w:pPr>
            <w:r w:rsidRPr="00777571">
              <w:rPr>
                <w:rStyle w:val="Sup"/>
              </w:rPr>
              <w:t>15</w:t>
            </w:r>
            <w:r w:rsidRPr="00777571">
              <w:t xml:space="preserve"> Οδηγία (ΕΕ) 2016/1164 του Συμβουλίου, της 12ης Ιουλίου 2016, για τη θέσπιση κανόνων κατά πρακτικών φοροαποφυγής που έχουν άμεση επίπτωση στη λειτουργία της εσωτερικής αγοράς (ΕΕ L 193 της 19.7.2016, σ. 1).</w:t>
            </w:r>
          </w:p>
        </w:tc>
        <w:tc>
          <w:tcPr>
            <w:tcW w:w="4876" w:type="dxa"/>
          </w:tcPr>
          <w:p w:rsidR="00F8551D" w:rsidRPr="00777571" w:rsidRDefault="00F8551D" w:rsidP="00CE6305">
            <w:pPr>
              <w:pStyle w:val="Normal6a"/>
            </w:pPr>
            <w:r w:rsidRPr="00777571">
              <w:rPr>
                <w:rStyle w:val="Sup"/>
              </w:rPr>
              <w:t>15</w:t>
            </w:r>
            <w:r w:rsidRPr="00777571">
              <w:t xml:space="preserve"> Οδηγία (ΕΕ) 2016/1164 του Συμβουλίου, της 12ης Ιουλίου 2016, για τη θέσπιση κανόνων κατά πρακτικών φοροαποφυγής που έχουν άμεση επίπτωση στη λειτουργία της εσωτερικής αγοράς (ΕΕ L 193 της 19.7.2016, σ. 1).</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8</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6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rPr>
                <w:b/>
                <w:i/>
              </w:rPr>
            </w:pPr>
          </w:p>
        </w:tc>
        <w:tc>
          <w:tcPr>
            <w:tcW w:w="4876" w:type="dxa"/>
          </w:tcPr>
          <w:p w:rsidR="00F8551D" w:rsidRPr="00777571" w:rsidRDefault="00F8551D" w:rsidP="00CE6305">
            <w:pPr>
              <w:pStyle w:val="Normal6a"/>
              <w:rPr>
                <w:i/>
                <w:szCs w:val="24"/>
              </w:rPr>
            </w:pPr>
            <w:r w:rsidRPr="00777571">
              <w:rPr>
                <w:b/>
                <w:i/>
              </w:rPr>
              <w:t>(6a)</w:t>
            </w:r>
            <w:r w:rsidRPr="00777571">
              <w:rPr>
                <w:b/>
                <w:i/>
              </w:rPr>
              <w:tab/>
              <w:t>Το πιθανό δημοσιονομικό κόστος από την εφαρμογή της παρούσας οδηγίας θα πρέπει να αξιολογηθεί μαζί με τα οφέλη από τη διασφάλιση μιας πιο εύρωστης χρηματοδοτικής βάσης για τις εταιρείες της Ένωσης, που θα ήταν υψίστης σημασίας σε περιπτώσεις οικονομικών πιέσεων.</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9</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(7)</w:t>
            </w:r>
            <w:r w:rsidRPr="00777571">
              <w:tab/>
              <w:t xml:space="preserve">Για την αποτελεσματική αντιμετώπιση της στρέβλωσης που προκαλείται από την ευνοϊκή από φορολογική άποψη μεταχείριση του χρέους έναντι του μετοχικού κεφαλαίου κατά τρόπο βιώσιμο για τα δημόσια οικονομικά της Ένωσης, η έκπτωση φόρου για χρηματοδότηση μέσω μετοχικού κεφαλαίου θα πρέπει να συνοδεύεται από </w:t>
            </w:r>
            <w:r w:rsidRPr="00777571">
              <w:rPr>
                <w:b/>
                <w:i/>
              </w:rPr>
              <w:t>περιορισμό της έκπτωσης</w:t>
            </w:r>
            <w:r w:rsidRPr="00777571">
              <w:t xml:space="preserve"> για </w:t>
            </w:r>
            <w:r w:rsidRPr="00777571">
              <w:rPr>
                <w:b/>
                <w:i/>
              </w:rPr>
              <w:t>το κόστος χρηματοδότησης μέσω χρέους.</w:t>
            </w:r>
            <w:r w:rsidRPr="00777571">
              <w:t xml:space="preserve"> </w:t>
            </w:r>
            <w:r w:rsidRPr="00777571">
              <w:rPr>
                <w:b/>
                <w:i/>
              </w:rPr>
              <w:t>Ως εκ τούτου, ένας κανόνας περιορισμού των τόκων θα πρέπει να περιορίζει την έκπτωση του υπερβαίνοντος κόστους δανεισμού και να εφαρμόζεται ανεξάρτητα από την έκπτωση φόρου.</w:t>
            </w:r>
            <w:r w:rsidRPr="00777571">
              <w:t xml:space="preserve"> Δεδομένων των διαφορετικών στόχων μεταξύ του κανόνα αυτού και του υφιστάμενου κανόνα για την καταπολέμηση της φοροαποφυγής, ο οποίος αφορά τον περιορισμό των τόκων και προβλέπεται στο άρθρο 4 της οδηγίας (ΕΕ) 2016/1164, θα πρέπει να διατηρηθούν αμφότεροι οι κανόνες. Οι φορολογούμενες εταιρείες θα πρέπει να υπολογίζουν την έκπτωση του υπερβαίνοντος κόστους δανεισμού πρώτα βάσει της παρούσας οδηγίας και στη συνέχεια βάσει της ATAD. Σε περίπτωση που η τελευταία έχει ως αποτέλεσμα χαμηλότερο ποσό </w:t>
            </w:r>
            <w:proofErr w:type="spellStart"/>
            <w:r w:rsidRPr="00777571">
              <w:t>εκπιπτόμενου</w:t>
            </w:r>
            <w:proofErr w:type="spellEnd"/>
            <w:r w:rsidRPr="00777571">
              <w:t xml:space="preserve"> υπερβαίνοντος κόστους δανεισμού, η φορολογούμενη εταιρεία θα πρέπει να αφαιρεί το εν λόγω χαμηλότερο ποσό και να μεταφέρει σε μεταγενέστερο ή προγενέστερο χρόνο οποιαδήποτε διαφορά μεταξύ των δύο ποσών σύμφωνα με το άρθρο 4 της ATAD.</w:t>
            </w:r>
          </w:p>
        </w:tc>
        <w:tc>
          <w:tcPr>
            <w:tcW w:w="4876" w:type="dxa"/>
          </w:tcPr>
          <w:p w:rsidR="00F8551D" w:rsidRPr="00777571" w:rsidRDefault="00F8551D" w:rsidP="00CE6305">
            <w:pPr>
              <w:pStyle w:val="Normal6a"/>
              <w:rPr>
                <w:szCs w:val="24"/>
              </w:rPr>
            </w:pPr>
            <w:r w:rsidRPr="00777571">
              <w:t>(7)</w:t>
            </w:r>
            <w:r w:rsidRPr="00777571">
              <w:tab/>
              <w:t xml:space="preserve">Για την αποτελεσματική αντιμετώπιση της στρέβλωσης που προκαλείται από την ευνοϊκή από φορολογική άποψη μεταχείριση του χρέους έναντι του μετοχικού κεφαλαίου κατά τρόπο βιώσιμο για τα δημόσια οικονομικά της Ένωσης, η έκπτωση φόρου για χρηματοδότηση μέσω μετοχικού κεφαλαίου θα πρέπει να συνοδεύεται από </w:t>
            </w:r>
            <w:r w:rsidRPr="00777571">
              <w:rPr>
                <w:b/>
                <w:i/>
              </w:rPr>
              <w:t>έναν κανόνα που θα περιορίζει την έκπτωση του υπερβαίνοντος κόστους δανεισμού</w:t>
            </w:r>
            <w:r w:rsidRPr="00777571">
              <w:t xml:space="preserve"> για </w:t>
            </w:r>
            <w:r w:rsidRPr="00777571">
              <w:rPr>
                <w:b/>
                <w:i/>
              </w:rPr>
              <w:t>ομίλους που δεν είναι μεσαίοι και για επιχειρήσεις που δεν είναι ΜΜΕ.</w:t>
            </w:r>
            <w:r w:rsidRPr="00777571">
              <w:t xml:space="preserve"> </w:t>
            </w:r>
            <w:r w:rsidRPr="00777571">
              <w:rPr>
                <w:b/>
                <w:i/>
              </w:rPr>
              <w:t>Ωστόσο, δεδομένων</w:t>
            </w:r>
            <w:r w:rsidRPr="00777571">
              <w:t xml:space="preserve"> των </w:t>
            </w:r>
            <w:r w:rsidRPr="00777571">
              <w:rPr>
                <w:b/>
                <w:i/>
              </w:rPr>
              <w:t>δυσμενών οικονομικών συνθηκών που απορρέουν από</w:t>
            </w:r>
            <w:r w:rsidRPr="00777571">
              <w:t xml:space="preserve"> την </w:t>
            </w:r>
            <w:r w:rsidRPr="00777571">
              <w:rPr>
                <w:b/>
                <w:i/>
              </w:rPr>
              <w:t>κρίση COVID-19 και τον επιθετικό πόλεμο της Ρωσίας κατά της Ουκρανίας, ο εν λόγω κανόνας περιορισμού δεν θα πρέπει</w:t>
            </w:r>
            <w:r w:rsidRPr="00777571">
              <w:t xml:space="preserve"> να </w:t>
            </w:r>
            <w:r w:rsidRPr="00777571">
              <w:rPr>
                <w:b/>
                <w:i/>
              </w:rPr>
              <w:t>θεσπιστεί παρά μόνο</w:t>
            </w:r>
            <w:r w:rsidRPr="00777571">
              <w:t xml:space="preserve"> από </w:t>
            </w:r>
            <w:r w:rsidRPr="00777571">
              <w:rPr>
                <w:b/>
                <w:i/>
              </w:rPr>
              <w:t>το 2027 και μετά</w:t>
            </w:r>
            <w:r w:rsidRPr="00777571">
              <w:t xml:space="preserve">. Δεδομένων των διαφορετικών στόχων μεταξύ του κανόνα αυτού και του υφιστάμενου κανόνα για την καταπολέμηση της φοροαποφυγής, ο οποίος αφορά τον περιορισμό των τόκων και προβλέπεται στο άρθρο 4 της οδηγίας (ΕΕ) 2016/1164, θα πρέπει να διατηρηθούν αμφότεροι οι κανόνες. Οι φορολογούμενες εταιρείες θα πρέπει να υπολογίζουν την έκπτωση του υπερβαίνοντος κόστους δανεισμού πρώτα βάσει της παρούσας οδηγίας και στη συνέχεια βάσει της ATAD. Σε περίπτωση που η τελευταία έχει ως αποτέλεσμα χαμηλότερο ποσό </w:t>
            </w:r>
            <w:proofErr w:type="spellStart"/>
            <w:r w:rsidRPr="00777571">
              <w:t>εκπιπτόμενου</w:t>
            </w:r>
            <w:proofErr w:type="spellEnd"/>
            <w:r w:rsidRPr="00777571">
              <w:t xml:space="preserve"> υπερβαίνοντος κόστους δανεισμού, η φορολογούμενη εταιρεία θα πρέπει να αφαιρεί το εν λόγω χαμηλότερο ποσό και να μεταφέρει σε μεταγενέστερο ή προγενέστερο χρόνο οποιαδήποτε διαφορά μεταξύ των δύο ποσών σύμφωνα με το άρθρο 4 της ATAD.</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10</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Αιτιολογική σκέψη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(9)</w:t>
            </w:r>
            <w:r w:rsidRPr="00777571">
              <w:tab/>
              <w:t>Για την αξιολόγηση της αποτελεσματικότητας της παρούσας οδηγίας, η Επιτροπή θα πρέπει να εκπονήσει και να δημοσιεύσει έκθεση αξιολόγησης με βάση τις πληροφορίες που παρέχονται από τα κράτη μέλη καθώς και άλλα διαθέσιμα στοιχεία.</w:t>
            </w:r>
          </w:p>
        </w:tc>
        <w:tc>
          <w:tcPr>
            <w:tcW w:w="4876" w:type="dxa"/>
          </w:tcPr>
          <w:p w:rsidR="00F8551D" w:rsidRPr="00777571" w:rsidRDefault="00F8551D" w:rsidP="00CE6305">
            <w:pPr>
              <w:pStyle w:val="Normal6a"/>
              <w:rPr>
                <w:szCs w:val="24"/>
              </w:rPr>
            </w:pPr>
            <w:r w:rsidRPr="00777571">
              <w:t>(9)</w:t>
            </w:r>
            <w:r w:rsidRPr="00777571">
              <w:tab/>
              <w:t xml:space="preserve">Για την αξιολόγηση της αποτελεσματικότητας της παρούσας οδηγίας, </w:t>
            </w:r>
            <w:r w:rsidRPr="00777571">
              <w:rPr>
                <w:b/>
                <w:i/>
              </w:rPr>
              <w:t xml:space="preserve">καθώς και του αντικτύπου της στις ΜΜΕ και στα φορολογικά έσοδα στα κράτη μέλη, </w:t>
            </w:r>
            <w:r w:rsidRPr="00777571">
              <w:t xml:space="preserve">η Επιτροπή θα πρέπει να εκπονήσει και να δημοσιεύσει έκθεση αξιολόγησης με βάση τις πληροφορίες που παρέχονται από τα κράτη μέλη καθώς και άλλα διαθέσιμα στοιχεία. </w:t>
            </w:r>
            <w:r w:rsidRPr="00777571">
              <w:rPr>
                <w:b/>
                <w:i/>
              </w:rPr>
              <w:t>Η έκθεση αυτή θα πρέπει να δίνει ιδιαίτερη προσοχή στις ΜΜΕ και να αξιολογεί ιδίως κατά πόσον οι ειδικοί όροι των οποίων μπορούν να κάνουν χρήση οι ΜΜΕ έχουν αποδειχθεί επαρκείς για την αύξηση της ελκυστικότητας της χρηματοδότησής τους με μετοχικό κεφάλαιο. Σε περίπτωση αρνητικής αξιολόγησης στην εν λόγω έκθεση, η Επιτροπή θα πρέπει, χωρίς αδικαιολόγητη καθυστέρηση, να υποβάλει στο Ευρωπαϊκό Κοινοβούλιο και στο Συμβούλιο νομοθετική πρόταση για την αντιμετώπιση του θέματος. Η έκθεση της Επιτροπής θα πρέπει να δημοσιευθεί.</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11</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Άρθρο 3 – παράγραφος 1 – σημείο 5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pPr>
            <w:r w:rsidRPr="00777571">
              <w:rPr>
                <w:b/>
                <w:i/>
              </w:rPr>
              <w:t>5a)</w:t>
            </w:r>
            <w:r w:rsidRPr="00777571">
              <w:tab/>
            </w:r>
            <w:r w:rsidRPr="00777571">
              <w:rPr>
                <w:b/>
                <w:i/>
              </w:rPr>
              <w:t>«μεγάλη επιχείρηση»: η μεγάλη επιχείρηση κατά την έννοια του άρθρου 3 παράγραφος 4 της οδηγίας 2013/34/ΕΕ·</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12</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Άρθρο 3 – παράγραφος 1 – σημείο 5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pPr>
            <w:r w:rsidRPr="00777571">
              <w:rPr>
                <w:b/>
                <w:i/>
              </w:rPr>
              <w:t>5β)</w:t>
            </w:r>
            <w:r w:rsidRPr="00777571">
              <w:tab/>
            </w:r>
            <w:r w:rsidRPr="00777571">
              <w:rPr>
                <w:b/>
                <w:i/>
              </w:rPr>
              <w:t>«μεσαίος όμιλος»: ο μεσαίος όμιλος κατά την έννοια του άρθρου 3 παράγραφος 6 της οδηγίας 2013/34/ΕΕ·</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13</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Άρθρο 3 – παράγραφος 1 – σημείο 5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pPr>
            <w:r w:rsidRPr="00777571">
              <w:rPr>
                <w:b/>
                <w:i/>
              </w:rPr>
              <w:t>5γ)</w:t>
            </w:r>
            <w:r w:rsidRPr="00777571">
              <w:tab/>
            </w:r>
            <w:r w:rsidRPr="00777571">
              <w:rPr>
                <w:b/>
                <w:i/>
              </w:rPr>
              <w:t>«μεγάλος όμιλος»: ο μεγάλος όμιλος κατά την έννοια του άρθρου 3 παράγραφος 7 της οδηγίας 2013/34/ΕΕ·</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14</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4 – παράγραφος 1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Η έκπτωση φόρου επί του μετοχικού κεφαλαίου εφαρμόζεται, για</w:t>
            </w:r>
            <w:r w:rsidRPr="00777571">
              <w:rPr>
                <w:b/>
                <w:i/>
              </w:rPr>
              <w:t xml:space="preserve"> </w:t>
            </w:r>
            <w:r w:rsidRPr="00777571">
              <w:t xml:space="preserve">10 διαδοχικές φορολογικές περιόδους, στη φορολογητέα βάση μιας </w:t>
            </w:r>
            <w:r w:rsidRPr="00777571">
              <w:rPr>
                <w:b/>
                <w:bCs/>
                <w:i/>
                <w:iCs/>
              </w:rPr>
              <w:t>φορολογούμενης εταιρείας</w:t>
            </w:r>
            <w:r w:rsidRPr="00777571">
              <w:t xml:space="preserve"> για τους σκοπούς του φόρου εισοδήματος εταιρειών έως το 30 % των κερδών προ τόκων, φόρων, απομείωσης και αποσβέσεων της φορολογούμενης εταιρείας («EBITDA»).</w:t>
            </w:r>
          </w:p>
        </w:tc>
        <w:tc>
          <w:tcPr>
            <w:tcW w:w="4876" w:type="dxa"/>
          </w:tcPr>
          <w:p w:rsidR="00F8551D" w:rsidRPr="00777571" w:rsidRDefault="00F8551D" w:rsidP="00CE6305">
            <w:pPr>
              <w:pStyle w:val="Normal6a"/>
              <w:rPr>
                <w:szCs w:val="24"/>
              </w:rPr>
            </w:pPr>
            <w:r w:rsidRPr="00777571">
              <w:t>Η έκπτωση φόρου επί του μετοχικού κεφαλαίου εφαρμόζεται, για</w:t>
            </w:r>
            <w:r w:rsidRPr="00777571">
              <w:rPr>
                <w:b/>
                <w:i/>
              </w:rPr>
              <w:t>:</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686751">
            <w:pPr>
              <w:pStyle w:val="Normal6a"/>
            </w:pPr>
            <w:r w:rsidRPr="00777571">
              <w:rPr>
                <w:b/>
                <w:i/>
              </w:rPr>
              <w:t>–</w:t>
            </w:r>
            <w:r w:rsidRPr="00777571">
              <w:tab/>
              <w:t xml:space="preserve">10 διαδοχικές φορολογικές περιόδους, στη φορολογητέα βάση μιας </w:t>
            </w:r>
            <w:r w:rsidRPr="00777571">
              <w:rPr>
                <w:b/>
                <w:bCs/>
                <w:i/>
                <w:iCs/>
              </w:rPr>
              <w:t>ΜΜΕ ή ενός μεσαίου ομίλου</w:t>
            </w:r>
            <w:r w:rsidRPr="00777571">
              <w:t xml:space="preserve"> για τους σκοπούς του φόρου εισοδήματος εταιρειών έως το 30 % των κερδών προ τόκων, φόρων, απομείωσης και αποσβέσεων («EBITDA»)</w:t>
            </w:r>
            <w:r w:rsidR="00686751" w:rsidRPr="00777571">
              <w:t xml:space="preserve"> της φορολογούμενης εταιρείας </w:t>
            </w:r>
            <w:r w:rsidRPr="00777571">
              <w:t>.</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686751">
            <w:pPr>
              <w:pStyle w:val="Normal6a"/>
              <w:rPr>
                <w:b/>
                <w:i/>
              </w:rPr>
            </w:pPr>
            <w:r w:rsidRPr="00777571">
              <w:rPr>
                <w:b/>
                <w:i/>
              </w:rPr>
              <w:t>–</w:t>
            </w:r>
            <w:r w:rsidRPr="00777571">
              <w:rPr>
                <w:b/>
                <w:i/>
              </w:rPr>
              <w:tab/>
              <w:t>7 διαδοχικές φορολογικές περιόδους, στη φορολογητέα βάση οποιασδήποτε μεγάλης επιχείρησης ή μεγάλου ομίλου για τους σκοπούς του φόρου εισοδήματος εταιρειών έως το 30 % των EBITDA</w:t>
            </w:r>
            <w:r w:rsidR="00686751" w:rsidRPr="00777571">
              <w:rPr>
                <w:b/>
                <w:i/>
              </w:rPr>
              <w:t xml:space="preserve"> της φορολογούμενης εταιρείας</w:t>
            </w:r>
            <w:r w:rsidRPr="00777571">
              <w:rPr>
                <w:b/>
                <w:i/>
              </w:rPr>
              <w:t>.</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15</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4 – παράγραφος 1 – εδάφιο 1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szCs w:val="24"/>
              </w:rPr>
            </w:pPr>
            <w:r w:rsidRPr="00777571">
              <w:rPr>
                <w:b/>
                <w:i/>
              </w:rPr>
              <w:t>Τα κράτη μέλη διασφαλίζουν ότι οι φορολογούμενες εταιρείες έχουν τη δυνατότητα να μεταφέρουν, για 3 φορολογικές περιόδους κατ’ ανώτατο όριο, το τμήμα της έκπτωσης φόρου επί του μετοχικού κεφαλαίου που υπερβαίνει το ποσοστό των EBITDA σε μια φορολογική περίοδο που καθορίζεται στο πρώτο εδάφιο.</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16</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4 – παράγραφος 1 – εδάφιο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Εάν η έκπτωση φόρου επί του μετοχικού κεφαλαίου, σύμφωνα με το πρώτο εδάφιο, είναι υψηλότερη από το καθαρό φορολογητέο εισόδημα της φορολογούμενης εταιρείας σε μια φορολογική περίοδο, τα κράτη μέλη διασφαλίζουν ότι η φορολογούμενη εταιρεία μπορεί να μεταφέρει</w:t>
            </w:r>
            <w:r w:rsidRPr="00777571">
              <w:rPr>
                <w:b/>
                <w:i/>
              </w:rPr>
              <w:t>, χωρίς χρονικό περιορισμό, στις επόμενες περιόδους</w:t>
            </w:r>
            <w:r w:rsidRPr="00777571">
              <w:t xml:space="preserve"> το υπερβάλλον ποσό της έκπτωσης φόρου επί του μετοχικού κεφαλαίου</w:t>
            </w:r>
            <w:r w:rsidRPr="00777571">
              <w:rPr>
                <w:b/>
                <w:i/>
              </w:rPr>
              <w:t>.</w:t>
            </w:r>
          </w:p>
        </w:tc>
        <w:tc>
          <w:tcPr>
            <w:tcW w:w="4876" w:type="dxa"/>
          </w:tcPr>
          <w:p w:rsidR="00F8551D" w:rsidRPr="00777571" w:rsidRDefault="00F8551D" w:rsidP="00CE6305">
            <w:pPr>
              <w:pStyle w:val="Normal6a"/>
              <w:rPr>
                <w:szCs w:val="24"/>
              </w:rPr>
            </w:pPr>
            <w:r w:rsidRPr="00777571">
              <w:t>Εάν η έκπτωση φόρου επί του μετοχικού κεφαλαίου, σύμφωνα με το πρώτο εδάφιο, είναι υψηλότερη από το καθαρό φορολογητέο εισόδημα της φορολογούμενης εταιρείας σε μια φορολογική περίοδο, τα κράτη μέλη διασφαλίζουν ότι η φορολογούμενη εταιρεία μπορεί να μεταφέρει το υπερβάλλον ποσό της έκπτωσης φόρου επί του μετοχικού κεφαλαίου</w:t>
            </w:r>
            <w:r w:rsidRPr="00777571">
              <w:rPr>
                <w:b/>
                <w:i/>
              </w:rPr>
              <w:t xml:space="preserve"> ως εξής:</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6B6294" w:rsidP="006B6294">
            <w:pPr>
              <w:pStyle w:val="Normal6a"/>
              <w:rPr>
                <w:szCs w:val="24"/>
              </w:rPr>
            </w:pPr>
            <w:r w:rsidRPr="00777571">
              <w:rPr>
                <w:b/>
                <w:i/>
              </w:rPr>
              <w:t>–</w:t>
            </w:r>
            <w:r w:rsidR="00F8551D" w:rsidRPr="00777571">
              <w:rPr>
                <w:b/>
                <w:i/>
              </w:rPr>
              <w:tab/>
              <w:t>για 3 φορολογικές περιόδους κατ’ ανώτατο όριο, όταν η φορολογούμενη εταιρεία είναι μεγάλη επιχείρηση ή μεγάλος όμιλος·</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6B6294" w:rsidP="00CE6305">
            <w:pPr>
              <w:pStyle w:val="Normal6a"/>
              <w:rPr>
                <w:szCs w:val="24"/>
              </w:rPr>
            </w:pPr>
            <w:r w:rsidRPr="00777571">
              <w:rPr>
                <w:b/>
                <w:i/>
              </w:rPr>
              <w:t>–</w:t>
            </w:r>
            <w:r w:rsidR="00F8551D" w:rsidRPr="00777571">
              <w:rPr>
                <w:b/>
                <w:i/>
              </w:rPr>
              <w:tab/>
              <w:t>χωρίς χρονικό περιορισμό, όταν η φορολογούμενη εταιρεία είναι ΜΜΕ ή μεσαίος όμιλος.</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17</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4 – παράγραφος 1 – εδάφιο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rPr>
                <w:b/>
                <w:i/>
              </w:rPr>
            </w:pPr>
            <w:r w:rsidRPr="00777571">
              <w:rPr>
                <w:b/>
                <w:i/>
              </w:rPr>
              <w:t>Τα κράτη μέλη διασφαλίζουν ότι οι φορολογούμενες εταιρείες μπορούν να μεταφέρουν, για πέντε φορολογικές περιόδους κατ’ ανώτατο όριο, το τμήμα της έκπτωσης φόρου επί του μετοχικού κεφαλαίου που υπερβαίνει το 30 % των EBITDA σε μια φορολογική περίοδο.</w:t>
            </w:r>
          </w:p>
        </w:tc>
        <w:tc>
          <w:tcPr>
            <w:tcW w:w="4876" w:type="dxa"/>
          </w:tcPr>
          <w:p w:rsidR="00F8551D" w:rsidRPr="00777571" w:rsidRDefault="00F8551D" w:rsidP="00CE6305">
            <w:pPr>
              <w:pStyle w:val="Normal6a"/>
              <w:rPr>
                <w:b/>
                <w:i/>
                <w:szCs w:val="24"/>
              </w:rPr>
            </w:pPr>
            <w:r w:rsidRPr="00777571">
              <w:rPr>
                <w:b/>
                <w:i/>
              </w:rPr>
              <w:t xml:space="preserve">διαγράφεται </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18</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Άρθρο 4 – παράγραφος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Με την επιφύλαξη του άρθρου 5, η βάση της έκπτωσης φόρου επί του μετοχικού κεφαλαίου υπολογίζεται ως η διαφορά μεταξύ του επιπέδου του καθαρού μετοχικού κεφαλαίου στο τέλος της φορολογικής περιόδου και του επιπέδου του καθαρού μετοχικού κεφαλαίου στο τέλος της προηγούμενης φορολογικής περιόδου.</w:t>
            </w:r>
          </w:p>
        </w:tc>
        <w:tc>
          <w:tcPr>
            <w:tcW w:w="4876" w:type="dxa"/>
          </w:tcPr>
          <w:p w:rsidR="00F8551D" w:rsidRPr="00777571" w:rsidRDefault="00F8551D" w:rsidP="00CE6305">
            <w:pPr>
              <w:pStyle w:val="Normal6a"/>
            </w:pPr>
            <w:r w:rsidRPr="00777571">
              <w:t>Με την επιφύλαξη του άρθρου 5, η βάση της έκπτωσης φόρου επί του μετοχικού κεφαλαίου υπολογίζεται ως η διαφορά μεταξύ του επιπέδου του καθαρού μετοχικού κεφαλαίου στο τέλος της φορολογικής περιόδου και του επιπέδου του καθαρού μετοχικού κεφαλαίου στο τέλος της προηγούμενης φορολογικής περιόδου</w:t>
            </w:r>
            <w:r w:rsidRPr="00777571">
              <w:rPr>
                <w:b/>
                <w:i/>
              </w:rPr>
              <w:t>, με άλλα λόγια, η ετήσια αύξηση του καθαρού μετοχικού κεφαλαίου</w:t>
            </w:r>
            <w:r w:rsidRPr="00777571">
              <w:t>.</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19</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4 – παράγραφος 2 – εδάφιο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Η έκπτωση φόρου επί του μετοχικού κεφαλαίου ισούται με τη βάση της έκπτωσης φόρου πολλαπλασιαζόμενη επί το δεκαετές επιτόκιο άνευ κινδύνου για το σχετικό νόμισμα</w:t>
            </w:r>
            <w:r w:rsidRPr="00777571">
              <w:rPr>
                <w:b/>
                <w:i/>
              </w:rPr>
              <w:t xml:space="preserve"> και</w:t>
            </w:r>
            <w:r w:rsidRPr="00777571">
              <w:t xml:space="preserve"> προσαυξημένη κατά ασφάλιστρο κινδύνου 1 % </w:t>
            </w:r>
            <w:r w:rsidRPr="00777571">
              <w:rPr>
                <w:b/>
                <w:i/>
              </w:rPr>
              <w:t>ή, εάν η φορολογούμενη εταιρεία είναι</w:t>
            </w:r>
            <w:r w:rsidRPr="00777571">
              <w:t xml:space="preserve"> ΜΜΕ</w:t>
            </w:r>
            <w:r w:rsidRPr="00777571">
              <w:rPr>
                <w:b/>
                <w:i/>
              </w:rPr>
              <w:t>, κατά ασφάλιστρο κινδύνου 1,5 %.</w:t>
            </w:r>
          </w:p>
        </w:tc>
        <w:tc>
          <w:tcPr>
            <w:tcW w:w="4876" w:type="dxa"/>
          </w:tcPr>
          <w:p w:rsidR="00F8551D" w:rsidRPr="00777571" w:rsidRDefault="00F8551D" w:rsidP="00CE6305">
            <w:pPr>
              <w:pStyle w:val="Normal6a"/>
              <w:rPr>
                <w:szCs w:val="24"/>
              </w:rPr>
            </w:pPr>
            <w:r w:rsidRPr="00777571">
              <w:t>Η έκπτωση φόρου επί του μετοχικού κεφαλαίου ισούται με τη βάση της έκπτωσης φόρου πολλαπλασιαζόμενη επί το δεκαετές επιτόκιο άνευ κινδύνου για το σχετικό νόμισμα</w:t>
            </w:r>
            <w:r w:rsidRPr="00777571">
              <w:rPr>
                <w:b/>
                <w:i/>
              </w:rPr>
              <w:t>,</w:t>
            </w:r>
            <w:r w:rsidRPr="00777571">
              <w:t xml:space="preserve"> προσαυξημένη κατά ασφάλιστρο κινδύνου 1 % </w:t>
            </w:r>
            <w:r w:rsidRPr="00777571">
              <w:rPr>
                <w:b/>
                <w:i/>
              </w:rPr>
              <w:t>για τις</w:t>
            </w:r>
            <w:r w:rsidRPr="00777571">
              <w:t xml:space="preserve"> ΜΜΕ</w:t>
            </w:r>
            <w:r w:rsidRPr="00777571">
              <w:rPr>
                <w:b/>
                <w:i/>
              </w:rPr>
              <w:t>.</w:t>
            </w:r>
            <w:r w:rsidRPr="00777571">
              <w:t xml:space="preserve"> </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20</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4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3.</w:t>
            </w:r>
            <w:r w:rsidRPr="00777571">
              <w:tab/>
              <w:t>Εάν, μετά τη λήψη έκπτωσης φόρου επί του μετοχικού κεφαλαίου, η βάση της έκπτωσης φόρου επί του μετοχικού κεφαλαίου είναι αρνητική σε μια φορολογική περίοδο, ποσό ίσο με την αρνητική έκπτωση φόρου επί του μετοχικού κεφαλαίου καθίσταται φορολογητέο για 10 διαδοχικές φορολογικές περιόδους, έως τη συνολική αύξηση του καθαρού μετοχικού κεφαλαίου για το οποίο έχει ληφθεί τέτοια έκπτωση δυνάμει της παρούσας οδηγίας, εκτός εάν η φορολογούμενη εταιρεία προσκομίσει επαρκή στοιχεία που αποδεικνύουν ότι αυτό οφείλεται σε λογιστικές ζημίες που σημειώθηκαν κατά τη φορολογική περίοδο ή σε νομική υποχρέωση μείωσης του κεφαλαίου.</w:t>
            </w:r>
          </w:p>
        </w:tc>
        <w:tc>
          <w:tcPr>
            <w:tcW w:w="4876" w:type="dxa"/>
          </w:tcPr>
          <w:p w:rsidR="00F8551D" w:rsidRPr="00777571" w:rsidRDefault="00F8551D" w:rsidP="00CE6305">
            <w:pPr>
              <w:pStyle w:val="Normal6a"/>
              <w:rPr>
                <w:szCs w:val="24"/>
              </w:rPr>
            </w:pPr>
            <w:r w:rsidRPr="00777571">
              <w:t>3.</w:t>
            </w:r>
            <w:r w:rsidRPr="00777571">
              <w:tab/>
              <w:t>Εάν, μετά τη λήψη έκπτωσης φόρου επί του μετοχικού κεφαλαίου, η βάση της έκπτωσης φόρου επί του μετοχικού κεφαλαίου είναι αρνητική σε μια φορολογική περίοδο, ποσό ίσο με την αρνητική έκπτωση φόρου επί του μετοχικού κεφαλαίου καθίσταται φορολογητέο για 10 διαδοχικές φορολογικές περιόδους</w:t>
            </w:r>
            <w:r w:rsidRPr="00777571">
              <w:rPr>
                <w:b/>
                <w:i/>
              </w:rPr>
              <w:t xml:space="preserve"> για τις ΜΜΕ ή για μεσαίους ομίλους ή για 7 διαδοχικές φορολογικές περιόδους για οποιαδήποτε φορολογούμενη εταιρεία εκτός των ΜΜΕ ή μεσαίων ομίλων</w:t>
            </w:r>
            <w:r w:rsidRPr="00777571">
              <w:t>, έως τη συνολική αύξηση του καθαρού μετοχικού κεφαλαίου για το οποίο έχει ληφθεί τέτοια έκπτωση δυνάμει της παρούσας οδηγίας, εκτός εάν η φορολογούμενη εταιρεία προσκομίσει επαρκή στοιχεία που αποδεικνύουν ότι αυτό οφείλεται σε λογιστικές ζημίες που σημειώθηκαν κατά τη φορολογική περίοδο ή σε νομική υποχρέωση μείωσης του κεφαλαίου.</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21</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Άρθρο 5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pPr>
            <w:r w:rsidRPr="00777571">
              <w:rPr>
                <w:b/>
                <w:i/>
              </w:rPr>
              <w:t>3α.</w:t>
            </w:r>
            <w:r w:rsidRPr="00777571">
              <w:tab/>
            </w:r>
            <w:r w:rsidRPr="00777571">
              <w:rPr>
                <w:b/>
                <w:i/>
              </w:rPr>
              <w:t>Τα κράτη μέλη διασφαλίζουν ότι τα μέτρα που εγκρίνουν για τη μεταφορά του παρόντος άρθρου στο εθνικό δίκαιο συμμορφώνονται με τις κατευθυντήριες γραμμές που παρέχονται από την ομάδα «Κώδικας δεοντολογίας» (φορολογία των επιχειρήσεων) σχετικά με τα καθεστώτα έκπτωσης πλασματικών τόκων.</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22</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6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rPr>
                <w:b/>
                <w:i/>
              </w:rPr>
            </w:pPr>
            <w:r w:rsidRPr="00777571">
              <w:t>1.</w:t>
            </w:r>
            <w:r w:rsidRPr="00777571">
              <w:tab/>
              <w:t>Τα κράτη μέλη διασφαλίζουν ότι η φορολογούμενη εταιρεία μπορεί να αφαιρεί από τη φορολογητέα βάση της για σκοπούς φόρου εισοδήματος υπερβαίνον κόστος δανεισμού, όπως ορίζεται στο άρθρο 1 σημείο 2) της οδηγίας (ΕΕ) 2016/1164</w:t>
            </w:r>
            <w:r w:rsidRPr="00777571">
              <w:rPr>
                <w:vertAlign w:val="superscript"/>
              </w:rPr>
              <w:t>35</w:t>
            </w:r>
            <w:r w:rsidRPr="00777571">
              <w:t xml:space="preserve"> του Συμβουλίου, μέχρι ποσού α) που αντιστοιχεί στο 85 % του εν λόγω κόστους που προέκυψε κατά τη φορολογική περίοδο. Εάν το ποσό αυτό είναι υψηλότερο από το ποσό β) που καθορίζεται σύμφωνα με το άρθρο 4 της οδηγίας (ΕΕ) 2016/1164, τα κράτη μέλη διασφαλίζουν ότι η φορολογούμενη εταιρεία έχει δικαίωμα έκπτωσης μόνο του χαμηλότερου από τα δύο ποσά κατά τη φορολογική περίοδο. Η διαφορά μεταξύ των δύο ποσών α) και β) μεταφέρεται σε μεταγενέστερο ή προγενέστερο χρόνο σύμφωνα με το άρθρο 4 της οδηγίας (ΕΕ) 2016/1164. </w:t>
            </w:r>
          </w:p>
        </w:tc>
        <w:tc>
          <w:tcPr>
            <w:tcW w:w="4876" w:type="dxa"/>
          </w:tcPr>
          <w:p w:rsidR="00F8551D" w:rsidRPr="00777571" w:rsidRDefault="00F8551D" w:rsidP="006B6294">
            <w:pPr>
              <w:pStyle w:val="Normal6a"/>
            </w:pPr>
            <w:r w:rsidRPr="00777571">
              <w:t>1.</w:t>
            </w:r>
            <w:r w:rsidRPr="00777571">
              <w:tab/>
              <w:t>Τα κράτη μέλη διασφαλίζουν ότι η φορολογούμενη εταιρεία</w:t>
            </w:r>
            <w:r w:rsidRPr="00777571">
              <w:rPr>
                <w:b/>
                <w:i/>
              </w:rPr>
              <w:t>, που δεν είναι ΜΜΕ ή μεσαίος όμιλος,</w:t>
            </w:r>
            <w:r w:rsidRPr="00777571">
              <w:t xml:space="preserve"> μπορεί να αφαιρεί από τη φορολογητέα βάση της για σκοπούς φόρου εισοδήματος υπερβαίνον κόστος δανεισμού, όπως ορίζεται στο άρθρο 1 σημείο 2) της οδηγίας (ΕΕ) 2016/1164</w:t>
            </w:r>
            <w:r w:rsidR="006B6294" w:rsidRPr="00777571">
              <w:t xml:space="preserve"> του Συμβουλίου</w:t>
            </w:r>
            <w:r w:rsidRPr="00777571">
              <w:rPr>
                <w:vertAlign w:val="superscript"/>
              </w:rPr>
              <w:t>35</w:t>
            </w:r>
            <w:r w:rsidRPr="00777571">
              <w:t>, μέχρι ποσού α) που αντιστοιχεί στο 85 % του εν λόγω κόστους που προέκυψε κατά τη φορολογική περίοδο. Εάν το ποσό αυτό είναι υψηλότερο από το ποσό β) που καθορίζεται σύμφωνα με το άρθρο 4 της οδηγίας (ΕΕ) 2016/1164, τα κράτη μέλη διασφαλίζουν ότι η φορολογούμενη εταιρεία έχει δικαίωμα έκπτωσης μόνο του χαμηλότερου από τα δύο ποσά κατά τη φορολογική περίοδο. Η διαφορά μεταξύ των δύο ποσών α) και β) μεταφέρεται σε μεταγενέστερο ή προγενέστερο χρόνο σύμφωνα με το άρθρο 4 της οδηγίας (ΕΕ) 2016/1164.</w:t>
            </w:r>
          </w:p>
        </w:tc>
      </w:tr>
      <w:tr w:rsidR="00F8551D" w:rsidRPr="00777571" w:rsidTr="00CE6305">
        <w:trPr>
          <w:jc w:val="center"/>
        </w:trPr>
        <w:tc>
          <w:tcPr>
            <w:tcW w:w="4876" w:type="dxa"/>
          </w:tcPr>
          <w:p w:rsidR="00F8551D" w:rsidRPr="00777571" w:rsidRDefault="00F8551D" w:rsidP="00CE6305">
            <w:pPr>
              <w:pStyle w:val="Normal6a"/>
            </w:pPr>
            <w:r w:rsidRPr="00777571">
              <w:t>_______________</w:t>
            </w:r>
          </w:p>
        </w:tc>
        <w:tc>
          <w:tcPr>
            <w:tcW w:w="4876" w:type="dxa"/>
          </w:tcPr>
          <w:p w:rsidR="00F8551D" w:rsidRPr="00777571" w:rsidRDefault="00F8551D" w:rsidP="00CE6305">
            <w:pPr>
              <w:pStyle w:val="Normal6a"/>
            </w:pPr>
            <w:r w:rsidRPr="00777571">
              <w:t>_______________</w:t>
            </w:r>
          </w:p>
        </w:tc>
      </w:tr>
      <w:tr w:rsidR="00F8551D" w:rsidRPr="00777571" w:rsidTr="00CE6305">
        <w:trPr>
          <w:jc w:val="center"/>
        </w:trPr>
        <w:tc>
          <w:tcPr>
            <w:tcW w:w="4876" w:type="dxa"/>
          </w:tcPr>
          <w:p w:rsidR="00F8551D" w:rsidRPr="00777571" w:rsidRDefault="00F8551D" w:rsidP="00CE6305">
            <w:pPr>
              <w:pStyle w:val="Normal6a"/>
            </w:pPr>
            <w:r w:rsidRPr="00777571">
              <w:rPr>
                <w:vertAlign w:val="superscript"/>
              </w:rPr>
              <w:t>35</w:t>
            </w:r>
            <w:r w:rsidRPr="00777571">
              <w:t xml:space="preserve"> Οδηγία (ΕΕ) 2016/1164 του Συμβουλίου, της 12ης Ιουλίου 2016, για τη θέσπιση κανόνων κατά πρακτικών φοροαποφυγής που έχουν άμεση επίπτωση στη λειτουργία της εσωτερικής αγοράς (ΕΕ L 193 της 19.7.2016, σ. 1).</w:t>
            </w:r>
          </w:p>
        </w:tc>
        <w:tc>
          <w:tcPr>
            <w:tcW w:w="4876" w:type="dxa"/>
          </w:tcPr>
          <w:p w:rsidR="00F8551D" w:rsidRPr="00777571" w:rsidRDefault="00F8551D" w:rsidP="00CE6305">
            <w:pPr>
              <w:pStyle w:val="Normal6a"/>
            </w:pPr>
            <w:r w:rsidRPr="00777571">
              <w:rPr>
                <w:vertAlign w:val="superscript"/>
              </w:rPr>
              <w:t>35</w:t>
            </w:r>
            <w:r w:rsidRPr="00777571">
              <w:t xml:space="preserve"> Οδηγία (ΕΕ) 2016/1164 του Συμβουλίου, της 12ης Ιουλίου 2016, για τη θέσπιση κανόνων κατά πρακτικών φοροαποφυγής που έχουν άμεση επίπτωση στη λειτουργία της εσωτερικής αγοράς (ΕΕ L 193 της 19.7.2016, σ. 1).</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23</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6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2.</w:t>
            </w:r>
            <w:r w:rsidRPr="00777571">
              <w:tab/>
              <w:t xml:space="preserve">Η παράγραφος 1 εφαρμόζεται σε υπερβαίνον κόστος δανεισμού που έχει προκύψει από </w:t>
            </w:r>
            <w:r w:rsidRPr="00777571">
              <w:rPr>
                <w:b/>
                <w:i/>
              </w:rPr>
              <w:t>τις</w:t>
            </w:r>
            <w:r w:rsidR="006B6294" w:rsidRPr="00777571">
              <w:rPr>
                <w:b/>
                <w:i/>
              </w:rPr>
              <w:t xml:space="preserve"> …</w:t>
            </w:r>
            <w:r w:rsidRPr="00777571">
              <w:rPr>
                <w:b/>
                <w:i/>
              </w:rPr>
              <w:t xml:space="preserve"> [Υπηρεσία Εκδόσεων: να προστεθεί </w:t>
            </w:r>
            <w:r w:rsidRPr="00777571">
              <w:rPr>
                <w:b/>
                <w:bCs/>
                <w:i/>
                <w:iCs/>
              </w:rPr>
              <w:t>η</w:t>
            </w:r>
            <w:r w:rsidRPr="00777571">
              <w:t xml:space="preserve"> </w:t>
            </w:r>
            <w:r w:rsidRPr="00777571">
              <w:rPr>
                <w:b/>
                <w:i/>
              </w:rPr>
              <w:t>ημερομηνία έναρξης ισχύος της παρούσας οδηγίας]</w:t>
            </w:r>
            <w:r w:rsidRPr="00777571">
              <w:t xml:space="preserve">. </w:t>
            </w:r>
          </w:p>
        </w:tc>
        <w:tc>
          <w:tcPr>
            <w:tcW w:w="4876" w:type="dxa"/>
          </w:tcPr>
          <w:p w:rsidR="00F8551D" w:rsidRPr="00777571" w:rsidRDefault="00F8551D" w:rsidP="00CE6305">
            <w:pPr>
              <w:pStyle w:val="Normal6a"/>
            </w:pPr>
            <w:r w:rsidRPr="00777571">
              <w:t>2.</w:t>
            </w:r>
            <w:r w:rsidRPr="00777571">
              <w:tab/>
              <w:t xml:space="preserve">Η παράγραφος 1 εφαρμόζεται σε υπερβαίνον κόστος δανεισμού που έχει προκύψει από </w:t>
            </w:r>
            <w:r w:rsidRPr="00777571">
              <w:rPr>
                <w:b/>
                <w:i/>
              </w:rPr>
              <w:t>την 1</w:t>
            </w:r>
            <w:r w:rsidRPr="00777571">
              <w:rPr>
                <w:b/>
                <w:bCs/>
                <w:i/>
                <w:iCs/>
              </w:rPr>
              <w:t>η</w:t>
            </w:r>
            <w:r w:rsidRPr="00777571">
              <w:t xml:space="preserve"> </w:t>
            </w:r>
            <w:r w:rsidRPr="00777571">
              <w:rPr>
                <w:b/>
                <w:i/>
              </w:rPr>
              <w:t>Ιανουαρίου 2027</w:t>
            </w:r>
            <w:r w:rsidRPr="00777571">
              <w:t>.</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24</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Άρθρο 7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β)</w:t>
            </w:r>
            <w:r w:rsidRPr="00777571">
              <w:tab/>
              <w:t>τον αριθμό των ΜΜΕ που επωφελήθηκαν από την έκπτωση φόρου κατά τη φορολογική περίοδο, μεταξύ άλλων ως ποσοστό του συνολικού αριθμού των ΜΜΕ που εμπίπτουν στο πεδίο εφαρμογής της παρούσας οδηγίας και του αριθμού των ΜΜΕ που επωφελήθηκαν από την έκπτωση φόρου οι οποίες ανήκουν σε μεγάλους ομίλους κατά την έννοια του άρθρου 3 παράγραφος 7 της οδηγίας 2013/34/ΕΕ·</w:t>
            </w:r>
          </w:p>
        </w:tc>
        <w:tc>
          <w:tcPr>
            <w:tcW w:w="4876" w:type="dxa"/>
          </w:tcPr>
          <w:p w:rsidR="00F8551D" w:rsidRPr="00777571" w:rsidRDefault="00F8551D" w:rsidP="00CE6305">
            <w:pPr>
              <w:pStyle w:val="Normal6a"/>
            </w:pPr>
            <w:r w:rsidRPr="00777571">
              <w:t>β)</w:t>
            </w:r>
            <w:r w:rsidRPr="00777571">
              <w:tab/>
              <w:t xml:space="preserve">τον αριθμό των ΜΜΕ </w:t>
            </w:r>
            <w:r w:rsidRPr="00777571">
              <w:rPr>
                <w:b/>
                <w:i/>
              </w:rPr>
              <w:t xml:space="preserve">και μεσαίων ομίλων </w:t>
            </w:r>
            <w:r w:rsidRPr="00777571">
              <w:t>που επωφελήθηκαν από την έκπτωση φόρου κατά τη φορολογική περίοδο, μεταξύ άλλων ως ποσοστό του συνολικού αριθμού των ΜΜΕ</w:t>
            </w:r>
            <w:r w:rsidRPr="00777571">
              <w:rPr>
                <w:b/>
                <w:i/>
              </w:rPr>
              <w:t xml:space="preserve"> και μεσαίων ομίλων</w:t>
            </w:r>
            <w:r w:rsidRPr="00777571">
              <w:t xml:space="preserve"> που εμπίπτουν στο πεδίο εφαρμογής της παρούσας οδηγίας και του αριθμού των ΜΜΕ που επωφελήθηκαν από την έκπτωση φόρου οι οποίες ανήκουν σε μεγάλους ομίλους κατά την έννοια του άρθρου 3 παράγραφος 7 της οδηγίας 2013/34/ΕΕ·</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25</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8 – τίτλος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Υποβολή εκθέσεων</w:t>
            </w:r>
          </w:p>
        </w:tc>
        <w:tc>
          <w:tcPr>
            <w:tcW w:w="4876" w:type="dxa"/>
          </w:tcPr>
          <w:p w:rsidR="00F8551D" w:rsidRPr="00777571" w:rsidRDefault="00F8551D" w:rsidP="00CE6305">
            <w:pPr>
              <w:pStyle w:val="Normal6a"/>
              <w:rPr>
                <w:b/>
                <w:i/>
              </w:rPr>
            </w:pPr>
            <w:r w:rsidRPr="00777571">
              <w:t>Υποβολή εκθέσεων</w:t>
            </w:r>
            <w:r w:rsidRPr="00777571">
              <w:rPr>
                <w:b/>
                <w:i/>
              </w:rPr>
              <w:t xml:space="preserve"> και επανεξέταση</w:t>
            </w:r>
          </w:p>
        </w:tc>
      </w:tr>
    </w:tbl>
    <w:p w:rsidR="00F8551D" w:rsidRPr="00777571" w:rsidRDefault="00F8551D" w:rsidP="00F8551D"/>
    <w:p w:rsidR="00F8551D" w:rsidRPr="00777571" w:rsidRDefault="00F8551D" w:rsidP="00F8551D">
      <w:pPr>
        <w:pStyle w:val="AmNumberTabs"/>
        <w:keepNext/>
      </w:pPr>
      <w:r w:rsidRPr="00777571">
        <w:t>Τροπολογία</w:t>
      </w:r>
      <w:r w:rsidRPr="00777571">
        <w:tab/>
      </w:r>
      <w:r w:rsidRPr="00777571">
        <w:tab/>
        <w:t>26</w:t>
      </w:r>
    </w:p>
    <w:p w:rsidR="00F8551D" w:rsidRPr="00777571" w:rsidRDefault="00F8551D" w:rsidP="00F8551D">
      <w:pPr>
        <w:pStyle w:val="NormalBold12b"/>
        <w:keepNext/>
      </w:pPr>
      <w:r w:rsidRPr="00777571">
        <w:t>Πρόταση οδηγίας</w:t>
      </w:r>
    </w:p>
    <w:p w:rsidR="00F8551D" w:rsidRPr="00777571" w:rsidRDefault="00F8551D" w:rsidP="00F8551D">
      <w:pPr>
        <w:pStyle w:val="NormalBold"/>
        <w:keepNext/>
      </w:pPr>
      <w:r w:rsidRPr="00777571">
        <w:t>Άρθρο 8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51D" w:rsidRPr="00777571" w:rsidTr="00CE6305">
        <w:trPr>
          <w:jc w:val="center"/>
        </w:trPr>
        <w:tc>
          <w:tcPr>
            <w:tcW w:w="9752" w:type="dxa"/>
            <w:gridSpan w:val="2"/>
          </w:tcPr>
          <w:p w:rsidR="00F8551D" w:rsidRPr="00777571" w:rsidRDefault="00F8551D" w:rsidP="00CE6305">
            <w:pPr>
              <w:keepNext/>
            </w:pPr>
          </w:p>
        </w:tc>
      </w:tr>
      <w:tr w:rsidR="00F8551D" w:rsidRPr="00777571" w:rsidTr="00CE6305">
        <w:trPr>
          <w:jc w:val="center"/>
        </w:trPr>
        <w:tc>
          <w:tcPr>
            <w:tcW w:w="4876" w:type="dxa"/>
          </w:tcPr>
          <w:p w:rsidR="00F8551D" w:rsidRPr="00777571" w:rsidRDefault="00F8551D" w:rsidP="00CE6305">
            <w:pPr>
              <w:pStyle w:val="AmColumnHeading"/>
              <w:keepNext/>
            </w:pPr>
            <w:r w:rsidRPr="00777571">
              <w:t>Κείμενο που προτείνει η Επιτροπή</w:t>
            </w:r>
          </w:p>
        </w:tc>
        <w:tc>
          <w:tcPr>
            <w:tcW w:w="4876" w:type="dxa"/>
          </w:tcPr>
          <w:p w:rsidR="00F8551D" w:rsidRPr="00777571" w:rsidRDefault="00F8551D" w:rsidP="00CE6305">
            <w:pPr>
              <w:pStyle w:val="AmColumnHeading"/>
              <w:keepNext/>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1.</w:t>
            </w:r>
            <w:r w:rsidRPr="00777571">
              <w:tab/>
              <w:t xml:space="preserve">Έως τις 31 Δεκεμβρίου </w:t>
            </w:r>
            <w:r w:rsidRPr="00777571">
              <w:rPr>
                <w:b/>
                <w:i/>
              </w:rPr>
              <w:t>2027</w:t>
            </w:r>
            <w:r w:rsidRPr="00777571">
              <w:t>, η Επιτροπή υποβάλλει στο Ευρωπαϊκό Κοινοβούλιο και στο Συμβούλιο έκθεση σχετικά με την εφαρμογή της παρούσας οδηγίας.</w:t>
            </w:r>
          </w:p>
        </w:tc>
        <w:tc>
          <w:tcPr>
            <w:tcW w:w="4876" w:type="dxa"/>
          </w:tcPr>
          <w:p w:rsidR="00F8551D" w:rsidRPr="00777571" w:rsidRDefault="00F8551D" w:rsidP="00CE6305">
            <w:pPr>
              <w:pStyle w:val="Normal6a"/>
              <w:rPr>
                <w:b/>
                <w:i/>
              </w:rPr>
            </w:pPr>
            <w:r w:rsidRPr="00777571">
              <w:t>1.</w:t>
            </w:r>
            <w:r w:rsidRPr="00777571">
              <w:tab/>
              <w:t xml:space="preserve">Έως τις 31 Δεκεμβρίου </w:t>
            </w:r>
            <w:r w:rsidRPr="00777571">
              <w:rPr>
                <w:b/>
                <w:i/>
              </w:rPr>
              <w:t>2028</w:t>
            </w:r>
            <w:r w:rsidRPr="00777571">
              <w:t>, η Επιτροπή υποβάλλει στο Ευρωπαϊκό Κοινοβούλιο και στο Συμβούλιο έκθεση σχετικά με την εφαρμογή</w:t>
            </w:r>
            <w:r w:rsidRPr="00777571">
              <w:rPr>
                <w:b/>
                <w:i/>
              </w:rPr>
              <w:t xml:space="preserve"> και τον αντίκτυπο της παρούσας οδηγίας, συνοδευόμενη, κατά περίπτωση, από νομοθετική πρόταση για την τροποποίηση</w:t>
            </w:r>
            <w:r w:rsidRPr="00777571">
              <w:t xml:space="preserve"> της παρούσας οδηγίας.</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rPr>
            </w:pPr>
            <w:r w:rsidRPr="00777571">
              <w:rPr>
                <w:b/>
                <w:i/>
              </w:rPr>
              <w:t>Η εν λόγω έκθεση αξιολογεί τον αντίκτυπο της παρούσας οδηγίας, δίνοντας ιδιαίτερη προσοχή:</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rPr>
            </w:pPr>
            <w:r w:rsidRPr="00777571">
              <w:rPr>
                <w:b/>
                <w:i/>
              </w:rPr>
              <w:t xml:space="preserve">α) </w:t>
            </w:r>
            <w:r w:rsidRPr="00777571">
              <w:tab/>
            </w:r>
            <w:r w:rsidRPr="00777571">
              <w:rPr>
                <w:b/>
                <w:i/>
              </w:rPr>
              <w:t xml:space="preserve">στις ΜΜΕ, και αξιολογεί ιδίως κατά πόσον οι ειδικοί όροι των οποίων μπορούν να κάνουν χρήση οι ΜΜΕ έχουν αποδειχθεί επαρκείς για την αύξηση της ελκυστικότητας της χρηματοδότησής τους με μετοχικό κεφάλαιο· </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rPr>
            </w:pPr>
            <w:r w:rsidRPr="00777571">
              <w:rPr>
                <w:b/>
                <w:i/>
              </w:rPr>
              <w:t xml:space="preserve">β) </w:t>
            </w:r>
            <w:r w:rsidRPr="00777571">
              <w:tab/>
            </w:r>
            <w:r w:rsidRPr="00777571">
              <w:rPr>
                <w:b/>
                <w:i/>
              </w:rPr>
              <w:t>στον περιορισμό της έκπτωσης τόκων, ιδίως όσον αφορά την επίπτωση του ποσού α) όπως αναφέρεται στο άρθρο 6 παράγραφος 1 στα φορολογικά έσοδα των κρατών μελών·</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rPr>
                <w:b/>
                <w:i/>
              </w:rPr>
            </w:pPr>
            <w:r w:rsidRPr="00777571">
              <w:rPr>
                <w:b/>
                <w:i/>
              </w:rPr>
              <w:t xml:space="preserve">γ) </w:t>
            </w:r>
            <w:r w:rsidRPr="00777571">
              <w:tab/>
            </w:r>
            <w:r w:rsidRPr="00777571">
              <w:rPr>
                <w:b/>
                <w:i/>
              </w:rPr>
              <w:t>στη σύνδεση με νομοθετικές πράξεις στον τομέα της φορολογίας εταιρειών, δηλαδή μια οδηγία που διασφαλίζει ελάχιστο πραγματικό φορολογικό συντελεστή για τις παγκόσμιες δραστηριότητες των μεγάλων πολυεθνικών ομίλων και μια οδηγία σχετικά με ένα πλαίσιο για τη φορολογία εισοδήματος στην Ευρώπη (BEFIT).</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27</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Άρθρο 11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r w:rsidRPr="00777571">
              <w:t>2.</w:t>
            </w:r>
            <w:r w:rsidRPr="00777571">
              <w:tab/>
              <w:t xml:space="preserve">Τα κράτη μέλη μπορούν να αναβάλουν την εφαρμογή των διατάξεων της παρούσας οδηγίας σε φορολογούμενες εταιρείες οι οποίες την [1η Ιανουαρίου 2024] επωφελούνται από έκπτωση φόρου επί του μετοχικού κεφαλαίου δυνάμει του εθνικού δικαίου για περίοδο έως </w:t>
            </w:r>
            <w:r w:rsidRPr="00777571">
              <w:rPr>
                <w:b/>
                <w:i/>
              </w:rPr>
              <w:t>10</w:t>
            </w:r>
            <w:r w:rsidRPr="00777571">
              <w:t xml:space="preserve"> ετών και σε καμία περίπτωση για περίοδο μεγαλύτερη από τη διάρκεια του ωφελήματος δυνάμει του εθνικού δικαίου.</w:t>
            </w:r>
          </w:p>
        </w:tc>
        <w:tc>
          <w:tcPr>
            <w:tcW w:w="4876" w:type="dxa"/>
          </w:tcPr>
          <w:p w:rsidR="00F8551D" w:rsidRPr="00777571" w:rsidRDefault="00F8551D" w:rsidP="00CE6305">
            <w:pPr>
              <w:pStyle w:val="Normal6a"/>
            </w:pPr>
            <w:r w:rsidRPr="00777571">
              <w:t>2.</w:t>
            </w:r>
            <w:r w:rsidRPr="00777571">
              <w:tab/>
              <w:t xml:space="preserve">Τα κράτη μέλη μπορούν να αναβάλουν την εφαρμογή των διατάξεων της παρούσας οδηγίας σε φορολογούμενες εταιρείες οι οποίες την [1η Ιανουαρίου 2024] επωφελούνται από έκπτωση φόρου επί του μετοχικού κεφαλαίου δυνάμει του εθνικού δικαίου για περίοδο έως </w:t>
            </w:r>
            <w:r w:rsidRPr="00777571">
              <w:rPr>
                <w:b/>
                <w:i/>
              </w:rPr>
              <w:t>πέντε</w:t>
            </w:r>
            <w:r w:rsidRPr="00777571">
              <w:t xml:space="preserve"> ετών και σε καμία περίπτωση για περίοδο μεγαλύτερη από τη διάρκεια του ωφελήματος δυνάμει του εθνικού δικαίου.</w:t>
            </w:r>
          </w:p>
        </w:tc>
      </w:tr>
    </w:tbl>
    <w:p w:rsidR="00F8551D" w:rsidRPr="00777571" w:rsidRDefault="00F8551D" w:rsidP="00F8551D"/>
    <w:p w:rsidR="00F8551D" w:rsidRPr="00777571" w:rsidRDefault="00F8551D" w:rsidP="00F8551D">
      <w:pPr>
        <w:pStyle w:val="AmNumberTabs"/>
      </w:pPr>
      <w:r w:rsidRPr="00777571">
        <w:t>Τροπολογία</w:t>
      </w:r>
      <w:r w:rsidRPr="00777571">
        <w:tab/>
      </w:r>
      <w:r w:rsidRPr="00777571">
        <w:tab/>
        <w:t>28</w:t>
      </w:r>
    </w:p>
    <w:p w:rsidR="00F8551D" w:rsidRPr="00777571" w:rsidRDefault="00F8551D" w:rsidP="00F8551D">
      <w:pPr>
        <w:pStyle w:val="NormalBold12b"/>
      </w:pPr>
      <w:r w:rsidRPr="00777571">
        <w:t>Πρόταση οδηγίας</w:t>
      </w:r>
    </w:p>
    <w:p w:rsidR="00F8551D" w:rsidRPr="00777571" w:rsidRDefault="00F8551D" w:rsidP="00F8551D">
      <w:pPr>
        <w:pStyle w:val="NormalBold"/>
      </w:pPr>
      <w:r w:rsidRPr="00777571">
        <w:t>Άρθρο 11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1D" w:rsidRPr="00777571" w:rsidTr="00CE6305">
        <w:trPr>
          <w:trHeight w:hRule="exact" w:val="240"/>
          <w:jc w:val="center"/>
        </w:trPr>
        <w:tc>
          <w:tcPr>
            <w:tcW w:w="9752" w:type="dxa"/>
            <w:gridSpan w:val="2"/>
          </w:tcPr>
          <w:p w:rsidR="00F8551D" w:rsidRPr="00777571" w:rsidRDefault="00F8551D" w:rsidP="00CE6305"/>
        </w:tc>
      </w:tr>
      <w:tr w:rsidR="00F8551D" w:rsidRPr="00777571" w:rsidTr="00CE6305">
        <w:trPr>
          <w:trHeight w:val="240"/>
          <w:jc w:val="center"/>
        </w:trPr>
        <w:tc>
          <w:tcPr>
            <w:tcW w:w="4876" w:type="dxa"/>
          </w:tcPr>
          <w:p w:rsidR="00F8551D" w:rsidRPr="00777571" w:rsidRDefault="00F8551D" w:rsidP="00CE6305">
            <w:pPr>
              <w:pStyle w:val="AmColumnHeading"/>
            </w:pPr>
            <w:r w:rsidRPr="00777571">
              <w:t>Κείμενο που προτείνει η Επιτροπή</w:t>
            </w:r>
          </w:p>
        </w:tc>
        <w:tc>
          <w:tcPr>
            <w:tcW w:w="4876" w:type="dxa"/>
          </w:tcPr>
          <w:p w:rsidR="00F8551D" w:rsidRPr="00777571" w:rsidRDefault="00F8551D" w:rsidP="00CE6305">
            <w:pPr>
              <w:pStyle w:val="AmColumnHeading"/>
            </w:pPr>
            <w:r w:rsidRPr="00777571">
              <w:t>Τροπολογία</w:t>
            </w:r>
          </w:p>
        </w:tc>
      </w:tr>
      <w:tr w:rsidR="00F8551D" w:rsidRPr="00777571" w:rsidTr="00CE6305">
        <w:trPr>
          <w:jc w:val="center"/>
        </w:trPr>
        <w:tc>
          <w:tcPr>
            <w:tcW w:w="4876" w:type="dxa"/>
          </w:tcPr>
          <w:p w:rsidR="00F8551D" w:rsidRPr="00777571" w:rsidRDefault="00F8551D" w:rsidP="00CE6305">
            <w:pPr>
              <w:pStyle w:val="Normal6a"/>
            </w:pPr>
          </w:p>
        </w:tc>
        <w:tc>
          <w:tcPr>
            <w:tcW w:w="4876" w:type="dxa"/>
          </w:tcPr>
          <w:p w:rsidR="00F8551D" w:rsidRPr="00777571" w:rsidRDefault="00F8551D" w:rsidP="00CE6305">
            <w:pPr>
              <w:pStyle w:val="Normal6a"/>
            </w:pPr>
            <w:r w:rsidRPr="00777571">
              <w:rPr>
                <w:b/>
                <w:i/>
              </w:rPr>
              <w:t>3α.</w:t>
            </w:r>
            <w:r w:rsidRPr="00777571">
              <w:rPr>
                <w:b/>
                <w:i/>
              </w:rPr>
              <w:tab/>
              <w:t>Κάθε κράτος μέλος, προτού μεταφέρει την παρούσα οδηγία στο εθνικό δίκαιο, δημοσιοποιεί αξιολόγηση του εκτιμώμενου δημοσιονομικού κόστους των μέτρων που πρόκειται να εγκριθούν και της συνακόλουθης μείωσης του πραγματικού φορολογικού συντελεστή για τις εταιρείες, και λαμβάνει κατάλληλα μέτρα για την προστασία των φορολογικών εσόδων, εάν χρειαστεί.</w:t>
            </w:r>
          </w:p>
        </w:tc>
      </w:tr>
    </w:tbl>
    <w:p w:rsidR="00F8551D" w:rsidRPr="00777571" w:rsidRDefault="00F8551D" w:rsidP="00F8551D"/>
    <w:sectPr w:rsidR="00F8551D" w:rsidRPr="00777571" w:rsidSect="00C77C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7E9" w:rsidRPr="00C77CDD" w:rsidRDefault="00ED27E9">
      <w:r w:rsidRPr="00C77CDD">
        <w:separator/>
      </w:r>
    </w:p>
  </w:endnote>
  <w:endnote w:type="continuationSeparator" w:id="0">
    <w:p w:rsidR="00ED27E9" w:rsidRPr="00C77CDD" w:rsidRDefault="00ED27E9">
      <w:r w:rsidRPr="00C77C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C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C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C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7E9" w:rsidRPr="00C77CDD" w:rsidRDefault="00ED27E9">
      <w:r w:rsidRPr="00C77CDD">
        <w:separator/>
      </w:r>
    </w:p>
  </w:footnote>
  <w:footnote w:type="continuationSeparator" w:id="0">
    <w:p w:rsidR="00ED27E9" w:rsidRPr="00C77CDD" w:rsidRDefault="00ED27E9">
      <w:r w:rsidRPr="00C77C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C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C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C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EL"/>
    <w:docVar w:name="dvnumam" w:val="0"/>
    <w:docVar w:name="dvpe" w:val="738.463"/>
    <w:docVar w:name="dvrapporteur" w:val="Εισηγητής: "/>
    <w:docVar w:name="dvstar" w:val="*"/>
    <w:docVar w:name="dvtitre" w:val="Νομοθετικό ψήφισμα του Ευρωπαϊκού Κοινοβουλίου σχετικά με την πρόταση οδηγίας του Συμβουλίου που αφορά τη θέσπιση κανόνων για έκπτωση φόρου για τη μείωση της στρέβλωσης που προκαλείται από την ευνοϊκή μεταχείριση του χρέους έναντι του μετοχικού κεφαλαίου και για τον περιορισμό της δυνατότητας έκπτωσης τόκων για σκοπούς φόρου εισοδήματος εταιρειών(COM(2022)0216 – C9-0197/2022 – 2022/0154(CNS))"/>
  </w:docVars>
  <w:rsids>
    <w:rsidRoot w:val="00ED27E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D2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6751"/>
    <w:rsid w:val="006B6294"/>
    <w:rsid w:val="006F74FA"/>
    <w:rsid w:val="00731ADD"/>
    <w:rsid w:val="00734777"/>
    <w:rsid w:val="00747932"/>
    <w:rsid w:val="00751A4A"/>
    <w:rsid w:val="00756632"/>
    <w:rsid w:val="00762C74"/>
    <w:rsid w:val="0077757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B83"/>
    <w:rsid w:val="00BD48FE"/>
    <w:rsid w:val="00BD7BD8"/>
    <w:rsid w:val="00BE6ADC"/>
    <w:rsid w:val="00C05BFE"/>
    <w:rsid w:val="00C23CD4"/>
    <w:rsid w:val="00C61C0C"/>
    <w:rsid w:val="00C77CD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7E9"/>
    <w:rsid w:val="00ED4235"/>
    <w:rsid w:val="00F04346"/>
    <w:rsid w:val="00F075DC"/>
    <w:rsid w:val="00F149E9"/>
    <w:rsid w:val="00F5134D"/>
    <w:rsid w:val="00F74202"/>
    <w:rsid w:val="00F8551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7A891"/>
  <w15:chartTrackingRefBased/>
  <w15:docId w15:val="{442916FA-5FD3-425E-9B83-EC4048444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8551D"/>
    <w:pPr>
      <w:spacing w:before="480" w:after="240"/>
    </w:pPr>
  </w:style>
  <w:style w:type="paragraph" w:customStyle="1" w:styleId="Normal6a">
    <w:name w:val="Normal6a"/>
    <w:basedOn w:val="Normal"/>
    <w:rsid w:val="00F8551D"/>
    <w:pPr>
      <w:spacing w:after="120"/>
    </w:pPr>
  </w:style>
  <w:style w:type="paragraph" w:customStyle="1" w:styleId="NormalBold">
    <w:name w:val="NormalBold"/>
    <w:basedOn w:val="Normal"/>
    <w:rsid w:val="00F8551D"/>
    <w:rPr>
      <w:b/>
    </w:rPr>
  </w:style>
  <w:style w:type="paragraph" w:customStyle="1" w:styleId="NormalBold12a">
    <w:name w:val="NormalBold12a"/>
    <w:basedOn w:val="Normal"/>
    <w:rsid w:val="00F8551D"/>
    <w:pPr>
      <w:spacing w:after="240"/>
    </w:pPr>
    <w:rPr>
      <w:b/>
    </w:rPr>
  </w:style>
  <w:style w:type="paragraph" w:customStyle="1" w:styleId="NormalHanging12a">
    <w:name w:val="NormalHanging12a"/>
    <w:basedOn w:val="Normal"/>
    <w:rsid w:val="00F8551D"/>
    <w:pPr>
      <w:spacing w:after="240"/>
      <w:ind w:left="567" w:hanging="567"/>
    </w:pPr>
  </w:style>
  <w:style w:type="paragraph" w:customStyle="1" w:styleId="AmColumnHeading">
    <w:name w:val="AmColumnHeading"/>
    <w:basedOn w:val="Normal"/>
    <w:rsid w:val="00F8551D"/>
    <w:pPr>
      <w:spacing w:after="240"/>
      <w:jc w:val="center"/>
    </w:pPr>
    <w:rPr>
      <w:i/>
    </w:rPr>
  </w:style>
  <w:style w:type="paragraph" w:customStyle="1" w:styleId="AmNumberTabs">
    <w:name w:val="AmNumberTabs"/>
    <w:basedOn w:val="Normal"/>
    <w:rsid w:val="00F855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8551D"/>
    <w:pPr>
      <w:spacing w:before="240"/>
    </w:pPr>
    <w:rPr>
      <w:b/>
    </w:rPr>
  </w:style>
  <w:style w:type="character" w:styleId="Hyperlink">
    <w:name w:val="Hyperlink"/>
    <w:basedOn w:val="DefaultParagraphFont"/>
    <w:uiPriority w:val="99"/>
    <w:unhideWhenUsed/>
    <w:rsid w:val="00F8551D"/>
    <w:rPr>
      <w:color w:val="0563C1" w:themeColor="hyperlink"/>
      <w:u w:val="single"/>
    </w:rPr>
  </w:style>
  <w:style w:type="character" w:customStyle="1" w:styleId="Sup">
    <w:name w:val="Sup"/>
    <w:uiPriority w:val="1"/>
    <w:qFormat/>
    <w:rsid w:val="00F8551D"/>
    <w:rPr>
      <w:vertAlign w:val="superscript"/>
    </w:rPr>
  </w:style>
  <w:style w:type="paragraph" w:styleId="BalloonText">
    <w:name w:val="Balloon Text"/>
    <w:basedOn w:val="Normal"/>
    <w:link w:val="BalloonTextChar"/>
    <w:rsid w:val="006B6294"/>
    <w:rPr>
      <w:rFonts w:ascii="Segoe UI" w:hAnsi="Segoe UI" w:cs="Segoe UI"/>
      <w:sz w:val="18"/>
      <w:szCs w:val="18"/>
    </w:rPr>
  </w:style>
  <w:style w:type="character" w:customStyle="1" w:styleId="BalloonTextChar">
    <w:name w:val="Balloon Text Char"/>
    <w:basedOn w:val="DefaultParagraphFont"/>
    <w:link w:val="BalloonText"/>
    <w:rsid w:val="006B629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EAF18-24E1-4E73-B938-E0EBAA302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5648</Words>
  <Characters>33820</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CHRISTOFOROU Nikolaos C</cp:lastModifiedBy>
  <cp:revision>2</cp:revision>
  <cp:lastPrinted>2004-11-19T15:42:00Z</cp:lastPrinted>
  <dcterms:created xsi:type="dcterms:W3CDTF">2024-05-21T10:43:00Z</dcterms:created>
  <dcterms:modified xsi:type="dcterms:W3CDTF">2024-05-21T10:43:00Z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P9_TA(2024)0006_</vt:lpwstr>
  </property>
  <property fmtid="{D5CDD505-2E9C-101B-9397-08002B2CF9AE}" pid="4" name="&lt;Type&gt;">
    <vt:lpwstr>RR</vt:lpwstr>
  </property>
</Properties>
</file>