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73BC2" w:rsidTr="0010095E">
        <w:trPr>
          <w:trHeight w:hRule="exact" w:val="1418"/>
        </w:trPr>
        <w:tc>
          <w:tcPr>
            <w:tcW w:w="6804" w:type="dxa"/>
            <w:shd w:val="clear" w:color="auto" w:fill="auto"/>
            <w:vAlign w:val="center"/>
          </w:tcPr>
          <w:p w:rsidR="00751A4A" w:rsidRPr="00473BC2" w:rsidRDefault="00A65BFF" w:rsidP="0010095E">
            <w:pPr>
              <w:pStyle w:val="EPName"/>
            </w:pPr>
            <w:r w:rsidRPr="00473BC2">
              <w:t>Europski parlament</w:t>
            </w:r>
          </w:p>
          <w:p w:rsidR="00751A4A" w:rsidRPr="00473BC2" w:rsidRDefault="00817416" w:rsidP="00756632">
            <w:pPr>
              <w:pStyle w:val="EPTerm"/>
              <w:rPr>
                <w:rStyle w:val="HideTWBExt"/>
                <w:noProof w:val="0"/>
                <w:vanish w:val="0"/>
                <w:color w:val="auto"/>
              </w:rPr>
            </w:pPr>
            <w:r w:rsidRPr="00473BC2">
              <w:t>2019-2024</w:t>
            </w:r>
          </w:p>
        </w:tc>
        <w:tc>
          <w:tcPr>
            <w:tcW w:w="2268" w:type="dxa"/>
            <w:shd w:val="clear" w:color="auto" w:fill="auto"/>
          </w:tcPr>
          <w:p w:rsidR="00751A4A" w:rsidRPr="00473BC2" w:rsidRDefault="00187494" w:rsidP="0010095E">
            <w:pPr>
              <w:pStyle w:val="EPLogo"/>
            </w:pPr>
            <w:r w:rsidRPr="00473BC2">
              <w:rPr>
                <w:noProof/>
                <w:lang w:val="en-GB" w:eastAsia="zh-CN"/>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73BC2" w:rsidRDefault="00D058B8" w:rsidP="004C5D52">
      <w:pPr>
        <w:pStyle w:val="LineTop"/>
      </w:pPr>
    </w:p>
    <w:p w:rsidR="00680577" w:rsidRPr="00473BC2" w:rsidRDefault="00A65BFF" w:rsidP="00680577">
      <w:pPr>
        <w:pStyle w:val="EPBodyTA1"/>
      </w:pPr>
      <w:r w:rsidRPr="00473BC2">
        <w:t>USVOJENI TEKSTOVI</w:t>
      </w:r>
    </w:p>
    <w:p w:rsidR="00D058B8" w:rsidRPr="00473BC2" w:rsidRDefault="00D058B8" w:rsidP="00D058B8">
      <w:pPr>
        <w:pStyle w:val="LineBottom"/>
      </w:pPr>
    </w:p>
    <w:p w:rsidR="00A65BFF" w:rsidRPr="00473BC2" w:rsidRDefault="00A65BFF" w:rsidP="00A65BFF">
      <w:pPr>
        <w:pStyle w:val="ATHeading1"/>
      </w:pPr>
      <w:bookmarkStart w:id="0" w:name="TANumber"/>
      <w:r w:rsidRPr="00473BC2">
        <w:t>P9_TA(2024)000</w:t>
      </w:r>
      <w:r w:rsidR="00B51876">
        <w:t>6</w:t>
      </w:r>
      <w:bookmarkEnd w:id="0"/>
    </w:p>
    <w:p w:rsidR="00A65BFF" w:rsidRPr="00473BC2" w:rsidRDefault="009D385F" w:rsidP="00A65BFF">
      <w:pPr>
        <w:pStyle w:val="ATHeading2"/>
      </w:pPr>
      <w:bookmarkStart w:id="1" w:name="title"/>
      <w:r>
        <w:t>Olakšice</w:t>
      </w:r>
      <w:r w:rsidR="00776D86" w:rsidRPr="00473BC2">
        <w:t xml:space="preserve"> </w:t>
      </w:r>
      <w:r w:rsidR="00776D86" w:rsidRPr="009D385F">
        <w:rPr>
          <w:szCs w:val="28"/>
        </w:rPr>
        <w:t xml:space="preserve">za </w:t>
      </w:r>
      <w:r w:rsidRPr="009D385F">
        <w:rPr>
          <w:bCs/>
          <w:szCs w:val="28"/>
          <w:shd w:val="clear" w:color="auto" w:fill="FFFFFF"/>
        </w:rPr>
        <w:t>smanjenje povlaštenog poreznog tretmana duga i ograničenje odbitka kamata u svrhu oporezivanja dobiti trgovačkih društav</w:t>
      </w:r>
      <w:bookmarkEnd w:id="1"/>
      <w:r w:rsidRPr="009D385F">
        <w:rPr>
          <w:bCs/>
          <w:szCs w:val="28"/>
          <w:shd w:val="clear" w:color="auto" w:fill="FFFFFF"/>
        </w:rPr>
        <w:t>a</w:t>
      </w:r>
    </w:p>
    <w:p w:rsidR="00A65BFF" w:rsidRPr="00473BC2" w:rsidRDefault="00A65BFF" w:rsidP="00A65BFF">
      <w:pPr>
        <w:rPr>
          <w:i/>
          <w:vanish/>
        </w:rPr>
      </w:pPr>
      <w:r w:rsidRPr="00473BC2">
        <w:rPr>
          <w:i/>
        </w:rPr>
        <w:fldChar w:fldCharType="begin"/>
      </w:r>
      <w:r w:rsidRPr="00473BC2">
        <w:rPr>
          <w:i/>
        </w:rPr>
        <w:instrText xml:space="preserve"> TC"(</w:instrText>
      </w:r>
      <w:bookmarkStart w:id="2" w:name="DocNumber"/>
      <w:r w:rsidRPr="00473BC2">
        <w:rPr>
          <w:i/>
        </w:rPr>
        <w:instrText>A9-0387/2023</w:instrText>
      </w:r>
      <w:bookmarkEnd w:id="2"/>
      <w:r w:rsidRPr="00473BC2">
        <w:rPr>
          <w:i/>
        </w:rPr>
        <w:instrText xml:space="preserve"> - Izvjestitelj: Luděk Niedermayer)"\l3 \n&gt; \* MERGEFORMAT </w:instrText>
      </w:r>
      <w:r w:rsidRPr="00473BC2">
        <w:rPr>
          <w:i/>
        </w:rPr>
        <w:fldChar w:fldCharType="end"/>
      </w:r>
    </w:p>
    <w:p w:rsidR="00A65BFF" w:rsidRPr="00473BC2" w:rsidRDefault="00A65BFF" w:rsidP="00A65BFF">
      <w:pPr>
        <w:rPr>
          <w:vanish/>
        </w:rPr>
      </w:pPr>
      <w:bookmarkStart w:id="3" w:name="Commission"/>
      <w:r w:rsidRPr="00473BC2">
        <w:rPr>
          <w:vanish/>
        </w:rPr>
        <w:t>Odbor za ekonomsku i monetarnu politiku</w:t>
      </w:r>
      <w:bookmarkEnd w:id="3"/>
    </w:p>
    <w:p w:rsidR="00A65BFF" w:rsidRPr="00473BC2" w:rsidRDefault="00A65BFF" w:rsidP="00A65BFF">
      <w:pPr>
        <w:rPr>
          <w:vanish/>
        </w:rPr>
      </w:pPr>
      <w:bookmarkStart w:id="4" w:name="PE"/>
      <w:r w:rsidRPr="00473BC2">
        <w:rPr>
          <w:vanish/>
        </w:rPr>
        <w:t>PE738.463</w:t>
      </w:r>
      <w:bookmarkEnd w:id="4"/>
    </w:p>
    <w:p w:rsidR="00A65BFF" w:rsidRPr="00473BC2" w:rsidRDefault="00A65BFF" w:rsidP="00A65BFF">
      <w:pPr>
        <w:pStyle w:val="ATHeading3"/>
      </w:pPr>
      <w:bookmarkStart w:id="5" w:name="Sujet"/>
      <w:r w:rsidRPr="00473BC2">
        <w:t>Zakonodavna rezolu</w:t>
      </w:r>
      <w:r w:rsidR="00473BC2">
        <w:t>cija Europskog parlamenta od 16</w:t>
      </w:r>
      <w:r w:rsidRPr="00473BC2">
        <w:t xml:space="preserve">. </w:t>
      </w:r>
      <w:r w:rsidR="00473BC2">
        <w:t xml:space="preserve">siječnja </w:t>
      </w:r>
      <w:r w:rsidRPr="00473BC2">
        <w:t>2024. o Prijedlogu direktive Vijeća o utvrđivanju pravila o olakšici za povlašteni porezni tretman duga u oporezivanju trgovačkih društava i o ograničavanju mogućnosti odbitka kamata za potrebe poreza na dobit</w:t>
      </w:r>
      <w:bookmarkEnd w:id="5"/>
      <w:r w:rsidRPr="00473BC2">
        <w:t xml:space="preserve"> </w:t>
      </w:r>
      <w:bookmarkStart w:id="6" w:name="References"/>
      <w:r w:rsidRPr="00473BC2">
        <w:t>(COM(2022)0216 – C9-0197/2022 – 2022/0154(CNS))</w:t>
      </w:r>
      <w:bookmarkEnd w:id="6"/>
    </w:p>
    <w:p w:rsidR="00A65BFF" w:rsidRPr="00473BC2" w:rsidRDefault="00A65BFF" w:rsidP="00A65BFF"/>
    <w:p w:rsidR="00C31502" w:rsidRPr="00473BC2" w:rsidRDefault="00C31502" w:rsidP="00C31502">
      <w:pPr>
        <w:pStyle w:val="NormalBold"/>
      </w:pPr>
      <w:bookmarkStart w:id="7" w:name="TextBodyBegin"/>
      <w:bookmarkEnd w:id="7"/>
      <w:r w:rsidRPr="00473BC2">
        <w:t>(Posebni zakonodavni postupak – savjetovanje)</w:t>
      </w:r>
    </w:p>
    <w:p w:rsidR="00C31502" w:rsidRPr="00473BC2" w:rsidRDefault="00C31502" w:rsidP="00C31502">
      <w:pPr>
        <w:pStyle w:val="EPComma"/>
      </w:pPr>
      <w:r w:rsidRPr="00473BC2">
        <w:rPr>
          <w:i/>
        </w:rPr>
        <w:t>Europski parlament</w:t>
      </w:r>
      <w:r w:rsidRPr="00473BC2">
        <w:t>,</w:t>
      </w:r>
    </w:p>
    <w:p w:rsidR="00C31502" w:rsidRPr="00473BC2" w:rsidRDefault="00C31502" w:rsidP="00C31502">
      <w:pPr>
        <w:pStyle w:val="NormalHanging12a"/>
      </w:pPr>
      <w:r w:rsidRPr="00473BC2">
        <w:t>–</w:t>
      </w:r>
      <w:r w:rsidRPr="00473BC2">
        <w:tab/>
        <w:t>uzimajući u obzir Prijedlog koji je Komisija uputila Vijeću (COM(2022)0216),</w:t>
      </w:r>
    </w:p>
    <w:p w:rsidR="00C31502" w:rsidRPr="00473BC2" w:rsidRDefault="00C31502" w:rsidP="00C31502">
      <w:pPr>
        <w:pStyle w:val="NormalHanging12a"/>
      </w:pPr>
      <w:r w:rsidRPr="00473BC2">
        <w:t>–</w:t>
      </w:r>
      <w:r w:rsidRPr="00473BC2">
        <w:tab/>
        <w:t>uzimajući u obzir članak 115. Ugovora o funkcioniranju Europske unije, na temelju kojeg se Vijeće savjetovalo s Parlamentom (C9</w:t>
      </w:r>
      <w:r w:rsidRPr="00473BC2">
        <w:noBreakHyphen/>
        <w:t>0197/2022),</w:t>
      </w:r>
    </w:p>
    <w:p w:rsidR="00C31502" w:rsidRPr="00473BC2" w:rsidRDefault="00C31502" w:rsidP="00C31502">
      <w:pPr>
        <w:pStyle w:val="NormalHanging12a"/>
      </w:pPr>
      <w:r w:rsidRPr="00473BC2">
        <w:t>–</w:t>
      </w:r>
      <w:r w:rsidRPr="00473BC2">
        <w:tab/>
        <w:t>uzimajući u obzir obrazloženo mišljenje Švedskog Parlamenta, podneseno u okviru protokola br. 2 o primjeni načela supsidijarnosti i proporcionalnosti, u kojemu se izjavljuje da nacrt zakonodavnog akta nije u skladu s načelom supsidijarnosti,</w:t>
      </w:r>
    </w:p>
    <w:p w:rsidR="00C31502" w:rsidRPr="00473BC2" w:rsidRDefault="00C31502" w:rsidP="00C31502">
      <w:pPr>
        <w:pStyle w:val="NormalHanging12a"/>
      </w:pPr>
      <w:r w:rsidRPr="00473BC2">
        <w:t>–</w:t>
      </w:r>
      <w:r w:rsidRPr="00473BC2">
        <w:tab/>
        <w:t>uzimajući u obzir članak 82. Poslovnika,</w:t>
      </w:r>
    </w:p>
    <w:p w:rsidR="00C31502" w:rsidRPr="00473BC2" w:rsidRDefault="00C31502" w:rsidP="00C31502">
      <w:pPr>
        <w:pStyle w:val="NormalHanging12a"/>
      </w:pPr>
      <w:r w:rsidRPr="00473BC2">
        <w:t>–</w:t>
      </w:r>
      <w:r w:rsidRPr="00473BC2">
        <w:tab/>
        <w:t>uzimajući u obzir izvješće Odbora za ekonomsku i monetarnu politiku (A9</w:t>
      </w:r>
      <w:r w:rsidRPr="00473BC2">
        <w:noBreakHyphen/>
        <w:t>0387/2023),</w:t>
      </w:r>
    </w:p>
    <w:p w:rsidR="00C31502" w:rsidRPr="00473BC2" w:rsidRDefault="00C31502" w:rsidP="00C31502">
      <w:pPr>
        <w:pStyle w:val="NormalHanging12a"/>
      </w:pPr>
      <w:r w:rsidRPr="00473BC2">
        <w:t>1.</w:t>
      </w:r>
      <w:r w:rsidRPr="00473BC2">
        <w:tab/>
        <w:t>prihvaća Prijedlog Komisije s predloženim izmjenama;</w:t>
      </w:r>
    </w:p>
    <w:p w:rsidR="00C31502" w:rsidRPr="00473BC2" w:rsidRDefault="00C31502" w:rsidP="00C31502">
      <w:pPr>
        <w:pStyle w:val="NormalHanging12a"/>
      </w:pPr>
      <w:r w:rsidRPr="00473BC2">
        <w:t>2.</w:t>
      </w:r>
      <w:r w:rsidRPr="00473BC2">
        <w:tab/>
        <w:t>poziva Komisiju da shodno tomu izmijeni svoj Prijedlog u skladu s člankom 293. stavkom 2. Ugovora o funkcioniranju Europske unije;</w:t>
      </w:r>
    </w:p>
    <w:p w:rsidR="00C31502" w:rsidRPr="00473BC2" w:rsidRDefault="00C31502" w:rsidP="00C31502">
      <w:pPr>
        <w:pStyle w:val="NormalHanging12a"/>
      </w:pPr>
      <w:r w:rsidRPr="00473BC2">
        <w:t>3.</w:t>
      </w:r>
      <w:r w:rsidRPr="00473BC2">
        <w:tab/>
        <w:t>poziva Vijeće da ga obavijesti ako namjerava odstupiti od teksta koji je Parlament prihvatio;</w:t>
      </w:r>
    </w:p>
    <w:p w:rsidR="00C31502" w:rsidRPr="00473BC2" w:rsidRDefault="00C31502" w:rsidP="00C31502">
      <w:pPr>
        <w:pStyle w:val="NormalHanging12a"/>
      </w:pPr>
      <w:r w:rsidRPr="00473BC2">
        <w:t>4.</w:t>
      </w:r>
      <w:r w:rsidRPr="00473BC2">
        <w:tab/>
        <w:t>poziva Vijeće da se ponovno savjetuje s Parlamentom ako namjerava bitno izmijeniti Prijedlog Komisije;</w:t>
      </w:r>
    </w:p>
    <w:p w:rsidR="00C31502" w:rsidRPr="00473BC2" w:rsidRDefault="00C31502" w:rsidP="00C31502">
      <w:pPr>
        <w:pStyle w:val="NormalHanging12a"/>
      </w:pPr>
      <w:r w:rsidRPr="00473BC2">
        <w:lastRenderedPageBreak/>
        <w:t>5.</w:t>
      </w:r>
      <w:r w:rsidRPr="00473BC2">
        <w:tab/>
        <w:t>nalaže svojoj predsjednici da stajalište Parlamenta proslijedi Vijeću, Komisiji i nacionalnim parlamentima.</w:t>
      </w:r>
    </w:p>
    <w:p w:rsidR="00C31502" w:rsidRPr="00473BC2" w:rsidRDefault="00C31502" w:rsidP="00C31502">
      <w:pPr>
        <w:widowControl/>
      </w:pPr>
      <w:r w:rsidRPr="00473BC2">
        <w:br w:type="page"/>
      </w:r>
    </w:p>
    <w:p w:rsidR="00C31502" w:rsidRPr="00473BC2" w:rsidRDefault="00C31502" w:rsidP="00C31502">
      <w:pPr>
        <w:pStyle w:val="AmNumberTabs"/>
        <w:keepNext/>
      </w:pPr>
      <w:r w:rsidRPr="00473BC2">
        <w:lastRenderedPageBreak/>
        <w:t>Amandman</w:t>
      </w:r>
      <w:r w:rsidRPr="00473BC2">
        <w:tab/>
      </w:r>
      <w:r w:rsidRPr="00473BC2">
        <w:tab/>
        <w:t>1</w:t>
      </w:r>
    </w:p>
    <w:p w:rsidR="00C31502" w:rsidRPr="00473BC2" w:rsidRDefault="00C31502" w:rsidP="00C31502">
      <w:pPr>
        <w:pStyle w:val="NormalBold12b"/>
        <w:keepNext/>
      </w:pPr>
      <w:r w:rsidRPr="00473BC2">
        <w:t>Prijedlog direktive</w:t>
      </w:r>
    </w:p>
    <w:p w:rsidR="00C31502" w:rsidRPr="00473BC2" w:rsidRDefault="00C31502" w:rsidP="00C31502">
      <w:pPr>
        <w:pStyle w:val="NormalBold"/>
        <w:keepNext/>
      </w:pPr>
      <w:r w:rsidRPr="00473BC2">
        <w:t>Uvodna izjava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31502" w:rsidRPr="00473BC2" w:rsidTr="00B13675">
        <w:trPr>
          <w:jc w:val="center"/>
        </w:trPr>
        <w:tc>
          <w:tcPr>
            <w:tcW w:w="9752" w:type="dxa"/>
            <w:gridSpan w:val="2"/>
          </w:tcPr>
          <w:p w:rsidR="00C31502" w:rsidRPr="00473BC2" w:rsidRDefault="00C31502" w:rsidP="00B13675">
            <w:pPr>
              <w:keepNext/>
            </w:pPr>
          </w:p>
        </w:tc>
      </w:tr>
      <w:tr w:rsidR="00C31502" w:rsidRPr="00473BC2" w:rsidTr="00B13675">
        <w:trPr>
          <w:jc w:val="center"/>
        </w:trPr>
        <w:tc>
          <w:tcPr>
            <w:tcW w:w="4876" w:type="dxa"/>
          </w:tcPr>
          <w:p w:rsidR="00C31502" w:rsidRPr="00473BC2" w:rsidRDefault="00C31502" w:rsidP="00B13675">
            <w:pPr>
              <w:pStyle w:val="AmColumnHeading"/>
              <w:keepNext/>
            </w:pPr>
            <w:r w:rsidRPr="00473BC2">
              <w:t>Tekst koji je predložila Komisija</w:t>
            </w:r>
          </w:p>
        </w:tc>
        <w:tc>
          <w:tcPr>
            <w:tcW w:w="4876" w:type="dxa"/>
          </w:tcPr>
          <w:p w:rsidR="00C31502" w:rsidRPr="00473BC2" w:rsidRDefault="00C31502" w:rsidP="00B13675">
            <w:pPr>
              <w:pStyle w:val="AmColumnHeading"/>
              <w:keepNext/>
            </w:pPr>
            <w:r w:rsidRPr="00473BC2">
              <w:t>Izmjena</w:t>
            </w:r>
          </w:p>
        </w:tc>
      </w:tr>
      <w:tr w:rsidR="00C31502" w:rsidRPr="00473BC2" w:rsidTr="00B13675">
        <w:trPr>
          <w:jc w:val="center"/>
        </w:trPr>
        <w:tc>
          <w:tcPr>
            <w:tcW w:w="4876" w:type="dxa"/>
          </w:tcPr>
          <w:p w:rsidR="00C31502" w:rsidRPr="00473BC2" w:rsidRDefault="00C31502" w:rsidP="00B13675">
            <w:pPr>
              <w:pStyle w:val="Normal6a"/>
            </w:pPr>
            <w:r w:rsidRPr="00473BC2">
              <w:t>(1)</w:t>
            </w:r>
            <w:r w:rsidRPr="00473BC2">
              <w:tab/>
              <w:t>Promicanje pravednog i održivog poslovnog okruženja, među ostalim ciljanim poreznim mjerama kojima se potiču ulaganja i rast, važan je politički prioritet Unije. Kako bi se poduprlo održivo i dugoročno korporativno financiranje, porezni sustav trebao bi na najmanju moguću mjeru svesti neželjene poremećaje koji su posljedica poslovnih odluka, na primjer u pogledu financiranja zaduživanjem, a ne vlasničkim kapitalom. Iako Komisijin Akcijski plan za uniju tržišta kapitala iz 2020.</w:t>
            </w:r>
            <w:r w:rsidRPr="00473BC2">
              <w:rPr>
                <w:vertAlign w:val="superscript"/>
              </w:rPr>
              <w:t>14</w:t>
            </w:r>
            <w:r w:rsidRPr="00473BC2">
              <w:t xml:space="preserve"> uključuje važne mjere za potporu takvom financiranju, na primjer mjeru 4. Poticanje institucionalnih </w:t>
            </w:r>
            <w:proofErr w:type="spellStart"/>
            <w:r w:rsidRPr="00473BC2">
              <w:t>ulagatelja</w:t>
            </w:r>
            <w:proofErr w:type="spellEnd"/>
            <w:r w:rsidRPr="00473BC2">
              <w:t xml:space="preserve"> da povećaju dugoročno financiranje i financiranje vlasničkim kapitalom, trebalo bi donijeti ciljane porezne mjere kako bi se unaprijedilo takvo djelovanje. Takvim mjerama trebalo bi uzeti u obzir pitanja fiskalne održivosti.</w:t>
            </w:r>
          </w:p>
        </w:tc>
        <w:tc>
          <w:tcPr>
            <w:tcW w:w="4876" w:type="dxa"/>
          </w:tcPr>
          <w:p w:rsidR="00C31502" w:rsidRPr="00473BC2" w:rsidRDefault="00C31502" w:rsidP="00B13675">
            <w:pPr>
              <w:pStyle w:val="Normal6a"/>
              <w:rPr>
                <w:szCs w:val="24"/>
              </w:rPr>
            </w:pPr>
            <w:r w:rsidRPr="00473BC2">
              <w:t>(1)</w:t>
            </w:r>
            <w:r w:rsidRPr="00473BC2">
              <w:tab/>
              <w:t>Promicanje pravednog i održivog poslovnog okruženja</w:t>
            </w:r>
            <w:r w:rsidRPr="00473BC2">
              <w:rPr>
                <w:b/>
                <w:i/>
              </w:rPr>
              <w:t xml:space="preserve"> i poboljšanje sustava poreza na dobit</w:t>
            </w:r>
            <w:r w:rsidRPr="00473BC2">
              <w:t>, među ostalim ciljanim poreznim mjerama kojima se potiču ulaganja i rast, važan je politički prioritet Unije. Kako bi se poduprlo održivo</w:t>
            </w:r>
            <w:r w:rsidRPr="00473BC2">
              <w:rPr>
                <w:b/>
                <w:i/>
              </w:rPr>
              <w:t>, pouzdano</w:t>
            </w:r>
            <w:r w:rsidRPr="00473BC2">
              <w:t xml:space="preserve"> i dugoročno korporativno financiranje</w:t>
            </w:r>
            <w:r w:rsidRPr="00473BC2">
              <w:rPr>
                <w:b/>
                <w:i/>
              </w:rPr>
              <w:t>, posebno nakon tri gospodarske krize od 2008., što je mnoga poduzeća prisililo da se oslone na financiranje zaduživanjem kako bi pokrila gospodarske gubitke</w:t>
            </w:r>
            <w:r w:rsidRPr="00473BC2">
              <w:t>, porezni sustav trebao bi na najmanju moguću mjeru svesti neželjene poremećaje koji su posljedica poslovnih odluka, na primjer u pogledu financiranja zaduživanjem, a ne vlasničkim kapitalom. Iako Komisijin Akcijski plan za uniju tržišta kapitala iz 2020.</w:t>
            </w:r>
            <w:r w:rsidRPr="00473BC2">
              <w:rPr>
                <w:vertAlign w:val="superscript"/>
              </w:rPr>
              <w:t>14</w:t>
            </w:r>
            <w:r w:rsidRPr="00473BC2">
              <w:t xml:space="preserve"> uključuje važne mjere za potporu takvom financiranju, na primjer mjeru 4. Poticanje institucionalnih </w:t>
            </w:r>
            <w:proofErr w:type="spellStart"/>
            <w:r w:rsidRPr="00473BC2">
              <w:t>ulagatelja</w:t>
            </w:r>
            <w:proofErr w:type="spellEnd"/>
            <w:r w:rsidRPr="00473BC2">
              <w:t xml:space="preserve"> da povećaju dugoročno financiranje i financiranje vlasničkim kapitalom, trebalo bi donijeti ciljane porezne mjere kako bi se unaprijedilo takvo djelovanje. Takvim mjerama trebalo bi uzeti u obzir pitanja fiskalne održivosti.</w:t>
            </w:r>
          </w:p>
        </w:tc>
      </w:tr>
      <w:tr w:rsidR="00C31502" w:rsidRPr="00473BC2" w:rsidTr="00B13675">
        <w:trPr>
          <w:jc w:val="center"/>
        </w:trPr>
        <w:tc>
          <w:tcPr>
            <w:tcW w:w="4876" w:type="dxa"/>
          </w:tcPr>
          <w:p w:rsidR="00C31502" w:rsidRPr="00473BC2" w:rsidRDefault="00C31502" w:rsidP="00B13675">
            <w:pPr>
              <w:pStyle w:val="Normal6a"/>
            </w:pPr>
            <w:r w:rsidRPr="00473BC2">
              <w:t>__________________</w:t>
            </w:r>
          </w:p>
        </w:tc>
        <w:tc>
          <w:tcPr>
            <w:tcW w:w="4876" w:type="dxa"/>
          </w:tcPr>
          <w:p w:rsidR="00C31502" w:rsidRPr="00473BC2" w:rsidRDefault="00C31502" w:rsidP="00B13675">
            <w:pPr>
              <w:pStyle w:val="Normal6a"/>
            </w:pPr>
            <w:r w:rsidRPr="00473BC2">
              <w:t>__________________</w:t>
            </w:r>
          </w:p>
        </w:tc>
      </w:tr>
      <w:tr w:rsidR="00C31502" w:rsidRPr="00473BC2" w:rsidTr="00B13675">
        <w:trPr>
          <w:jc w:val="center"/>
        </w:trPr>
        <w:tc>
          <w:tcPr>
            <w:tcW w:w="4876" w:type="dxa"/>
          </w:tcPr>
          <w:p w:rsidR="00C31502" w:rsidRPr="00473BC2" w:rsidRDefault="00C31502" w:rsidP="00B13675">
            <w:pPr>
              <w:pStyle w:val="Normal6a"/>
            </w:pPr>
            <w:r w:rsidRPr="00473BC2">
              <w:rPr>
                <w:vertAlign w:val="superscript"/>
              </w:rPr>
              <w:t>14</w:t>
            </w:r>
            <w:r w:rsidRPr="00473BC2">
              <w:t xml:space="preserve"> Komunikacija Komisije Europskom parlamentu, Vijeću, Europskom gospodarskom i socijalnom odboru i Odboru regija „Unija tržišta kapitala za građane i poduzeća – novi akcijski plan”, COM</w:t>
            </w:r>
            <w:r w:rsidRPr="00DA0768">
              <w:rPr>
                <w:b/>
                <w:i/>
              </w:rPr>
              <w:t>/</w:t>
            </w:r>
            <w:r w:rsidRPr="00473BC2">
              <w:t>2020</w:t>
            </w:r>
            <w:r w:rsidRPr="00DA0768">
              <w:rPr>
                <w:b/>
                <w:i/>
              </w:rPr>
              <w:t>/</w:t>
            </w:r>
            <w:r w:rsidRPr="00473BC2">
              <w:t>590</w:t>
            </w:r>
            <w:r w:rsidRPr="00DA0768">
              <w:rPr>
                <w:b/>
                <w:i/>
              </w:rPr>
              <w:t xml:space="preserve"> </w:t>
            </w:r>
            <w:proofErr w:type="spellStart"/>
            <w:r w:rsidRPr="00DA0768">
              <w:rPr>
                <w:b/>
                <w:i/>
              </w:rPr>
              <w:t>final</w:t>
            </w:r>
            <w:proofErr w:type="spellEnd"/>
            <w:r w:rsidRPr="00473BC2">
              <w:t xml:space="preserve"> (</w:t>
            </w:r>
            <w:hyperlink r:id="rId9" w:history="1">
              <w:r w:rsidRPr="00473BC2">
                <w:rPr>
                  <w:rStyle w:val="Hyperlink"/>
                  <w:color w:val="auto"/>
                </w:rPr>
                <w:t>https://eur-lex.europa.eu/resource.html?uri=cellar:61042990-fe46-11ea-b44f-01aa75ed71a1.0020.02/DOC_1&amp;format=PDF</w:t>
              </w:r>
            </w:hyperlink>
            <w:r w:rsidRPr="00473BC2">
              <w:rPr>
                <w:u w:val="single"/>
              </w:rPr>
              <w:t>)</w:t>
            </w:r>
            <w:bookmarkStart w:id="8" w:name="_GoBack"/>
            <w:bookmarkEnd w:id="8"/>
          </w:p>
        </w:tc>
        <w:tc>
          <w:tcPr>
            <w:tcW w:w="4876" w:type="dxa"/>
          </w:tcPr>
          <w:p w:rsidR="00C31502" w:rsidRPr="00473BC2" w:rsidRDefault="00C31502" w:rsidP="00B13675">
            <w:pPr>
              <w:pStyle w:val="Normal6a"/>
            </w:pPr>
            <w:r w:rsidRPr="00473BC2">
              <w:rPr>
                <w:vertAlign w:val="superscript"/>
              </w:rPr>
              <w:t xml:space="preserve">14 </w:t>
            </w:r>
            <w:r w:rsidRPr="00473BC2">
              <w:t>Komunikacija Komisije Europskom parlamentu, Vijeću, Europskom gospodarskom i socijalnom odboru i Odboru regija „Unija tržišta kapitala za građane i poduzeća – novi ak</w:t>
            </w:r>
            <w:r w:rsidR="00DA0768">
              <w:t>cijski plan”, COM</w:t>
            </w:r>
            <w:r w:rsidR="00DA0768" w:rsidRPr="00DA0768">
              <w:rPr>
                <w:b/>
                <w:i/>
              </w:rPr>
              <w:t>(</w:t>
            </w:r>
            <w:r w:rsidR="00DA0768">
              <w:t>2020</w:t>
            </w:r>
            <w:r w:rsidR="00DA0768" w:rsidRPr="00DA0768">
              <w:rPr>
                <w:b/>
                <w:i/>
              </w:rPr>
              <w:t>)0</w:t>
            </w:r>
            <w:r w:rsidR="00DA0768">
              <w:t>590</w:t>
            </w:r>
            <w:r w:rsidRPr="00473BC2">
              <w:t xml:space="preserve"> (</w:t>
            </w:r>
            <w:hyperlink r:id="rId10" w:history="1">
              <w:r w:rsidRPr="00473BC2">
                <w:rPr>
                  <w:rStyle w:val="Hyperlink"/>
                  <w:color w:val="auto"/>
                </w:rPr>
                <w:t>https://eur-lex.europa.eu/resource.html?uri=cellar:61042990-fe46-11ea-b44f-01aa75ed71a1.0020.02/DOC_1&amp;format=PDF</w:t>
              </w:r>
            </w:hyperlink>
            <w:r w:rsidRPr="00473BC2">
              <w:rPr>
                <w:u w:val="single"/>
              </w:rPr>
              <w:t>)</w:t>
            </w:r>
          </w:p>
        </w:tc>
      </w:tr>
    </w:tbl>
    <w:p w:rsidR="00C31502" w:rsidRPr="00473BC2" w:rsidRDefault="00C31502" w:rsidP="00C31502"/>
    <w:p w:rsidR="00C31502" w:rsidRPr="00473BC2" w:rsidRDefault="00C31502" w:rsidP="00C31502">
      <w:pPr>
        <w:pStyle w:val="AmNumberTabs"/>
        <w:keepNext/>
      </w:pPr>
      <w:r w:rsidRPr="00473BC2">
        <w:lastRenderedPageBreak/>
        <w:t>Amandman</w:t>
      </w:r>
      <w:r w:rsidRPr="00473BC2">
        <w:tab/>
      </w:r>
      <w:r w:rsidRPr="00473BC2">
        <w:tab/>
        <w:t>2</w:t>
      </w:r>
    </w:p>
    <w:p w:rsidR="00C31502" w:rsidRPr="00473BC2" w:rsidRDefault="00C31502" w:rsidP="00C31502">
      <w:pPr>
        <w:pStyle w:val="NormalBold12b"/>
        <w:keepNext/>
      </w:pPr>
      <w:r w:rsidRPr="00473BC2">
        <w:t>Prijedlog direktive</w:t>
      </w:r>
    </w:p>
    <w:p w:rsidR="00C31502" w:rsidRPr="00473BC2" w:rsidRDefault="00C31502" w:rsidP="00C31502">
      <w:pPr>
        <w:pStyle w:val="NormalBold"/>
        <w:keepNext/>
      </w:pPr>
      <w:r w:rsidRPr="00473BC2">
        <w:t>Uvodna izjava 1.a (nova)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31502" w:rsidRPr="00473BC2" w:rsidTr="00B13675">
        <w:trPr>
          <w:jc w:val="center"/>
        </w:trPr>
        <w:tc>
          <w:tcPr>
            <w:tcW w:w="9752" w:type="dxa"/>
            <w:gridSpan w:val="2"/>
          </w:tcPr>
          <w:p w:rsidR="00C31502" w:rsidRPr="00473BC2" w:rsidRDefault="00C31502" w:rsidP="00B13675">
            <w:pPr>
              <w:keepNext/>
            </w:pPr>
          </w:p>
        </w:tc>
      </w:tr>
      <w:tr w:rsidR="00C31502" w:rsidRPr="00473BC2" w:rsidTr="00B13675">
        <w:trPr>
          <w:jc w:val="center"/>
        </w:trPr>
        <w:tc>
          <w:tcPr>
            <w:tcW w:w="4876" w:type="dxa"/>
          </w:tcPr>
          <w:p w:rsidR="00C31502" w:rsidRPr="00473BC2" w:rsidRDefault="00C31502" w:rsidP="00B13675">
            <w:pPr>
              <w:pStyle w:val="AmColumnHeading"/>
              <w:keepNext/>
            </w:pPr>
            <w:r w:rsidRPr="00473BC2">
              <w:t>Tekst koji je predložila Komisija</w:t>
            </w:r>
          </w:p>
        </w:tc>
        <w:tc>
          <w:tcPr>
            <w:tcW w:w="4876" w:type="dxa"/>
          </w:tcPr>
          <w:p w:rsidR="00C31502" w:rsidRPr="00473BC2" w:rsidRDefault="00C31502" w:rsidP="00B13675">
            <w:pPr>
              <w:pStyle w:val="AmColumnHeading"/>
              <w:keepNext/>
            </w:pPr>
            <w:r w:rsidRPr="00473BC2">
              <w:t>Izmjena</w:t>
            </w:r>
          </w:p>
        </w:tc>
      </w:tr>
      <w:tr w:rsidR="00C31502" w:rsidRPr="00473BC2" w:rsidTr="00B13675">
        <w:trPr>
          <w:jc w:val="center"/>
        </w:trPr>
        <w:tc>
          <w:tcPr>
            <w:tcW w:w="4876" w:type="dxa"/>
          </w:tcPr>
          <w:p w:rsidR="00C31502" w:rsidRPr="00473BC2" w:rsidRDefault="00C31502" w:rsidP="00B13675">
            <w:pPr>
              <w:pStyle w:val="Normal6a"/>
            </w:pPr>
          </w:p>
        </w:tc>
        <w:tc>
          <w:tcPr>
            <w:tcW w:w="4876" w:type="dxa"/>
          </w:tcPr>
          <w:p w:rsidR="00C31502" w:rsidRPr="00473BC2" w:rsidRDefault="00C31502" w:rsidP="00B13675">
            <w:pPr>
              <w:pStyle w:val="Normal6a"/>
              <w:rPr>
                <w:b/>
                <w:i/>
              </w:rPr>
            </w:pPr>
            <w:r w:rsidRPr="00473BC2">
              <w:rPr>
                <w:b/>
                <w:i/>
              </w:rPr>
              <w:t>(1.a)</w:t>
            </w:r>
            <w:r w:rsidRPr="00473BC2">
              <w:rPr>
                <w:b/>
                <w:i/>
              </w:rPr>
              <w:tab/>
              <w:t>Promicanje konkurentne i otporne unije tržišta kapitala, sa snažnim tržištem dionica kao jednim od njezinih stupova, ključno je za promicanje zapošljavanja, gospodarskog rasta i ulaganja. Potrebno je više privatnih ulaganja s pomoću vlasničkog kapitala kako bi se doskočilo predstojećim gospodarskim izazovima. Stoga se snažno preporučuje stvaranje pravnog instrumenta za usklađivanje postojećih zakonodavnih odredbi za smanjenje naklonjenosti poreznih obveznika zaduživanju pri donošenju odluka o ulaganju, ne dovodeći u pitanje zakonitu i stvarnu upotrebu dužničkih instrumenata.</w:t>
            </w:r>
          </w:p>
        </w:tc>
      </w:tr>
    </w:tbl>
    <w:p w:rsidR="00C31502" w:rsidRPr="00473BC2" w:rsidRDefault="00C31502" w:rsidP="00C31502"/>
    <w:p w:rsidR="00C31502" w:rsidRPr="00473BC2" w:rsidRDefault="00C31502" w:rsidP="00C31502">
      <w:pPr>
        <w:pStyle w:val="AmNumberTabs"/>
        <w:keepNext/>
      </w:pPr>
      <w:r w:rsidRPr="00473BC2">
        <w:t>Amandman</w:t>
      </w:r>
      <w:r w:rsidRPr="00473BC2">
        <w:tab/>
      </w:r>
      <w:r w:rsidRPr="00473BC2">
        <w:tab/>
        <w:t>3</w:t>
      </w:r>
    </w:p>
    <w:p w:rsidR="00C31502" w:rsidRPr="00473BC2" w:rsidRDefault="00C31502" w:rsidP="00C31502">
      <w:pPr>
        <w:pStyle w:val="NormalBold12b"/>
        <w:keepNext/>
      </w:pPr>
      <w:r w:rsidRPr="00473BC2">
        <w:t>Prijedlog direktive</w:t>
      </w:r>
    </w:p>
    <w:p w:rsidR="00C31502" w:rsidRPr="00473BC2" w:rsidRDefault="00C31502" w:rsidP="00C31502">
      <w:pPr>
        <w:pStyle w:val="NormalBold"/>
        <w:keepNext/>
      </w:pPr>
      <w:r w:rsidRPr="00473BC2">
        <w:t>Uvodna izjava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31502" w:rsidRPr="00473BC2" w:rsidTr="00B13675">
        <w:trPr>
          <w:jc w:val="center"/>
        </w:trPr>
        <w:tc>
          <w:tcPr>
            <w:tcW w:w="9752" w:type="dxa"/>
            <w:gridSpan w:val="2"/>
          </w:tcPr>
          <w:p w:rsidR="00C31502" w:rsidRPr="00473BC2" w:rsidRDefault="00C31502" w:rsidP="00B13675">
            <w:pPr>
              <w:keepNext/>
            </w:pPr>
          </w:p>
        </w:tc>
      </w:tr>
      <w:tr w:rsidR="00C31502" w:rsidRPr="00473BC2" w:rsidTr="00B13675">
        <w:trPr>
          <w:jc w:val="center"/>
        </w:trPr>
        <w:tc>
          <w:tcPr>
            <w:tcW w:w="4876" w:type="dxa"/>
          </w:tcPr>
          <w:p w:rsidR="00C31502" w:rsidRPr="00473BC2" w:rsidRDefault="00C31502" w:rsidP="00B13675">
            <w:pPr>
              <w:pStyle w:val="AmColumnHeading"/>
              <w:keepNext/>
            </w:pPr>
            <w:r w:rsidRPr="00473BC2">
              <w:t>Tekst koji je predložila Komisija</w:t>
            </w:r>
          </w:p>
        </w:tc>
        <w:tc>
          <w:tcPr>
            <w:tcW w:w="4876" w:type="dxa"/>
          </w:tcPr>
          <w:p w:rsidR="00C31502" w:rsidRPr="00473BC2" w:rsidRDefault="00C31502" w:rsidP="00B13675">
            <w:pPr>
              <w:pStyle w:val="AmColumnHeading"/>
              <w:keepNext/>
            </w:pPr>
            <w:r w:rsidRPr="00473BC2">
              <w:t>Izmjena</w:t>
            </w:r>
          </w:p>
        </w:tc>
      </w:tr>
      <w:tr w:rsidR="00C31502" w:rsidRPr="00473BC2" w:rsidTr="00B13675">
        <w:trPr>
          <w:jc w:val="center"/>
        </w:trPr>
        <w:tc>
          <w:tcPr>
            <w:tcW w:w="4876" w:type="dxa"/>
          </w:tcPr>
          <w:p w:rsidR="00C31502" w:rsidRPr="00473BC2" w:rsidRDefault="00C31502" w:rsidP="00B13675">
            <w:pPr>
              <w:pStyle w:val="Normal6a"/>
            </w:pPr>
            <w:r w:rsidRPr="00473BC2">
              <w:t>(2)</w:t>
            </w:r>
            <w:r w:rsidRPr="00473BC2">
              <w:tab/>
              <w:t>Porezni sustavi država članica omogućuju poreznim obveznicima da odbiju plaćanje kamata na financiranje zaduživanjem, čime se smanjuje obveza plaćanja poreza na dobit, dok se troškovi povezani s financiranjem vlasničkim kapitalom u većini država članica ne mogu odbiti od poreza. Nejednak porezni tretman financiranja zaduživanjem i vlasničkim kapitalom diljem Unije potiče zaduživanje pri donošenju odluka o ulaganjima. Nadalje, ako države članice omogućavaju poreznu olakšicu za financiranje vlasničkim kapitalom u svojem nacionalnom pravu, takve se nacionalne mjere znatno razlikuju u pogledu oblikovanja politike.</w:t>
            </w:r>
          </w:p>
        </w:tc>
        <w:tc>
          <w:tcPr>
            <w:tcW w:w="4876" w:type="dxa"/>
          </w:tcPr>
          <w:p w:rsidR="00C31502" w:rsidRPr="00473BC2" w:rsidRDefault="00C31502" w:rsidP="00B13675">
            <w:pPr>
              <w:pStyle w:val="Normal6a"/>
              <w:rPr>
                <w:b/>
                <w:i/>
              </w:rPr>
            </w:pPr>
            <w:r w:rsidRPr="00473BC2">
              <w:t>(2)</w:t>
            </w:r>
            <w:r w:rsidRPr="00473BC2">
              <w:tab/>
              <w:t xml:space="preserve">Porezni sustavi država članica omogućuju poreznim obveznicima da odbiju plaćanje kamata na financiranje zaduživanjem, čime se smanjuje obveza plaćanja poreza na dobit, dok se troškovi povezani s financiranjem vlasničkim kapitalom u većini država članica ne mogu odbiti od poreza. Nejednak porezni tretman financiranja zaduživanjem i vlasničkim kapitalom diljem Unije potiče zaduživanje pri donošenju odluka o ulaganjima. </w:t>
            </w:r>
            <w:r w:rsidRPr="00473BC2">
              <w:rPr>
                <w:b/>
                <w:i/>
              </w:rPr>
              <w:t xml:space="preserve">Nedavne krize povezane s problemima poduzeća na unutarnjem tržištu u pogledu zaduživanja pokazale su da postoji potreba za reformom kojom bi se vlasnički kapital i dug stavili u ravnopravan položaj te kojom bi se okončala prednost financiranja zaduživanjem. Ovom se </w:t>
            </w:r>
            <w:r w:rsidRPr="00473BC2">
              <w:rPr>
                <w:b/>
                <w:i/>
              </w:rPr>
              <w:lastRenderedPageBreak/>
              <w:t>Direktivom pruža odgovor na brojne pozive Parlamenta na rješavanje pitanja povlaštenog poreznog tretmana duga u oporezivanju trgovačkih društava</w:t>
            </w:r>
            <w:r w:rsidRPr="00473BC2">
              <w:rPr>
                <w:b/>
                <w:i/>
                <w:vertAlign w:val="superscript"/>
              </w:rPr>
              <w:t>1a</w:t>
            </w:r>
            <w:r w:rsidRPr="00473BC2">
              <w:rPr>
                <w:b/>
                <w:i/>
              </w:rPr>
              <w:t xml:space="preserve">. </w:t>
            </w:r>
            <w:r w:rsidRPr="00473BC2">
              <w:t xml:space="preserve">Nadalje, ako države članice omogućavaju poreznu olakšicu za financiranje vlasničkim kapitalom u svojem nacionalnom pravu, takve se nacionalne mjere znatno razlikuju u pogledu oblikovanja politike. </w:t>
            </w:r>
            <w:r w:rsidRPr="00473BC2">
              <w:rPr>
                <w:b/>
                <w:i/>
              </w:rPr>
              <w:t>Stoga je ključno zaštititi ravnopravne uvjete za rješenja na osnovi vlasničkog kapitala i dužničke instrumente, uzimajući u obzir potrebu za jamčenjem minimalnih razina sustavne usklađenosti nacionalnih poreznih okvira, posebno na razini poreznih olakšica.</w:t>
            </w:r>
          </w:p>
        </w:tc>
      </w:tr>
      <w:tr w:rsidR="00C31502" w:rsidRPr="00473BC2" w:rsidTr="00B13675">
        <w:trPr>
          <w:jc w:val="center"/>
        </w:trPr>
        <w:tc>
          <w:tcPr>
            <w:tcW w:w="4876" w:type="dxa"/>
          </w:tcPr>
          <w:p w:rsidR="00C31502" w:rsidRPr="00473BC2" w:rsidRDefault="00C31502" w:rsidP="00B13675">
            <w:pPr>
              <w:pStyle w:val="Normal6a"/>
            </w:pPr>
          </w:p>
        </w:tc>
        <w:tc>
          <w:tcPr>
            <w:tcW w:w="4876" w:type="dxa"/>
          </w:tcPr>
          <w:p w:rsidR="00C31502" w:rsidRPr="00473BC2" w:rsidRDefault="00C31502" w:rsidP="00B13675">
            <w:pPr>
              <w:pStyle w:val="Normal6a"/>
            </w:pPr>
            <w:r w:rsidRPr="00473BC2">
              <w:t>__________________</w:t>
            </w:r>
          </w:p>
        </w:tc>
      </w:tr>
      <w:tr w:rsidR="00C31502" w:rsidRPr="00473BC2" w:rsidTr="00B13675">
        <w:trPr>
          <w:jc w:val="center"/>
        </w:trPr>
        <w:tc>
          <w:tcPr>
            <w:tcW w:w="4876" w:type="dxa"/>
          </w:tcPr>
          <w:p w:rsidR="00C31502" w:rsidRPr="00473BC2" w:rsidRDefault="00C31502" w:rsidP="00B13675">
            <w:pPr>
              <w:pStyle w:val="Normal6a"/>
            </w:pPr>
          </w:p>
        </w:tc>
        <w:tc>
          <w:tcPr>
            <w:tcW w:w="4876" w:type="dxa"/>
          </w:tcPr>
          <w:p w:rsidR="00C31502" w:rsidRPr="00473BC2" w:rsidRDefault="00C31502" w:rsidP="00B13675">
            <w:pPr>
              <w:pStyle w:val="Normal6a"/>
              <w:rPr>
                <w:b/>
                <w:i/>
              </w:rPr>
            </w:pPr>
            <w:r w:rsidRPr="00473BC2">
              <w:rPr>
                <w:b/>
                <w:i/>
                <w:vertAlign w:val="superscript"/>
              </w:rPr>
              <w:t>1a</w:t>
            </w:r>
            <w:r w:rsidRPr="00473BC2">
              <w:rPr>
                <w:b/>
                <w:i/>
              </w:rPr>
              <w:t xml:space="preserve"> Vidi:</w:t>
            </w:r>
          </w:p>
        </w:tc>
      </w:tr>
      <w:tr w:rsidR="00C31502" w:rsidRPr="00473BC2" w:rsidTr="00B13675">
        <w:trPr>
          <w:jc w:val="center"/>
        </w:trPr>
        <w:tc>
          <w:tcPr>
            <w:tcW w:w="4876" w:type="dxa"/>
          </w:tcPr>
          <w:p w:rsidR="00C31502" w:rsidRPr="00473BC2" w:rsidRDefault="00C31502" w:rsidP="00B13675">
            <w:pPr>
              <w:pStyle w:val="Normal6a"/>
            </w:pPr>
          </w:p>
        </w:tc>
        <w:tc>
          <w:tcPr>
            <w:tcW w:w="4876" w:type="dxa"/>
          </w:tcPr>
          <w:p w:rsidR="00C31502" w:rsidRPr="00473BC2" w:rsidRDefault="00C31502" w:rsidP="006F60F4">
            <w:pPr>
              <w:pStyle w:val="Normal6a"/>
              <w:rPr>
                <w:b/>
                <w:i/>
                <w:vertAlign w:val="superscript"/>
              </w:rPr>
            </w:pPr>
            <w:r w:rsidRPr="00473BC2">
              <w:rPr>
                <w:b/>
                <w:i/>
              </w:rPr>
              <w:t>–</w:t>
            </w:r>
            <w:r w:rsidRPr="00473BC2">
              <w:rPr>
                <w:b/>
                <w:i/>
              </w:rPr>
              <w:tab/>
            </w:r>
            <w:r w:rsidR="006F60F4">
              <w:rPr>
                <w:b/>
                <w:i/>
              </w:rPr>
              <w:t>r</w:t>
            </w:r>
            <w:r w:rsidRPr="00473BC2">
              <w:rPr>
                <w:b/>
                <w:i/>
              </w:rPr>
              <w:t xml:space="preserve">ezoluciju Europskog parlamenta od 8. listopada 2020. o daljnjem razvoju unije tržišta kapitala (CMU): poboljšanje pristupa financiranju na tržištima kapitala, posebno za MSP-ove, te daljnje jačanje sudjelovanja malih </w:t>
            </w:r>
            <w:proofErr w:type="spellStart"/>
            <w:r w:rsidRPr="00473BC2">
              <w:rPr>
                <w:b/>
                <w:i/>
              </w:rPr>
              <w:t>ulagatelja</w:t>
            </w:r>
            <w:proofErr w:type="spellEnd"/>
            <w:r w:rsidRPr="00473BC2">
              <w:rPr>
                <w:b/>
                <w:i/>
              </w:rPr>
              <w:t xml:space="preserve"> (2020/2036(INI)) (SL C 395, 29.9.2021., str. 89.); </w:t>
            </w:r>
          </w:p>
        </w:tc>
      </w:tr>
      <w:tr w:rsidR="00C31502" w:rsidRPr="00473BC2" w:rsidTr="00B13675">
        <w:trPr>
          <w:jc w:val="center"/>
        </w:trPr>
        <w:tc>
          <w:tcPr>
            <w:tcW w:w="4876" w:type="dxa"/>
          </w:tcPr>
          <w:p w:rsidR="00C31502" w:rsidRPr="00473BC2" w:rsidRDefault="00C31502" w:rsidP="00B13675">
            <w:pPr>
              <w:pStyle w:val="Normal6a"/>
            </w:pPr>
          </w:p>
        </w:tc>
        <w:tc>
          <w:tcPr>
            <w:tcW w:w="4876" w:type="dxa"/>
          </w:tcPr>
          <w:p w:rsidR="00C31502" w:rsidRPr="00473BC2" w:rsidRDefault="00C31502" w:rsidP="006F60F4">
            <w:pPr>
              <w:pStyle w:val="Normal6a"/>
              <w:rPr>
                <w:b/>
                <w:i/>
                <w:vertAlign w:val="superscript"/>
              </w:rPr>
            </w:pPr>
            <w:r w:rsidRPr="00473BC2">
              <w:rPr>
                <w:b/>
                <w:i/>
              </w:rPr>
              <w:t>–</w:t>
            </w:r>
            <w:r w:rsidRPr="00473BC2">
              <w:rPr>
                <w:b/>
                <w:i/>
              </w:rPr>
              <w:tab/>
            </w:r>
            <w:r w:rsidR="006F60F4">
              <w:rPr>
                <w:b/>
                <w:i/>
              </w:rPr>
              <w:t>z</w:t>
            </w:r>
            <w:r w:rsidRPr="00473BC2">
              <w:rPr>
                <w:b/>
                <w:i/>
              </w:rPr>
              <w:t>akonodavnu rezoluciju Europskog parlamenta od 15. ožujka 2018. o Prijedlogu direktive Vijeća o zajedničkoj konsolidiranoj osnovici poreza na dobit (2016/0337(CNS)) (SL C 162, 10.5.2019., str. 181.);</w:t>
            </w:r>
          </w:p>
        </w:tc>
      </w:tr>
      <w:tr w:rsidR="00C31502" w:rsidRPr="00473BC2" w:rsidTr="00B13675">
        <w:trPr>
          <w:jc w:val="center"/>
        </w:trPr>
        <w:tc>
          <w:tcPr>
            <w:tcW w:w="4876" w:type="dxa"/>
          </w:tcPr>
          <w:p w:rsidR="00C31502" w:rsidRPr="00473BC2" w:rsidRDefault="00C31502" w:rsidP="00B13675">
            <w:pPr>
              <w:pStyle w:val="Normal6a"/>
            </w:pPr>
          </w:p>
        </w:tc>
        <w:tc>
          <w:tcPr>
            <w:tcW w:w="4876" w:type="dxa"/>
          </w:tcPr>
          <w:p w:rsidR="00C31502" w:rsidRPr="00473BC2" w:rsidRDefault="00C31502" w:rsidP="006F60F4">
            <w:pPr>
              <w:pStyle w:val="Normal6a"/>
              <w:rPr>
                <w:b/>
                <w:i/>
              </w:rPr>
            </w:pPr>
            <w:r w:rsidRPr="00473BC2">
              <w:rPr>
                <w:b/>
                <w:i/>
              </w:rPr>
              <w:t>–</w:t>
            </w:r>
            <w:r w:rsidRPr="00473BC2">
              <w:rPr>
                <w:b/>
                <w:i/>
              </w:rPr>
              <w:tab/>
            </w:r>
            <w:r w:rsidR="006F60F4">
              <w:rPr>
                <w:b/>
                <w:i/>
              </w:rPr>
              <w:t>r</w:t>
            </w:r>
            <w:r w:rsidRPr="00473BC2">
              <w:rPr>
                <w:b/>
                <w:i/>
              </w:rPr>
              <w:t>ezoluciju Europskog parlamenta od 10. ožujka 2022. s preporukama Komisiji o pravednom i jednostavnijem oporezivanju kojim se podupire strategija oporavka (EP-ovo praćenje akcijskog plana Komisije iz srpnja i njegovih 25 inicijativa u području PDV-a, oporezivanja poslovanja i pojedinačnog oporezivanja) (2020/2254(INL)) (SL C 347, 9.9.2022., str. 211.);</w:t>
            </w:r>
          </w:p>
        </w:tc>
      </w:tr>
      <w:tr w:rsidR="00C31502" w:rsidRPr="00473BC2" w:rsidTr="00B13675">
        <w:trPr>
          <w:jc w:val="center"/>
        </w:trPr>
        <w:tc>
          <w:tcPr>
            <w:tcW w:w="4876" w:type="dxa"/>
          </w:tcPr>
          <w:p w:rsidR="00C31502" w:rsidRPr="00473BC2" w:rsidRDefault="00C31502" w:rsidP="00B13675">
            <w:pPr>
              <w:pStyle w:val="Normal6a"/>
            </w:pPr>
          </w:p>
        </w:tc>
        <w:tc>
          <w:tcPr>
            <w:tcW w:w="4876" w:type="dxa"/>
          </w:tcPr>
          <w:p w:rsidR="00C31502" w:rsidRPr="00473BC2" w:rsidRDefault="00C31502" w:rsidP="006F60F4">
            <w:pPr>
              <w:pStyle w:val="Normal6a"/>
              <w:rPr>
                <w:b/>
                <w:i/>
              </w:rPr>
            </w:pPr>
            <w:r w:rsidRPr="00473BC2">
              <w:rPr>
                <w:b/>
                <w:i/>
              </w:rPr>
              <w:t>–</w:t>
            </w:r>
            <w:r w:rsidRPr="00473BC2">
              <w:rPr>
                <w:b/>
                <w:i/>
              </w:rPr>
              <w:tab/>
            </w:r>
            <w:r w:rsidR="006F60F4">
              <w:rPr>
                <w:b/>
                <w:i/>
              </w:rPr>
              <w:t>r</w:t>
            </w:r>
            <w:r w:rsidRPr="00473BC2">
              <w:rPr>
                <w:b/>
                <w:i/>
              </w:rPr>
              <w:t>ezoluciju Europskog parlamenta od 15. veljače 2022. o učinku nacionalnih poreznih reformi na gospodarstvo EU-a (</w:t>
            </w:r>
            <w:r w:rsidR="00803D62" w:rsidRPr="00B51876">
              <w:t>2021/2074(INI)</w:t>
            </w:r>
            <w:r w:rsidRPr="00803D62">
              <w:rPr>
                <w:b/>
                <w:i/>
              </w:rPr>
              <w:t>)</w:t>
            </w:r>
            <w:r w:rsidRPr="00473BC2">
              <w:rPr>
                <w:b/>
                <w:i/>
              </w:rPr>
              <w:t xml:space="preserve"> (SL C 342, 6.9.2022., </w:t>
            </w:r>
            <w:r w:rsidRPr="00473BC2">
              <w:rPr>
                <w:b/>
                <w:i/>
              </w:rPr>
              <w:lastRenderedPageBreak/>
              <w:t>str. 14.).</w:t>
            </w:r>
          </w:p>
        </w:tc>
      </w:tr>
    </w:tbl>
    <w:p w:rsidR="00C31502" w:rsidRPr="00473BC2" w:rsidRDefault="00C31502" w:rsidP="00C31502"/>
    <w:p w:rsidR="00C31502" w:rsidRPr="00473BC2" w:rsidRDefault="00C31502" w:rsidP="00C31502">
      <w:pPr>
        <w:pStyle w:val="AmNumberTabs"/>
        <w:keepNext/>
      </w:pPr>
      <w:r w:rsidRPr="00473BC2">
        <w:t>Amandman</w:t>
      </w:r>
      <w:r w:rsidRPr="00473BC2">
        <w:tab/>
      </w:r>
      <w:r w:rsidRPr="00473BC2">
        <w:tab/>
        <w:t>4</w:t>
      </w:r>
    </w:p>
    <w:p w:rsidR="00C31502" w:rsidRPr="00473BC2" w:rsidRDefault="00C31502" w:rsidP="00C31502">
      <w:pPr>
        <w:pStyle w:val="NormalBold12b"/>
        <w:keepNext/>
      </w:pPr>
      <w:r w:rsidRPr="00473BC2">
        <w:t>Prijedlog direktive</w:t>
      </w:r>
    </w:p>
    <w:p w:rsidR="00C31502" w:rsidRPr="00473BC2" w:rsidRDefault="00C31502" w:rsidP="00C31502">
      <w:pPr>
        <w:pStyle w:val="NormalBold"/>
        <w:keepNext/>
      </w:pPr>
      <w:r w:rsidRPr="00473BC2">
        <w:t>Uvodna izjava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31502" w:rsidRPr="00473BC2" w:rsidTr="00B13675">
        <w:trPr>
          <w:jc w:val="center"/>
        </w:trPr>
        <w:tc>
          <w:tcPr>
            <w:tcW w:w="9752" w:type="dxa"/>
            <w:gridSpan w:val="2"/>
          </w:tcPr>
          <w:p w:rsidR="00C31502" w:rsidRPr="00473BC2" w:rsidRDefault="00C31502" w:rsidP="00B13675">
            <w:pPr>
              <w:keepNext/>
            </w:pPr>
          </w:p>
        </w:tc>
      </w:tr>
      <w:tr w:rsidR="00C31502" w:rsidRPr="00473BC2" w:rsidTr="00B13675">
        <w:trPr>
          <w:jc w:val="center"/>
        </w:trPr>
        <w:tc>
          <w:tcPr>
            <w:tcW w:w="4876" w:type="dxa"/>
          </w:tcPr>
          <w:p w:rsidR="00C31502" w:rsidRPr="00473BC2" w:rsidRDefault="00C31502" w:rsidP="00B13675">
            <w:pPr>
              <w:pStyle w:val="AmColumnHeading"/>
              <w:keepNext/>
            </w:pPr>
            <w:r w:rsidRPr="00473BC2">
              <w:t>Tekst koji je predložila Komisija</w:t>
            </w:r>
          </w:p>
        </w:tc>
        <w:tc>
          <w:tcPr>
            <w:tcW w:w="4876" w:type="dxa"/>
          </w:tcPr>
          <w:p w:rsidR="00C31502" w:rsidRPr="00473BC2" w:rsidRDefault="00C31502" w:rsidP="00B13675">
            <w:pPr>
              <w:pStyle w:val="AmColumnHeading"/>
              <w:keepNext/>
            </w:pPr>
            <w:r w:rsidRPr="00473BC2">
              <w:t>Izmjena</w:t>
            </w:r>
          </w:p>
        </w:tc>
      </w:tr>
      <w:tr w:rsidR="00C31502" w:rsidRPr="00473BC2" w:rsidTr="00B13675">
        <w:trPr>
          <w:jc w:val="center"/>
        </w:trPr>
        <w:tc>
          <w:tcPr>
            <w:tcW w:w="4876" w:type="dxa"/>
          </w:tcPr>
          <w:p w:rsidR="00C31502" w:rsidRPr="00473BC2" w:rsidRDefault="00C31502" w:rsidP="00B13675">
            <w:pPr>
              <w:pStyle w:val="Normal6a"/>
            </w:pPr>
            <w:r w:rsidRPr="00473BC2">
              <w:t>(3)</w:t>
            </w:r>
            <w:r w:rsidRPr="00473BC2">
              <w:tab/>
              <w:t>Kako bi se uklonili mogući poremećaji povezani s oporezivanjem među državama članicama, potrebno je utvrditi zajednički okvir pravila kako bi se na usklađen način riješio problem povlaštenog poreznog tretmana duga u oporezivanju trgovačkih društava u cijeloj Uniji. Takvim bi se pravilima trebalo osigurati da se u svrhu oporezivanja financiranje vlasničkim kapitalom i zaduživanjem tretira na sličan način na cijelom jedinstvenom tržištu. Istodobno bi zajednički zakonodavni okvir Unije trebao biti i kratkoročno održiv za proračune država članica. Stoga bi takav okvir trebao, s jedne strane, uključivati pravila o mogućnosti odbitka poreza za troškove financiranja vlasničkim kapitalom, a s druge strane, o ograničavanju mogućnosti odbitka poreza za troškove financiranja zaduživanjem.</w:t>
            </w:r>
          </w:p>
          <w:p w:rsidR="00C31502" w:rsidRPr="00473BC2" w:rsidRDefault="00C31502" w:rsidP="00B13675">
            <w:pPr>
              <w:pStyle w:val="Normal6a"/>
            </w:pPr>
          </w:p>
        </w:tc>
        <w:tc>
          <w:tcPr>
            <w:tcW w:w="4876" w:type="dxa"/>
          </w:tcPr>
          <w:p w:rsidR="00C31502" w:rsidRPr="00473BC2" w:rsidRDefault="00C31502" w:rsidP="00B13675">
            <w:pPr>
              <w:pStyle w:val="Normal6a"/>
              <w:rPr>
                <w:b/>
                <w:i/>
              </w:rPr>
            </w:pPr>
            <w:r w:rsidRPr="00473BC2">
              <w:t>(3)</w:t>
            </w:r>
            <w:r w:rsidRPr="00473BC2">
              <w:tab/>
              <w:t>Kako bi se uklonili mogući poremećaji povezani s oporezivanjem među državama članicama, potrebno je utvrditi zajednički okvir pravila kako bi se na usklađen način riješio problem povlaštenog poreznog tretmana duga u oporezivanju trgovačkih društava u cijeloj Uniji</w:t>
            </w:r>
            <w:r w:rsidRPr="00473BC2">
              <w:rPr>
                <w:b/>
                <w:i/>
              </w:rPr>
              <w:t>, uz potpuno poštovanje institucionalnog okvira Unije za porezna pitanja, kako je utvrđen u Ugovorima</w:t>
            </w:r>
            <w:r w:rsidRPr="00473BC2">
              <w:t>. Takvim bi se pravilima trebalo osigurati da se u svrhu oporezivanja financiranje vlasničkim kapitalom i zaduživanjem tretira na sličan način na cijelom jedinstvenom tržištu. Istodobno</w:t>
            </w:r>
            <w:r w:rsidRPr="00473BC2">
              <w:rPr>
                <w:b/>
                <w:i/>
              </w:rPr>
              <w:t>, s obzirom na opsežnu mogućnost odbitka poreza na dug i činjenicu da</w:t>
            </w:r>
            <w:r w:rsidRPr="00473BC2">
              <w:t xml:space="preserve"> bi </w:t>
            </w:r>
            <w:r w:rsidRPr="00473BC2">
              <w:rPr>
                <w:b/>
                <w:i/>
              </w:rPr>
              <w:t xml:space="preserve">stvaranje olakšice za povećanje vlasničkog kapitala moglo izravno utjecati na javne prihode, </w:t>
            </w:r>
            <w:r w:rsidRPr="00473BC2">
              <w:t>zajednički zakonodavni okvir Unije trebao</w:t>
            </w:r>
            <w:r w:rsidRPr="00473BC2">
              <w:rPr>
                <w:b/>
                <w:i/>
              </w:rPr>
              <w:t xml:space="preserve"> bi</w:t>
            </w:r>
            <w:r w:rsidRPr="00473BC2">
              <w:t xml:space="preserve"> biti i kratkoročno održiv za proračune država članica. Stoga bi takav okvir trebao, s jedne strane, uključivati pravila o mogućnosti odbitka poreza za troškove financiranja vlasničkim kapitalom, a s druge strane, o ograničavanju mogućnosti odbitka poreza za troškove financiranja zaduživanjem. </w:t>
            </w:r>
            <w:r w:rsidRPr="00473BC2">
              <w:rPr>
                <w:b/>
                <w:i/>
              </w:rPr>
              <w:t>Cilj ove Direktive</w:t>
            </w:r>
            <w:r w:rsidR="00803D62">
              <w:rPr>
                <w:b/>
                <w:i/>
              </w:rPr>
              <w:t xml:space="preserve"> je</w:t>
            </w:r>
            <w:r w:rsidRPr="00473BC2">
              <w:rPr>
                <w:b/>
                <w:i/>
              </w:rPr>
              <w:t xml:space="preserve"> postizanje bolje ravnoteže između različitih izazova povezanih s održivošću javnih financija država članica u kratkoročnom razdoblju te bi se pri tome trebalo izbjeći da države članice pretrpe znatne gubitke u prihodima i težiti poboljšanju financijske stabilnosti poduzeća.</w:t>
            </w:r>
          </w:p>
        </w:tc>
      </w:tr>
    </w:tbl>
    <w:p w:rsidR="00C31502" w:rsidRPr="00473BC2" w:rsidRDefault="00C31502" w:rsidP="00C31502"/>
    <w:p w:rsidR="00C31502" w:rsidRPr="00473BC2" w:rsidRDefault="00C31502" w:rsidP="00C31502">
      <w:pPr>
        <w:pStyle w:val="AmNumberTabs"/>
        <w:keepNext/>
      </w:pPr>
      <w:r w:rsidRPr="00473BC2">
        <w:lastRenderedPageBreak/>
        <w:t>Amandman</w:t>
      </w:r>
      <w:r w:rsidRPr="00473BC2">
        <w:tab/>
      </w:r>
      <w:r w:rsidRPr="00473BC2">
        <w:tab/>
        <w:t>5</w:t>
      </w:r>
    </w:p>
    <w:p w:rsidR="00C31502" w:rsidRPr="00473BC2" w:rsidRDefault="00C31502" w:rsidP="00C31502">
      <w:pPr>
        <w:pStyle w:val="NormalBold12b"/>
        <w:keepNext/>
      </w:pPr>
      <w:r w:rsidRPr="00473BC2">
        <w:t>Prijedlog direktive</w:t>
      </w:r>
    </w:p>
    <w:p w:rsidR="00C31502" w:rsidRPr="00473BC2" w:rsidRDefault="00C31502" w:rsidP="00C31502">
      <w:pPr>
        <w:pStyle w:val="NormalBold"/>
        <w:keepNext/>
      </w:pPr>
      <w:r w:rsidRPr="00473BC2">
        <w:t>Uvodna izjava 3.a (nova)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31502" w:rsidRPr="00473BC2" w:rsidTr="00B13675">
        <w:trPr>
          <w:jc w:val="center"/>
        </w:trPr>
        <w:tc>
          <w:tcPr>
            <w:tcW w:w="9752" w:type="dxa"/>
            <w:gridSpan w:val="2"/>
          </w:tcPr>
          <w:p w:rsidR="00C31502" w:rsidRPr="00473BC2" w:rsidRDefault="00C31502" w:rsidP="00B13675">
            <w:pPr>
              <w:keepNext/>
            </w:pPr>
          </w:p>
        </w:tc>
      </w:tr>
      <w:tr w:rsidR="00C31502" w:rsidRPr="00473BC2" w:rsidTr="00B13675">
        <w:trPr>
          <w:jc w:val="center"/>
        </w:trPr>
        <w:tc>
          <w:tcPr>
            <w:tcW w:w="4876" w:type="dxa"/>
          </w:tcPr>
          <w:p w:rsidR="00C31502" w:rsidRPr="00473BC2" w:rsidRDefault="00C31502" w:rsidP="00B13675">
            <w:pPr>
              <w:pStyle w:val="AmColumnHeading"/>
              <w:keepNext/>
            </w:pPr>
            <w:r w:rsidRPr="00473BC2">
              <w:t>Tekst koji je predložila Komisija</w:t>
            </w:r>
          </w:p>
        </w:tc>
        <w:tc>
          <w:tcPr>
            <w:tcW w:w="4876" w:type="dxa"/>
          </w:tcPr>
          <w:p w:rsidR="00C31502" w:rsidRPr="00473BC2" w:rsidRDefault="00C31502" w:rsidP="00B13675">
            <w:pPr>
              <w:pStyle w:val="AmColumnHeading"/>
              <w:keepNext/>
            </w:pPr>
            <w:r w:rsidRPr="00473BC2">
              <w:t>Izmjena</w:t>
            </w:r>
          </w:p>
        </w:tc>
      </w:tr>
      <w:tr w:rsidR="00C31502" w:rsidRPr="00473BC2" w:rsidTr="00B13675">
        <w:trPr>
          <w:jc w:val="center"/>
        </w:trPr>
        <w:tc>
          <w:tcPr>
            <w:tcW w:w="4876" w:type="dxa"/>
          </w:tcPr>
          <w:p w:rsidR="00C31502" w:rsidRPr="00473BC2" w:rsidRDefault="00C31502" w:rsidP="00B13675">
            <w:pPr>
              <w:pStyle w:val="Normal6a"/>
            </w:pPr>
          </w:p>
        </w:tc>
        <w:tc>
          <w:tcPr>
            <w:tcW w:w="4876" w:type="dxa"/>
          </w:tcPr>
          <w:p w:rsidR="00C31502" w:rsidRPr="00473BC2" w:rsidRDefault="00C31502" w:rsidP="00B13675">
            <w:pPr>
              <w:pStyle w:val="Normal6a"/>
              <w:rPr>
                <w:b/>
                <w:i/>
              </w:rPr>
            </w:pPr>
            <w:r w:rsidRPr="00473BC2">
              <w:rPr>
                <w:b/>
                <w:i/>
              </w:rPr>
              <w:t>(3.a)</w:t>
            </w:r>
            <w:r w:rsidRPr="00473BC2">
              <w:rPr>
                <w:b/>
                <w:i/>
              </w:rPr>
              <w:tab/>
              <w:t xml:space="preserve">Kako bi se dodatno razvila unija tržišta kapitala, cilj ove Direktive </w:t>
            </w:r>
            <w:r w:rsidR="00803D62">
              <w:rPr>
                <w:b/>
                <w:i/>
              </w:rPr>
              <w:t xml:space="preserve">je </w:t>
            </w:r>
            <w:r w:rsidRPr="00473BC2">
              <w:rPr>
                <w:b/>
                <w:i/>
              </w:rPr>
              <w:t>diversifikacija izvora financiranja za poduzeća iz Unije, posebno za MSP-ove. Stoga bi se njome trebalo izbjeći stvaranje novih troškova i prepreka u pogledu pristupa financiranju za ona poduzeća koja još ne mogu lako pristupiti tržištima kapitala. Ograničavanje mogućnosti odbitka troškova kamata tih društava moglo bi otežati ulaganja u cijeloj Uniji, stoga odbitak kamata ne bi trebao biti ograničen za MSP-ove i srednje velike grupe.</w:t>
            </w:r>
          </w:p>
        </w:tc>
      </w:tr>
    </w:tbl>
    <w:p w:rsidR="00C31502" w:rsidRPr="00473BC2" w:rsidRDefault="00C31502" w:rsidP="00C31502"/>
    <w:p w:rsidR="00C31502" w:rsidRPr="00473BC2" w:rsidRDefault="00C31502" w:rsidP="00C31502">
      <w:pPr>
        <w:pStyle w:val="AmNumberTabs"/>
        <w:keepNext/>
      </w:pPr>
      <w:r w:rsidRPr="00473BC2">
        <w:t>Amandman</w:t>
      </w:r>
      <w:r w:rsidRPr="00473BC2">
        <w:tab/>
      </w:r>
      <w:r w:rsidRPr="00473BC2">
        <w:tab/>
        <w:t>6</w:t>
      </w:r>
    </w:p>
    <w:p w:rsidR="00C31502" w:rsidRPr="00473BC2" w:rsidRDefault="00C31502" w:rsidP="00C31502">
      <w:pPr>
        <w:pStyle w:val="NormalBold12b"/>
        <w:keepNext/>
      </w:pPr>
      <w:r w:rsidRPr="00473BC2">
        <w:t>Prijedlog direktive</w:t>
      </w:r>
    </w:p>
    <w:p w:rsidR="00C31502" w:rsidRPr="00473BC2" w:rsidRDefault="00C31502" w:rsidP="00C31502">
      <w:pPr>
        <w:pStyle w:val="NormalBold"/>
        <w:keepNext/>
      </w:pPr>
      <w:r w:rsidRPr="00473BC2">
        <w:t>Uvodna izjava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31502" w:rsidRPr="00473BC2" w:rsidTr="00B13675">
        <w:trPr>
          <w:jc w:val="center"/>
        </w:trPr>
        <w:tc>
          <w:tcPr>
            <w:tcW w:w="9752" w:type="dxa"/>
            <w:gridSpan w:val="2"/>
          </w:tcPr>
          <w:p w:rsidR="00C31502" w:rsidRPr="00473BC2" w:rsidRDefault="00C31502" w:rsidP="00B13675">
            <w:pPr>
              <w:keepNext/>
            </w:pPr>
          </w:p>
        </w:tc>
      </w:tr>
      <w:tr w:rsidR="00C31502" w:rsidRPr="00473BC2" w:rsidTr="00B13675">
        <w:trPr>
          <w:jc w:val="center"/>
        </w:trPr>
        <w:tc>
          <w:tcPr>
            <w:tcW w:w="4876" w:type="dxa"/>
          </w:tcPr>
          <w:p w:rsidR="00C31502" w:rsidRPr="00473BC2" w:rsidRDefault="00C31502" w:rsidP="00B13675">
            <w:pPr>
              <w:pStyle w:val="AmColumnHeading"/>
              <w:keepNext/>
            </w:pPr>
            <w:r w:rsidRPr="00473BC2">
              <w:t>Tekst koji je predložila Komisija</w:t>
            </w:r>
          </w:p>
        </w:tc>
        <w:tc>
          <w:tcPr>
            <w:tcW w:w="4876" w:type="dxa"/>
          </w:tcPr>
          <w:p w:rsidR="00C31502" w:rsidRPr="00473BC2" w:rsidRDefault="00C31502" w:rsidP="00B13675">
            <w:pPr>
              <w:pStyle w:val="AmColumnHeading"/>
              <w:keepNext/>
            </w:pPr>
            <w:r w:rsidRPr="00473BC2">
              <w:t>Izmjena</w:t>
            </w:r>
          </w:p>
        </w:tc>
      </w:tr>
      <w:tr w:rsidR="00C31502" w:rsidRPr="00473BC2" w:rsidTr="00B13675">
        <w:trPr>
          <w:jc w:val="center"/>
        </w:trPr>
        <w:tc>
          <w:tcPr>
            <w:tcW w:w="4876" w:type="dxa"/>
          </w:tcPr>
          <w:p w:rsidR="00C31502" w:rsidRPr="00473BC2" w:rsidRDefault="00C31502" w:rsidP="00B13675">
            <w:pPr>
              <w:pStyle w:val="Normal6a"/>
            </w:pPr>
            <w:r w:rsidRPr="00473BC2">
              <w:t>(5)</w:t>
            </w:r>
            <w:r w:rsidRPr="00473BC2">
              <w:tab/>
              <w:t xml:space="preserve">Kako bi se neutralizirao povlašteni porezni tretman duga u odnosu na financiranje vlasničkim kapitalom, trebalo bi predvidjeti olakšicu na način da se povećanja vlasničkog kapitala poreznog obveznika od jednog poreznog razdoblja do drugog mogu odbiti od njegove porezne osnovice, pod određenim uvjetima. Olakšica bi se trebala izračunati množenjem povećanja vlasničkog kapitala s nominalnom kamatnom stopom temeljenom na nerizičnoj kamatnoj stopi kako je utvrđeno u provedbenim aktima donesenima u skladu s člankom 77.e stavkom 2. Direktive 2009/138/EZ. Takve nerizične kamatne stope već su dio prava Unije te se kao takve praktično i učinkovito primjenjuju. Svaki dio olakšice koji se ne može odbiti u poreznom razdoblju zbog nedovoljne oporezive dobiti može se </w:t>
            </w:r>
            <w:r w:rsidRPr="00473BC2">
              <w:lastRenderedPageBreak/>
              <w:t>prenijeti u buduće razdoblje. Uzimajući u obzir posebne izazove s kojima se mala i srednja poduzeća (MSP-ovi) suočavaju pri pristupu tržištima kapitala, trebalo bi predvidjeti veće olakšice za vlasnički kapital za porezne obveznike koji su MSP-ovi. Kako bi odbitak olakšice za vlasnički kapital u kratkoročnom razdoblju bio održiv za javne financije, trebao bi biti vremenski ograničen. Kako bi se sustav zaštitio od zlouporaba, iz izračuna promjena vlasničkog kapitala potrebno je isključiti poreznu vrijednost vlastitih dionica poreznog obveznika kao i vrijednost njegova udjela u povezanim društvima. Isto tako, potrebno je predvidjeti oporezivanje smanjenja vlasničkog kapitala poreznog obveznika od jednog poreznog razdoblja do sljedećeg poreznog razdoblja kako bi se spriječilo da se povećanje vlasničkog kapitala izvrši na način koji predstavlja zlouporabu. Takvim bi se pravilom isto tako potaknulo zadržavanje razine vlasničkog kapitala. Primjenjivalo bi se tako da bi u slučaju smanjenja vlasničkog kapitala poreznog obveznika koji je ostvario korist od olakšice za povećanje vlasničkog kapitala iznos izračunan na isti način kao i olakšica postao oporeziv tijekom deset poreznih razdoblja</w:t>
            </w:r>
            <w:r w:rsidRPr="00473BC2">
              <w:rPr>
                <w:b/>
                <w:i/>
              </w:rPr>
              <w:t>;</w:t>
            </w:r>
            <w:r w:rsidRPr="00473BC2">
              <w:t xml:space="preserve"> osim ako porezni obveznik dokaže da je to smanjenje isključivo posljedica gubitaka nastalih tijekom poreznog razdoblja ili posljedica zakonske obveze.</w:t>
            </w:r>
          </w:p>
        </w:tc>
        <w:tc>
          <w:tcPr>
            <w:tcW w:w="4876" w:type="dxa"/>
          </w:tcPr>
          <w:p w:rsidR="00C31502" w:rsidRPr="00473BC2" w:rsidRDefault="00C31502" w:rsidP="00B13675">
            <w:pPr>
              <w:pStyle w:val="Normal6a"/>
            </w:pPr>
            <w:r w:rsidRPr="00473BC2">
              <w:lastRenderedPageBreak/>
              <w:t>(5)</w:t>
            </w:r>
            <w:r w:rsidRPr="00473BC2">
              <w:tab/>
              <w:t xml:space="preserve">Kako bi se neutralizirao povlašteni porezni tretman duga u odnosu na financiranje vlasničkim kapitalom, trebalo bi predvidjeti olakšicu na način da se povećanja vlasničkog kapitala poreznog obveznika od jednog poreznog razdoblja do drugog mogu odbiti od njegove porezne osnovice, pod određenim uvjetima. Olakšica bi se trebala izračunati množenjem povećanja vlasničkog kapitala s nominalnom kamatnom stopom temeljenom na nerizičnoj kamatnoj stopi kako je utvrđeno u provedbenim aktima donesenima u skladu s člankom 77.e stavkom 2. Direktive 2009/138/EZ. Takve nerizične kamatne stope već su dio prava Unije te se kao takve praktično i učinkovito primjenjuju. Svaki dio olakšice koji se ne može odbiti u poreznom razdoblju zbog nedovoljne oporezive dobiti može se </w:t>
            </w:r>
            <w:r w:rsidRPr="00473BC2">
              <w:lastRenderedPageBreak/>
              <w:t xml:space="preserve">prenijeti u buduće razdoblje. Uzimajući u obzir posebne izazove s kojima se mala i srednja poduzeća (MSP-ovi) </w:t>
            </w:r>
            <w:r w:rsidRPr="00473BC2">
              <w:rPr>
                <w:b/>
                <w:i/>
              </w:rPr>
              <w:t xml:space="preserve">te srednje grupe </w:t>
            </w:r>
            <w:r w:rsidRPr="00473BC2">
              <w:t xml:space="preserve">suočavaju pri pristupu tržištima kapitala, </w:t>
            </w:r>
            <w:r w:rsidRPr="00473BC2">
              <w:rPr>
                <w:b/>
                <w:i/>
              </w:rPr>
              <w:t xml:space="preserve">njihove više troškove financiranja, manju dostupnost kapitala i veću vjerojatnost da će pretrpjeti dulja razdoblja gubitaka, </w:t>
            </w:r>
            <w:r w:rsidRPr="00473BC2">
              <w:t xml:space="preserve">trebalo bi predvidjeti veće olakšice za vlasnički kapital </w:t>
            </w:r>
            <w:r w:rsidRPr="00473BC2">
              <w:rPr>
                <w:b/>
                <w:i/>
              </w:rPr>
              <w:t xml:space="preserve">i dulje razdoblje za mogućnost odbitka poreza </w:t>
            </w:r>
            <w:r w:rsidRPr="00473BC2">
              <w:t>za porezne obveznike koji su MSP-ovi</w:t>
            </w:r>
            <w:r w:rsidRPr="00473BC2">
              <w:rPr>
                <w:b/>
                <w:i/>
              </w:rPr>
              <w:t xml:space="preserve"> ili srednje grupe</w:t>
            </w:r>
            <w:r w:rsidRPr="00473BC2">
              <w:t>. Kako bi odbitak olakšice za vlasnički kapital u kratkoročnom razdoblju bio održiv za javne financije, trebao bi biti</w:t>
            </w:r>
            <w:r w:rsidRPr="00473BC2">
              <w:rPr>
                <w:b/>
                <w:i/>
              </w:rPr>
              <w:t xml:space="preserve"> propisno i razmjerno</w:t>
            </w:r>
            <w:r w:rsidRPr="00473BC2">
              <w:t xml:space="preserve"> vremenski ograničen. Kako bi se sustav zaštitio od zlouporaba, iz izračuna promjena vlasničkog kapitala potrebno je isključiti poreznu vrijednost vlastitih dionica poreznog obveznika kao i vrijednost njegova udjela u povezanim društvima. Isto tako, potrebno je predvidjeti oporezivanje smanjenja vlasničkog kapitala poreznog obveznika od jednog poreznog razdoblja do sljedećeg poreznog razdoblja kako bi se spriječilo da se povećanje vlasničkog kapitala izvrši na način koji predstavlja zlouporabu. Takvim bi se pravilom isto tako potaknulo zadržavanje razine vlasničkog kapitala. Primjenjivalo bi se tako da bi u slučaju smanjenja vlasničkog kapitala poreznog obveznika koji je ostvario korist od olakšice za povećanje vlasničkog kapitala iznos izračunan na isti način kao i olakšica postao oporeziv tijekom deset poreznih razdoblja</w:t>
            </w:r>
            <w:r w:rsidRPr="00473BC2">
              <w:rPr>
                <w:b/>
                <w:i/>
              </w:rPr>
              <w:t xml:space="preserve"> za MSP-ove i srednje grupe te tijekom sedam uzastopnih poreznih razdoblja za sve porezne obveznike koji nisu MSP-ovi ili srednje grupe,</w:t>
            </w:r>
            <w:r w:rsidRPr="00473BC2">
              <w:t xml:space="preserve"> osim ako porezni obveznik dokaže da je to smanjenje isključivo posljedica gubitaka nastalih tijekom poreznog razdoblja ili posljedica zakonske obveze. </w:t>
            </w:r>
            <w:r w:rsidRPr="00473BC2">
              <w:rPr>
                <w:b/>
                <w:i/>
              </w:rPr>
              <w:t>Komisija i države članice trebale bi provoditi informacijske i komunikacijske aktivnosti u vezi s ovom Direktivom, posebno u pogledu njezinih mogućnosti i koristi za MSP-ove.</w:t>
            </w:r>
          </w:p>
        </w:tc>
      </w:tr>
    </w:tbl>
    <w:p w:rsidR="00C31502" w:rsidRPr="00473BC2" w:rsidRDefault="00C31502" w:rsidP="00C31502"/>
    <w:p w:rsidR="00C31502" w:rsidRPr="00473BC2" w:rsidRDefault="00C31502" w:rsidP="00C31502">
      <w:pPr>
        <w:pStyle w:val="AmNumberTabs"/>
      </w:pPr>
      <w:r w:rsidRPr="00473BC2">
        <w:lastRenderedPageBreak/>
        <w:t>Amandman</w:t>
      </w:r>
      <w:r w:rsidRPr="00473BC2">
        <w:tab/>
      </w:r>
      <w:r w:rsidRPr="00473BC2">
        <w:tab/>
        <w:t>7</w:t>
      </w:r>
    </w:p>
    <w:p w:rsidR="00C31502" w:rsidRPr="00473BC2" w:rsidRDefault="00C31502" w:rsidP="00C31502">
      <w:pPr>
        <w:pStyle w:val="NormalBold12b"/>
      </w:pPr>
      <w:r w:rsidRPr="00473BC2">
        <w:t>Prijedlog direktive</w:t>
      </w:r>
    </w:p>
    <w:p w:rsidR="00C31502" w:rsidRPr="00473BC2" w:rsidRDefault="00C31502" w:rsidP="00C31502">
      <w:pPr>
        <w:pStyle w:val="NormalBold"/>
      </w:pPr>
      <w:r w:rsidRPr="00473BC2">
        <w:t>Uvodna izjava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502" w:rsidRPr="00473BC2" w:rsidTr="00B13675">
        <w:trPr>
          <w:trHeight w:hRule="exact" w:val="240"/>
          <w:jc w:val="center"/>
        </w:trPr>
        <w:tc>
          <w:tcPr>
            <w:tcW w:w="9752" w:type="dxa"/>
            <w:gridSpan w:val="2"/>
          </w:tcPr>
          <w:p w:rsidR="00C31502" w:rsidRPr="00473BC2" w:rsidRDefault="00C31502" w:rsidP="00B13675"/>
        </w:tc>
      </w:tr>
      <w:tr w:rsidR="00C31502" w:rsidRPr="00473BC2" w:rsidTr="00B13675">
        <w:trPr>
          <w:trHeight w:val="240"/>
          <w:jc w:val="center"/>
        </w:trPr>
        <w:tc>
          <w:tcPr>
            <w:tcW w:w="4876" w:type="dxa"/>
          </w:tcPr>
          <w:p w:rsidR="00C31502" w:rsidRPr="00473BC2" w:rsidRDefault="00C31502" w:rsidP="00B13675">
            <w:pPr>
              <w:pStyle w:val="AmColumnHeading"/>
            </w:pPr>
            <w:r w:rsidRPr="00473BC2">
              <w:t>Tekst koji je predložila Komisija</w:t>
            </w:r>
          </w:p>
        </w:tc>
        <w:tc>
          <w:tcPr>
            <w:tcW w:w="4876" w:type="dxa"/>
          </w:tcPr>
          <w:p w:rsidR="00C31502" w:rsidRPr="00473BC2" w:rsidRDefault="00C31502" w:rsidP="00B13675">
            <w:pPr>
              <w:pStyle w:val="AmColumnHeading"/>
            </w:pPr>
            <w:r w:rsidRPr="00473BC2">
              <w:t>Izmjena</w:t>
            </w:r>
          </w:p>
        </w:tc>
      </w:tr>
      <w:tr w:rsidR="00C31502" w:rsidRPr="00473BC2" w:rsidTr="00B13675">
        <w:trPr>
          <w:jc w:val="center"/>
        </w:trPr>
        <w:tc>
          <w:tcPr>
            <w:tcW w:w="4876" w:type="dxa"/>
          </w:tcPr>
          <w:p w:rsidR="00C31502" w:rsidRPr="00473BC2" w:rsidRDefault="00C31502" w:rsidP="00B13675">
            <w:pPr>
              <w:pStyle w:val="Normal6a"/>
            </w:pPr>
            <w:r w:rsidRPr="00473BC2">
              <w:t>(6)</w:t>
            </w:r>
            <w:r w:rsidRPr="00473BC2">
              <w:tab/>
              <w:t>Kako bi se izbjegla zlouporaba odbitka olakšice za vlasnički kapital, potrebno je utvrditi posebna pravila za suzbijanje izbjegavanja plaćanja poreza. Takva bi pravila posebno trebala biti usmjerena na sustave uspostavljene kako bi se zaobišli uvjeti pod kojima povećanje vlasničkog kapitala ispunjava uvjete za olakšicu na temelju ove Direktive, na primjer, prijenosom udjela unutar grupe u povezanim društvima. Takva bi pravila isto tako trebala biti usmjerena na sustave uspostavljene za traženje olakšice u nedostatku povećanja vlasničkog kapitala na razini grupe. Na primjer, u te svrhe mogli bi se upotrijebiti financiranje zaduživanjem unutar grupe ili gotovinski doprinosi. Posebna pravila za borbu protiv izbjegavanja plaćanja poreza isto bi tako trebala spriječiti uspostavu sustava kojima se tvrdi da je povećanje vlasničkog kapitala i odgovarajuća olakšica veći nego što stvarno jest, na primjer, povećanjem potraživanja po financiranju zajmova ili precijenjenošću imovine. Nadalje, opće pravilo o suzbijanju zlouporabe poreza iz članka 6. Direktive Vijeća (EU) 2016/1164</w:t>
            </w:r>
            <w:r w:rsidRPr="00473BC2">
              <w:rPr>
                <w:rStyle w:val="Sup"/>
              </w:rPr>
              <w:t>15</w:t>
            </w:r>
            <w:r w:rsidRPr="00473BC2">
              <w:t xml:space="preserve"> primjenjuje se na zlouporabe koje nisu obuhvaćene posebnim okvirom za suzbijanje izbjegavanja plaćanja poreza iz ove Direktive.</w:t>
            </w:r>
          </w:p>
        </w:tc>
        <w:tc>
          <w:tcPr>
            <w:tcW w:w="4876" w:type="dxa"/>
          </w:tcPr>
          <w:p w:rsidR="00C31502" w:rsidRPr="00473BC2" w:rsidRDefault="00C31502" w:rsidP="00B13675">
            <w:pPr>
              <w:pStyle w:val="Normal6a"/>
            </w:pPr>
            <w:r w:rsidRPr="00473BC2">
              <w:t>(6)</w:t>
            </w:r>
            <w:r w:rsidRPr="00473BC2">
              <w:tab/>
              <w:t>Kako bi se izbjegla zlouporaba odbitka olakšice za vlasnički kapital, potrebno je utvrditi posebna pravila za suzbijanje izbjegavanja plaćanja poreza. Takva bi pravila posebno trebala biti usmjerena na sustave uspostavljene kako bi se zaobišli uvjeti pod kojima povećanje vlasničkog kapitala ispunjava uvjete za olakšicu na temelju ove Direktive, na primjer, prijenosom udjela unutar grupe u povezanim društvima. Takva bi pravila isto tako trebala biti usmjerena na sustave uspostavljene za traženje olakšice u nedostatku povećanja vlasničkog kapitala na razini grupe. Na primjer, u te svrhe mogli bi se upotrijebiti financiranje zaduživanjem unutar grupe ili gotovinski doprinosi. Posebna pravila za borbu protiv izbjegavanja plaćanja poreza isto bi tako trebala spriječiti uspostavu sustava kojima se tvrdi da je povećanje vlasničkog kapitala i odgovarajuća olakšica veći nego što stvarno jest, na primjer, povećanjem potraživanja po financiranju zajmova ili precijenjenošću imovine. Nadalje, opće pravilo o suzbijanju zlouporabe poreza iz članka 6. Direktive Vijeća (EU) 2016/1164</w:t>
            </w:r>
            <w:r w:rsidRPr="00473BC2">
              <w:rPr>
                <w:rStyle w:val="Sup"/>
              </w:rPr>
              <w:t>15</w:t>
            </w:r>
            <w:r w:rsidRPr="00473BC2">
              <w:t xml:space="preserve"> primjenjuje se na zlouporabe koje nisu obuhvaćene posebnim okvirom za suzbijanje izbjegavanja plaćanja poreza iz ove Direktive. </w:t>
            </w:r>
            <w:r w:rsidRPr="00473BC2">
              <w:rPr>
                <w:b/>
                <w:i/>
              </w:rPr>
              <w:t>Države članice trebale bi osigurati i da su mjere koje donesu radi prenošenja ove Direktive u nacionalno pravo u skladu sa smjernicama Skupine za Kodeks o postupanju (oporezivanje poslovanja).</w:t>
            </w:r>
          </w:p>
        </w:tc>
      </w:tr>
      <w:tr w:rsidR="00C31502" w:rsidRPr="00473BC2" w:rsidTr="00B13675">
        <w:trPr>
          <w:jc w:val="center"/>
        </w:trPr>
        <w:tc>
          <w:tcPr>
            <w:tcW w:w="4876" w:type="dxa"/>
          </w:tcPr>
          <w:p w:rsidR="00C31502" w:rsidRPr="00473BC2" w:rsidRDefault="00C31502" w:rsidP="00B13675">
            <w:pPr>
              <w:pStyle w:val="Normal6a"/>
            </w:pPr>
            <w:r w:rsidRPr="00473BC2">
              <w:rPr>
                <w:b/>
                <w:i/>
              </w:rPr>
              <w:t>_________________</w:t>
            </w:r>
          </w:p>
        </w:tc>
        <w:tc>
          <w:tcPr>
            <w:tcW w:w="4876" w:type="dxa"/>
          </w:tcPr>
          <w:p w:rsidR="00C31502" w:rsidRPr="00473BC2" w:rsidRDefault="00C31502" w:rsidP="00B13675">
            <w:pPr>
              <w:pStyle w:val="Normal6a"/>
            </w:pPr>
            <w:r w:rsidRPr="00473BC2">
              <w:rPr>
                <w:b/>
                <w:i/>
              </w:rPr>
              <w:t>_________________</w:t>
            </w:r>
          </w:p>
        </w:tc>
      </w:tr>
      <w:tr w:rsidR="00C31502" w:rsidRPr="00473BC2" w:rsidTr="00B13675">
        <w:trPr>
          <w:jc w:val="center"/>
        </w:trPr>
        <w:tc>
          <w:tcPr>
            <w:tcW w:w="4876" w:type="dxa"/>
          </w:tcPr>
          <w:p w:rsidR="00C31502" w:rsidRPr="00473BC2" w:rsidRDefault="00C31502" w:rsidP="00B13675">
            <w:pPr>
              <w:pStyle w:val="Normal6a"/>
            </w:pPr>
            <w:r w:rsidRPr="00473BC2">
              <w:rPr>
                <w:rStyle w:val="Sup"/>
              </w:rPr>
              <w:t>15</w:t>
            </w:r>
            <w:r w:rsidRPr="00473BC2">
              <w:t xml:space="preserve"> Direktiva Vijeća (EU) 2016/1164 od 12. srpnja 2016. o utvrđivanju pravila protiv praksi izbjegavanja poreza kojima se izravno utječe na funkcioniranje unutarnjeg tržišta (SL L 193, 19.7.2016., str. 1.).</w:t>
            </w:r>
          </w:p>
        </w:tc>
        <w:tc>
          <w:tcPr>
            <w:tcW w:w="4876" w:type="dxa"/>
          </w:tcPr>
          <w:p w:rsidR="00C31502" w:rsidRPr="00473BC2" w:rsidRDefault="00C31502" w:rsidP="00B13675">
            <w:pPr>
              <w:pStyle w:val="Normal6a"/>
            </w:pPr>
            <w:r w:rsidRPr="00473BC2">
              <w:rPr>
                <w:rStyle w:val="Sup"/>
              </w:rPr>
              <w:t>15</w:t>
            </w:r>
            <w:r w:rsidRPr="00473BC2">
              <w:t xml:space="preserve"> Direktiva Vijeća (EU) 2016/1164 od 12. srpnja 2016. o utvrđivanju pravila protiv praksi izbjegavanja poreza kojima se izravno utječe na funkcioniranje unutarnjeg tržišta (SL L 193, 19.7.2016., str. 1.).</w:t>
            </w:r>
          </w:p>
        </w:tc>
      </w:tr>
    </w:tbl>
    <w:p w:rsidR="00C31502" w:rsidRPr="00473BC2" w:rsidRDefault="00C31502" w:rsidP="00C31502"/>
    <w:p w:rsidR="00C31502" w:rsidRPr="00473BC2" w:rsidRDefault="00C31502" w:rsidP="00C31502">
      <w:pPr>
        <w:pStyle w:val="AmNumberTabs"/>
        <w:keepNext/>
      </w:pPr>
      <w:r w:rsidRPr="00473BC2">
        <w:t>Amandman</w:t>
      </w:r>
      <w:r w:rsidRPr="00473BC2">
        <w:tab/>
      </w:r>
      <w:r w:rsidRPr="00473BC2">
        <w:tab/>
        <w:t>8</w:t>
      </w:r>
    </w:p>
    <w:p w:rsidR="00C31502" w:rsidRPr="00473BC2" w:rsidRDefault="00C31502" w:rsidP="00C31502">
      <w:pPr>
        <w:pStyle w:val="NormalBold12b"/>
        <w:keepNext/>
      </w:pPr>
      <w:r w:rsidRPr="00473BC2">
        <w:t>Prijedlog direktive</w:t>
      </w:r>
    </w:p>
    <w:p w:rsidR="00C31502" w:rsidRPr="00473BC2" w:rsidRDefault="00C31502" w:rsidP="00C31502">
      <w:pPr>
        <w:pStyle w:val="NormalBold"/>
        <w:keepNext/>
      </w:pPr>
      <w:r w:rsidRPr="00473BC2">
        <w:t>Uvodna izjava 6.a (nova)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31502" w:rsidRPr="00473BC2" w:rsidTr="00B13675">
        <w:trPr>
          <w:jc w:val="center"/>
        </w:trPr>
        <w:tc>
          <w:tcPr>
            <w:tcW w:w="9752" w:type="dxa"/>
            <w:gridSpan w:val="2"/>
          </w:tcPr>
          <w:p w:rsidR="00C31502" w:rsidRPr="00473BC2" w:rsidRDefault="00C31502" w:rsidP="00B13675">
            <w:pPr>
              <w:keepNext/>
            </w:pPr>
          </w:p>
        </w:tc>
      </w:tr>
      <w:tr w:rsidR="00C31502" w:rsidRPr="00473BC2" w:rsidTr="00B13675">
        <w:trPr>
          <w:jc w:val="center"/>
        </w:trPr>
        <w:tc>
          <w:tcPr>
            <w:tcW w:w="4876" w:type="dxa"/>
          </w:tcPr>
          <w:p w:rsidR="00C31502" w:rsidRPr="00473BC2" w:rsidRDefault="00C31502" w:rsidP="00B13675">
            <w:pPr>
              <w:pStyle w:val="AmColumnHeading"/>
              <w:keepNext/>
            </w:pPr>
            <w:r w:rsidRPr="00473BC2">
              <w:t>Tekst koji je predložila Komisija</w:t>
            </w:r>
          </w:p>
        </w:tc>
        <w:tc>
          <w:tcPr>
            <w:tcW w:w="4876" w:type="dxa"/>
          </w:tcPr>
          <w:p w:rsidR="00C31502" w:rsidRPr="00473BC2" w:rsidRDefault="00C31502" w:rsidP="00B13675">
            <w:pPr>
              <w:pStyle w:val="AmColumnHeading"/>
              <w:keepNext/>
            </w:pPr>
            <w:r w:rsidRPr="00473BC2">
              <w:t>Izmjena</w:t>
            </w:r>
          </w:p>
        </w:tc>
      </w:tr>
      <w:tr w:rsidR="00C31502" w:rsidRPr="00473BC2" w:rsidTr="00B13675">
        <w:trPr>
          <w:jc w:val="center"/>
        </w:trPr>
        <w:tc>
          <w:tcPr>
            <w:tcW w:w="4876" w:type="dxa"/>
          </w:tcPr>
          <w:p w:rsidR="00C31502" w:rsidRPr="00473BC2" w:rsidRDefault="00C31502" w:rsidP="00B13675">
            <w:pPr>
              <w:pStyle w:val="Normal6a"/>
              <w:rPr>
                <w:b/>
                <w:i/>
              </w:rPr>
            </w:pPr>
          </w:p>
        </w:tc>
        <w:tc>
          <w:tcPr>
            <w:tcW w:w="4876" w:type="dxa"/>
          </w:tcPr>
          <w:p w:rsidR="00C31502" w:rsidRPr="00473BC2" w:rsidRDefault="00C31502" w:rsidP="00B13675">
            <w:pPr>
              <w:pStyle w:val="Normal6a"/>
              <w:rPr>
                <w:i/>
                <w:szCs w:val="24"/>
              </w:rPr>
            </w:pPr>
            <w:r w:rsidRPr="00473BC2">
              <w:rPr>
                <w:b/>
                <w:i/>
              </w:rPr>
              <w:t>(6.a)</w:t>
            </w:r>
            <w:r w:rsidRPr="00473BC2">
              <w:rPr>
                <w:b/>
                <w:i/>
              </w:rPr>
              <w:tab/>
              <w:t>Moguće fiskalne troškove koji proizlaze iz provedbe ove Direktive trebalo bi procijeniti zajedno s koristima od osiguravanja čvršće financijske osnove za društva iz Unije, što bi bilo iznimno važno u slučajevima financijskog stresa.</w:t>
            </w:r>
          </w:p>
        </w:tc>
      </w:tr>
    </w:tbl>
    <w:p w:rsidR="00C31502" w:rsidRPr="00473BC2" w:rsidRDefault="00C31502" w:rsidP="00C31502"/>
    <w:p w:rsidR="00C31502" w:rsidRPr="00473BC2" w:rsidRDefault="00C31502" w:rsidP="00C31502">
      <w:pPr>
        <w:pStyle w:val="AmNumberTabs"/>
        <w:keepNext/>
      </w:pPr>
      <w:r w:rsidRPr="00473BC2">
        <w:t>Amandman</w:t>
      </w:r>
      <w:r w:rsidRPr="00473BC2">
        <w:tab/>
      </w:r>
      <w:r w:rsidRPr="00473BC2">
        <w:tab/>
        <w:t>9</w:t>
      </w:r>
    </w:p>
    <w:p w:rsidR="00C31502" w:rsidRPr="00473BC2" w:rsidRDefault="00C31502" w:rsidP="00C31502">
      <w:pPr>
        <w:pStyle w:val="NormalBold12b"/>
        <w:keepNext/>
      </w:pPr>
      <w:r w:rsidRPr="00473BC2">
        <w:t>Prijedlog direktive</w:t>
      </w:r>
    </w:p>
    <w:p w:rsidR="00C31502" w:rsidRPr="00473BC2" w:rsidRDefault="00C31502" w:rsidP="00C31502">
      <w:pPr>
        <w:pStyle w:val="NormalBold"/>
        <w:keepNext/>
      </w:pPr>
      <w:r w:rsidRPr="00473BC2">
        <w:t>Uvodna izjava 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31502" w:rsidRPr="00473BC2" w:rsidTr="00B13675">
        <w:trPr>
          <w:jc w:val="center"/>
        </w:trPr>
        <w:tc>
          <w:tcPr>
            <w:tcW w:w="9752" w:type="dxa"/>
            <w:gridSpan w:val="2"/>
          </w:tcPr>
          <w:p w:rsidR="00C31502" w:rsidRPr="00473BC2" w:rsidRDefault="00C31502" w:rsidP="00B13675">
            <w:pPr>
              <w:keepNext/>
            </w:pPr>
          </w:p>
        </w:tc>
      </w:tr>
      <w:tr w:rsidR="00C31502" w:rsidRPr="00473BC2" w:rsidTr="00B13675">
        <w:trPr>
          <w:jc w:val="center"/>
        </w:trPr>
        <w:tc>
          <w:tcPr>
            <w:tcW w:w="4876" w:type="dxa"/>
          </w:tcPr>
          <w:p w:rsidR="00C31502" w:rsidRPr="00473BC2" w:rsidRDefault="00C31502" w:rsidP="00B13675">
            <w:pPr>
              <w:pStyle w:val="AmColumnHeading"/>
              <w:keepNext/>
            </w:pPr>
            <w:r w:rsidRPr="00473BC2">
              <w:t>Tekst koji je predložila Komisija</w:t>
            </w:r>
          </w:p>
        </w:tc>
        <w:tc>
          <w:tcPr>
            <w:tcW w:w="4876" w:type="dxa"/>
          </w:tcPr>
          <w:p w:rsidR="00C31502" w:rsidRPr="00473BC2" w:rsidRDefault="00C31502" w:rsidP="00B13675">
            <w:pPr>
              <w:pStyle w:val="AmColumnHeading"/>
              <w:keepNext/>
            </w:pPr>
            <w:r w:rsidRPr="00473BC2">
              <w:t>Izmjena</w:t>
            </w:r>
          </w:p>
        </w:tc>
      </w:tr>
      <w:tr w:rsidR="00C31502" w:rsidRPr="00473BC2" w:rsidTr="00B13675">
        <w:trPr>
          <w:jc w:val="center"/>
        </w:trPr>
        <w:tc>
          <w:tcPr>
            <w:tcW w:w="4876" w:type="dxa"/>
          </w:tcPr>
          <w:p w:rsidR="00C31502" w:rsidRPr="00473BC2" w:rsidRDefault="00C31502" w:rsidP="00B13675">
            <w:pPr>
              <w:pStyle w:val="Normal6a"/>
            </w:pPr>
            <w:r w:rsidRPr="00473BC2">
              <w:t>(7)</w:t>
            </w:r>
            <w:r w:rsidRPr="00473BC2">
              <w:tab/>
              <w:t xml:space="preserve">Kako bi se učinkovito riješio problem povlaštenog poreznog tretmana duga u oporezivanju trgovačkih društava na način koji je održiv za javne financije Unije, olakšica za financiranje vlasničkim kapitalom trebala bi biti popraćena </w:t>
            </w:r>
            <w:r w:rsidRPr="00473BC2">
              <w:rPr>
                <w:b/>
                <w:i/>
              </w:rPr>
              <w:t>ograničenjem mogućnosti</w:t>
            </w:r>
            <w:r w:rsidRPr="00473BC2">
              <w:t xml:space="preserve"> odbitka </w:t>
            </w:r>
            <w:r w:rsidRPr="00473BC2">
              <w:rPr>
                <w:b/>
                <w:i/>
              </w:rPr>
              <w:t>troškova financiranja zaduživanjem</w:t>
            </w:r>
            <w:r w:rsidRPr="00473BC2">
              <w:t xml:space="preserve">. </w:t>
            </w:r>
            <w:r w:rsidRPr="00473BC2">
              <w:rPr>
                <w:b/>
                <w:i/>
              </w:rPr>
              <w:t xml:space="preserve">Stoga bi se pravilom o ograničavanju kamata trebalo ograničiti mogućnost odbitka prekoračenih troškova zaduživanja te </w:t>
            </w:r>
            <w:r w:rsidRPr="00B51876">
              <w:t>bi se</w:t>
            </w:r>
            <w:r w:rsidRPr="00473BC2">
              <w:rPr>
                <w:b/>
                <w:i/>
              </w:rPr>
              <w:t xml:space="preserve"> ono </w:t>
            </w:r>
            <w:r w:rsidRPr="00B51876">
              <w:t>trebalo</w:t>
            </w:r>
            <w:r w:rsidRPr="00473BC2">
              <w:rPr>
                <w:b/>
                <w:i/>
              </w:rPr>
              <w:t xml:space="preserve"> primjenjivati neovisno o olakšici.</w:t>
            </w:r>
            <w:r w:rsidRPr="00473BC2">
              <w:t xml:space="preserve"> S obzirom na različite ciljeve takvog pravila i postojećeg pravila o suzbijanju izbjegavanja poreza u pogledu ograničavanja kamata iz članka 4. Direktive (EU) 2016/1164, oba bi pravila trebalo zadržati. Porezni obveznici prvo bi trebali izračunati mogućnost odbitka prekoračenih troškova zaduživanja u skladu s ovom Direktivom, a zatim u skladu s Direktivom o suzbijanju izbjegavanja poreza. U slučaju da potonji rezultira nižim iznosom prekoračenih troškova zaduživanja koji se može odbiti, porezni obveznik trebao bi odbiti taj niži </w:t>
            </w:r>
            <w:r w:rsidRPr="00473BC2">
              <w:lastRenderedPageBreak/>
              <w:t>iznos i prenijeti ili odbiti bilo koju razliku između ta dva iznosa u skladu s člankom 4. Direktive o suzbijanju izbjegavanja poreza.</w:t>
            </w:r>
          </w:p>
        </w:tc>
        <w:tc>
          <w:tcPr>
            <w:tcW w:w="4876" w:type="dxa"/>
          </w:tcPr>
          <w:p w:rsidR="00C31502" w:rsidRPr="00473BC2" w:rsidRDefault="00C31502" w:rsidP="00B13675">
            <w:pPr>
              <w:pStyle w:val="Normal6a"/>
              <w:rPr>
                <w:szCs w:val="24"/>
              </w:rPr>
            </w:pPr>
            <w:r w:rsidRPr="00473BC2">
              <w:lastRenderedPageBreak/>
              <w:t>(7)</w:t>
            </w:r>
            <w:r w:rsidRPr="00473BC2">
              <w:tab/>
              <w:t xml:space="preserve">Kako bi se učinkovito riješio problem povlaštenog poreznog tretmana duga u oporezivanju trgovačkih društava na način koji je održiv za javne financije Unije, olakšica za financiranje vlasničkim kapitalom trebala bi biti popraćena </w:t>
            </w:r>
            <w:r w:rsidRPr="00473BC2">
              <w:rPr>
                <w:b/>
                <w:i/>
              </w:rPr>
              <w:t>pravilom kojim se ograničava mogućnost</w:t>
            </w:r>
            <w:r w:rsidRPr="00473BC2">
              <w:t xml:space="preserve"> odbitka </w:t>
            </w:r>
            <w:r w:rsidRPr="00473BC2">
              <w:rPr>
                <w:b/>
                <w:i/>
              </w:rPr>
              <w:t>poreza za prekoračene troškove zaduživanja za grupe koje nisu srednje grupe i poduzeća koja nisu MSP-ovi</w:t>
            </w:r>
            <w:r w:rsidRPr="00473BC2">
              <w:t xml:space="preserve">. </w:t>
            </w:r>
            <w:r w:rsidRPr="00473BC2">
              <w:rPr>
                <w:b/>
                <w:i/>
              </w:rPr>
              <w:t>Međutim, s obzirom na nepovoljne gospodarske uvjete koji su posljedica krize prouzročene bolešću COVID-19 i ruskog agresivnog rata protiv Ukrajine, to</w:t>
            </w:r>
            <w:r w:rsidRPr="00473BC2">
              <w:t xml:space="preserve"> bi se </w:t>
            </w:r>
            <w:r w:rsidRPr="00473BC2">
              <w:rPr>
                <w:b/>
                <w:i/>
              </w:rPr>
              <w:t>pravilo o ograničavanju</w:t>
            </w:r>
            <w:r w:rsidRPr="00473BC2">
              <w:t xml:space="preserve"> trebalo </w:t>
            </w:r>
            <w:r w:rsidRPr="00473BC2">
              <w:rPr>
                <w:b/>
                <w:i/>
              </w:rPr>
              <w:t>uvesti tek od 2027</w:t>
            </w:r>
            <w:r w:rsidRPr="00473BC2">
              <w:t xml:space="preserve">. S obzirom na različite ciljeve takvog pravila i postojećeg pravila o suzbijanju izbjegavanja poreza u pogledu ograničavanja kamata iz članka 4. Direktive (EU) 2016/1164, oba bi pravila trebalo zadržati. Porezni obveznici prvo bi trebali izračunati mogućnost odbitka prekoračenih troškova zaduživanja u skladu s ovom Direktivom, a zatim u skladu s Direktivom o suzbijanju izbjegavanja poreza. U slučaju da potonji rezultira nižim iznosom prekoračenih </w:t>
            </w:r>
            <w:r w:rsidRPr="00473BC2">
              <w:lastRenderedPageBreak/>
              <w:t>troškova zaduživanja koji se može odbiti, porezni obveznik trebao bi odbiti taj niži iznos i prenijeti ili odbiti bilo koju razliku između ta dva iznosa u skladu s člankom 4. Direktive o suzbijanju izbjegavanja poreza.</w:t>
            </w:r>
          </w:p>
        </w:tc>
      </w:tr>
    </w:tbl>
    <w:p w:rsidR="00C31502" w:rsidRPr="00473BC2" w:rsidRDefault="00C31502" w:rsidP="00C31502"/>
    <w:p w:rsidR="00C31502" w:rsidRPr="00473BC2" w:rsidRDefault="00C31502" w:rsidP="00C31502">
      <w:pPr>
        <w:pStyle w:val="AmNumberTabs"/>
        <w:keepNext/>
      </w:pPr>
      <w:r w:rsidRPr="00473BC2">
        <w:t>Amandman</w:t>
      </w:r>
      <w:r w:rsidRPr="00473BC2">
        <w:tab/>
      </w:r>
      <w:r w:rsidRPr="00473BC2">
        <w:tab/>
        <w:t>10</w:t>
      </w:r>
    </w:p>
    <w:p w:rsidR="00C31502" w:rsidRPr="00473BC2" w:rsidRDefault="00C31502" w:rsidP="00C31502">
      <w:pPr>
        <w:pStyle w:val="NormalBold12b"/>
        <w:keepNext/>
      </w:pPr>
      <w:r w:rsidRPr="00473BC2">
        <w:t>Prijedlog direktive</w:t>
      </w:r>
    </w:p>
    <w:p w:rsidR="00C31502" w:rsidRPr="00473BC2" w:rsidRDefault="00C31502" w:rsidP="00C31502">
      <w:pPr>
        <w:pStyle w:val="NormalBold"/>
        <w:keepNext/>
      </w:pPr>
      <w:r w:rsidRPr="00473BC2">
        <w:t>Uvodna izjava 9.</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31502" w:rsidRPr="00473BC2" w:rsidTr="00B13675">
        <w:trPr>
          <w:jc w:val="center"/>
        </w:trPr>
        <w:tc>
          <w:tcPr>
            <w:tcW w:w="9752" w:type="dxa"/>
            <w:gridSpan w:val="2"/>
          </w:tcPr>
          <w:p w:rsidR="00C31502" w:rsidRPr="00473BC2" w:rsidRDefault="00C31502" w:rsidP="00B13675">
            <w:pPr>
              <w:keepNext/>
            </w:pPr>
          </w:p>
        </w:tc>
      </w:tr>
      <w:tr w:rsidR="00C31502" w:rsidRPr="00473BC2" w:rsidTr="00B13675">
        <w:trPr>
          <w:jc w:val="center"/>
        </w:trPr>
        <w:tc>
          <w:tcPr>
            <w:tcW w:w="4876" w:type="dxa"/>
          </w:tcPr>
          <w:p w:rsidR="00C31502" w:rsidRPr="00473BC2" w:rsidRDefault="00C31502" w:rsidP="00B13675">
            <w:pPr>
              <w:pStyle w:val="AmColumnHeading"/>
              <w:keepNext/>
            </w:pPr>
            <w:r w:rsidRPr="00473BC2">
              <w:t>Tekst koji je predložila Komisija</w:t>
            </w:r>
          </w:p>
        </w:tc>
        <w:tc>
          <w:tcPr>
            <w:tcW w:w="4876" w:type="dxa"/>
          </w:tcPr>
          <w:p w:rsidR="00C31502" w:rsidRPr="00473BC2" w:rsidRDefault="00C31502" w:rsidP="00B13675">
            <w:pPr>
              <w:pStyle w:val="AmColumnHeading"/>
              <w:keepNext/>
            </w:pPr>
            <w:r w:rsidRPr="00473BC2">
              <w:t>Izmjena</w:t>
            </w:r>
          </w:p>
        </w:tc>
      </w:tr>
      <w:tr w:rsidR="00C31502" w:rsidRPr="00473BC2" w:rsidTr="00B13675">
        <w:trPr>
          <w:jc w:val="center"/>
        </w:trPr>
        <w:tc>
          <w:tcPr>
            <w:tcW w:w="4876" w:type="dxa"/>
          </w:tcPr>
          <w:p w:rsidR="00C31502" w:rsidRPr="00473BC2" w:rsidRDefault="00C31502" w:rsidP="00B13675">
            <w:pPr>
              <w:pStyle w:val="Normal6a"/>
            </w:pPr>
            <w:r w:rsidRPr="00473BC2">
              <w:t>(9)</w:t>
            </w:r>
            <w:r w:rsidRPr="00473BC2">
              <w:tab/>
              <w:t>Kako bi se ocijenila učinkovitost ove Direktive, Komisija bi trebala izraditi i objaviti izvješće o evaluaciji na temelju informacija koje su dostavile države članice i drugih dostupnih podataka.</w:t>
            </w:r>
          </w:p>
        </w:tc>
        <w:tc>
          <w:tcPr>
            <w:tcW w:w="4876" w:type="dxa"/>
          </w:tcPr>
          <w:p w:rsidR="00C31502" w:rsidRPr="00473BC2" w:rsidRDefault="00C31502" w:rsidP="00B13675">
            <w:pPr>
              <w:pStyle w:val="Normal6a"/>
              <w:rPr>
                <w:szCs w:val="24"/>
              </w:rPr>
            </w:pPr>
            <w:r w:rsidRPr="00473BC2">
              <w:t>(9)</w:t>
            </w:r>
            <w:r w:rsidRPr="00473BC2">
              <w:tab/>
              <w:t xml:space="preserve">Kako bi se ocijenila učinkovitost ove Direktive, </w:t>
            </w:r>
            <w:r w:rsidRPr="00473BC2">
              <w:rPr>
                <w:b/>
                <w:i/>
              </w:rPr>
              <w:t xml:space="preserve">kao i njezin učinak na MSP-ove i porezne prihode u državama članicama, </w:t>
            </w:r>
            <w:r w:rsidRPr="00473BC2">
              <w:t xml:space="preserve">Komisija bi trebala izraditi i objaviti izvješće o evaluaciji na temelju informacija koje su dostavile države članice i drugih dostupnih podataka. </w:t>
            </w:r>
            <w:r w:rsidRPr="00473BC2">
              <w:rPr>
                <w:b/>
                <w:i/>
              </w:rPr>
              <w:t>U tom bi izvješću posebnu pozornost trebalo posvetiti MSP-ovima, a osobito bi trebalo procijeniti jesu li se posebni uvjeti koji su stavljeni na raspolaganje MSP-ovima pokazali dostatnima kako bi im povećali privlačnost financiranja vlasničkim kapitalom. U slučaju negativne ocjene u tom izvješću Komisija bi bez nepotrebne odgode trebala podnijeti zakonodavni prijedlog Europskom parlamentu i Vijeću za rješavanje tog pitanja. Izvješće Komisije trebalo bi objaviti.</w:t>
            </w:r>
          </w:p>
        </w:tc>
      </w:tr>
    </w:tbl>
    <w:p w:rsidR="00C31502" w:rsidRPr="00473BC2" w:rsidRDefault="00C31502" w:rsidP="00C31502"/>
    <w:p w:rsidR="00C31502" w:rsidRPr="00473BC2" w:rsidRDefault="00C31502" w:rsidP="00C31502">
      <w:pPr>
        <w:pStyle w:val="AmNumberTabs"/>
      </w:pPr>
      <w:r w:rsidRPr="00473BC2">
        <w:t>Amandman</w:t>
      </w:r>
      <w:r w:rsidRPr="00473BC2">
        <w:tab/>
      </w:r>
      <w:r w:rsidRPr="00473BC2">
        <w:tab/>
        <w:t>11</w:t>
      </w:r>
    </w:p>
    <w:p w:rsidR="00C31502" w:rsidRPr="00473BC2" w:rsidRDefault="00C31502" w:rsidP="00C31502">
      <w:pPr>
        <w:pStyle w:val="NormalBold12b"/>
      </w:pPr>
      <w:r w:rsidRPr="00473BC2">
        <w:t>Prijedlog direktive</w:t>
      </w:r>
    </w:p>
    <w:p w:rsidR="00C31502" w:rsidRPr="00473BC2" w:rsidRDefault="00C31502" w:rsidP="00C31502">
      <w:pPr>
        <w:pStyle w:val="NormalBold"/>
      </w:pPr>
      <w:r w:rsidRPr="00473BC2">
        <w:t>Članak 3. – stavak 1. − točka 5.a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502" w:rsidRPr="00473BC2" w:rsidTr="00B13675">
        <w:trPr>
          <w:trHeight w:hRule="exact" w:val="240"/>
          <w:jc w:val="center"/>
        </w:trPr>
        <w:tc>
          <w:tcPr>
            <w:tcW w:w="9752" w:type="dxa"/>
            <w:gridSpan w:val="2"/>
          </w:tcPr>
          <w:p w:rsidR="00C31502" w:rsidRPr="00473BC2" w:rsidRDefault="00C31502" w:rsidP="00B13675"/>
        </w:tc>
      </w:tr>
      <w:tr w:rsidR="00C31502" w:rsidRPr="00473BC2" w:rsidTr="00B13675">
        <w:trPr>
          <w:trHeight w:val="240"/>
          <w:jc w:val="center"/>
        </w:trPr>
        <w:tc>
          <w:tcPr>
            <w:tcW w:w="4876" w:type="dxa"/>
          </w:tcPr>
          <w:p w:rsidR="00C31502" w:rsidRPr="00473BC2" w:rsidRDefault="00C31502" w:rsidP="00B13675">
            <w:pPr>
              <w:pStyle w:val="AmColumnHeading"/>
            </w:pPr>
            <w:r w:rsidRPr="00473BC2">
              <w:t>Tekst koji je predložila Komisija</w:t>
            </w:r>
          </w:p>
        </w:tc>
        <w:tc>
          <w:tcPr>
            <w:tcW w:w="4876" w:type="dxa"/>
          </w:tcPr>
          <w:p w:rsidR="00C31502" w:rsidRPr="00473BC2" w:rsidRDefault="00C31502" w:rsidP="00B13675">
            <w:pPr>
              <w:pStyle w:val="AmColumnHeading"/>
            </w:pPr>
            <w:r w:rsidRPr="00473BC2">
              <w:t>Izmjena</w:t>
            </w:r>
          </w:p>
        </w:tc>
      </w:tr>
      <w:tr w:rsidR="00C31502" w:rsidRPr="00473BC2" w:rsidTr="00B13675">
        <w:trPr>
          <w:jc w:val="center"/>
        </w:trPr>
        <w:tc>
          <w:tcPr>
            <w:tcW w:w="4876" w:type="dxa"/>
          </w:tcPr>
          <w:p w:rsidR="00C31502" w:rsidRPr="00473BC2" w:rsidRDefault="00C31502" w:rsidP="00B13675">
            <w:pPr>
              <w:pStyle w:val="Normal6a"/>
            </w:pPr>
          </w:p>
        </w:tc>
        <w:tc>
          <w:tcPr>
            <w:tcW w:w="4876" w:type="dxa"/>
          </w:tcPr>
          <w:p w:rsidR="00C31502" w:rsidRPr="00473BC2" w:rsidRDefault="00C31502" w:rsidP="00B13675">
            <w:pPr>
              <w:pStyle w:val="Normal6a"/>
            </w:pPr>
            <w:r w:rsidRPr="00473BC2">
              <w:rPr>
                <w:b/>
                <w:i/>
              </w:rPr>
              <w:t>(5.a)</w:t>
            </w:r>
            <w:r w:rsidRPr="00473BC2">
              <w:tab/>
            </w:r>
            <w:r w:rsidRPr="00473BC2">
              <w:rPr>
                <w:b/>
                <w:i/>
              </w:rPr>
              <w:t>„veliko poduzeće” znači veliko poduzeće u smislu članka 3. stavka 4. Direktive 2013/34/EU;</w:t>
            </w:r>
          </w:p>
        </w:tc>
      </w:tr>
    </w:tbl>
    <w:p w:rsidR="00C31502" w:rsidRPr="00473BC2" w:rsidRDefault="00C31502" w:rsidP="00C31502"/>
    <w:p w:rsidR="00C31502" w:rsidRPr="00473BC2" w:rsidRDefault="00C31502" w:rsidP="00C31502">
      <w:pPr>
        <w:pStyle w:val="AmNumberTabs"/>
      </w:pPr>
      <w:r w:rsidRPr="00473BC2">
        <w:t>Amandman</w:t>
      </w:r>
      <w:r w:rsidRPr="00473BC2">
        <w:tab/>
      </w:r>
      <w:r w:rsidRPr="00473BC2">
        <w:tab/>
        <w:t>12</w:t>
      </w:r>
    </w:p>
    <w:p w:rsidR="00C31502" w:rsidRPr="00473BC2" w:rsidRDefault="00C31502" w:rsidP="00C31502">
      <w:pPr>
        <w:pStyle w:val="NormalBold12b"/>
      </w:pPr>
      <w:r w:rsidRPr="00473BC2">
        <w:t>Prijedlog direktive</w:t>
      </w:r>
    </w:p>
    <w:p w:rsidR="00C31502" w:rsidRPr="00473BC2" w:rsidRDefault="00C31502" w:rsidP="00C31502">
      <w:pPr>
        <w:pStyle w:val="NormalBold"/>
      </w:pPr>
      <w:r w:rsidRPr="00473BC2">
        <w:lastRenderedPageBreak/>
        <w:t>Članak 3. – stavak 1. − točka 5.b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502" w:rsidRPr="00473BC2" w:rsidTr="00B13675">
        <w:trPr>
          <w:trHeight w:hRule="exact" w:val="240"/>
          <w:jc w:val="center"/>
        </w:trPr>
        <w:tc>
          <w:tcPr>
            <w:tcW w:w="9752" w:type="dxa"/>
            <w:gridSpan w:val="2"/>
          </w:tcPr>
          <w:p w:rsidR="00C31502" w:rsidRPr="00473BC2" w:rsidRDefault="00C31502" w:rsidP="00B13675"/>
        </w:tc>
      </w:tr>
      <w:tr w:rsidR="00C31502" w:rsidRPr="00473BC2" w:rsidTr="00B13675">
        <w:trPr>
          <w:trHeight w:val="240"/>
          <w:jc w:val="center"/>
        </w:trPr>
        <w:tc>
          <w:tcPr>
            <w:tcW w:w="4876" w:type="dxa"/>
          </w:tcPr>
          <w:p w:rsidR="00C31502" w:rsidRPr="00473BC2" w:rsidRDefault="00C31502" w:rsidP="00B13675">
            <w:pPr>
              <w:pStyle w:val="AmColumnHeading"/>
            </w:pPr>
            <w:r w:rsidRPr="00473BC2">
              <w:t>Tekst koji je predložila Komisija</w:t>
            </w:r>
          </w:p>
        </w:tc>
        <w:tc>
          <w:tcPr>
            <w:tcW w:w="4876" w:type="dxa"/>
          </w:tcPr>
          <w:p w:rsidR="00C31502" w:rsidRPr="00473BC2" w:rsidRDefault="00C31502" w:rsidP="00B13675">
            <w:pPr>
              <w:pStyle w:val="AmColumnHeading"/>
            </w:pPr>
            <w:r w:rsidRPr="00473BC2">
              <w:t>Izmjena</w:t>
            </w:r>
          </w:p>
        </w:tc>
      </w:tr>
      <w:tr w:rsidR="00C31502" w:rsidRPr="00473BC2" w:rsidTr="00B13675">
        <w:trPr>
          <w:jc w:val="center"/>
        </w:trPr>
        <w:tc>
          <w:tcPr>
            <w:tcW w:w="4876" w:type="dxa"/>
          </w:tcPr>
          <w:p w:rsidR="00C31502" w:rsidRPr="00473BC2" w:rsidRDefault="00C31502" w:rsidP="00B13675">
            <w:pPr>
              <w:pStyle w:val="Normal6a"/>
            </w:pPr>
          </w:p>
        </w:tc>
        <w:tc>
          <w:tcPr>
            <w:tcW w:w="4876" w:type="dxa"/>
          </w:tcPr>
          <w:p w:rsidR="00C31502" w:rsidRPr="00473BC2" w:rsidRDefault="00C31502" w:rsidP="00B13675">
            <w:pPr>
              <w:pStyle w:val="Normal6a"/>
            </w:pPr>
            <w:r w:rsidRPr="00473BC2">
              <w:rPr>
                <w:b/>
                <w:i/>
              </w:rPr>
              <w:t>(5.b)</w:t>
            </w:r>
            <w:r w:rsidRPr="00473BC2">
              <w:tab/>
            </w:r>
            <w:r w:rsidRPr="00473BC2">
              <w:rPr>
                <w:b/>
                <w:i/>
              </w:rPr>
              <w:t>„srednja grupa” znači srednja grupa u smislu članka 3. stavka 6. Direktive 2013/34/EU;</w:t>
            </w:r>
          </w:p>
        </w:tc>
      </w:tr>
    </w:tbl>
    <w:p w:rsidR="00C31502" w:rsidRPr="00473BC2" w:rsidRDefault="00C31502" w:rsidP="00C31502"/>
    <w:p w:rsidR="00C31502" w:rsidRPr="00473BC2" w:rsidRDefault="00C31502" w:rsidP="00C31502">
      <w:pPr>
        <w:pStyle w:val="AmNumberTabs"/>
      </w:pPr>
      <w:r w:rsidRPr="00473BC2">
        <w:t>Amandman</w:t>
      </w:r>
      <w:r w:rsidRPr="00473BC2">
        <w:tab/>
      </w:r>
      <w:r w:rsidRPr="00473BC2">
        <w:tab/>
        <w:t>13</w:t>
      </w:r>
    </w:p>
    <w:p w:rsidR="00C31502" w:rsidRPr="00473BC2" w:rsidRDefault="00C31502" w:rsidP="00C31502">
      <w:pPr>
        <w:pStyle w:val="NormalBold12b"/>
      </w:pPr>
      <w:r w:rsidRPr="00473BC2">
        <w:t>Prijedlog direktive</w:t>
      </w:r>
    </w:p>
    <w:p w:rsidR="00C31502" w:rsidRPr="00473BC2" w:rsidRDefault="00C31502" w:rsidP="00C31502">
      <w:pPr>
        <w:pStyle w:val="NormalBold"/>
      </w:pPr>
      <w:r w:rsidRPr="00473BC2">
        <w:t>Članak 3. – stavak 1. − točka 5.c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502" w:rsidRPr="00473BC2" w:rsidTr="00B13675">
        <w:trPr>
          <w:trHeight w:hRule="exact" w:val="240"/>
          <w:jc w:val="center"/>
        </w:trPr>
        <w:tc>
          <w:tcPr>
            <w:tcW w:w="9752" w:type="dxa"/>
            <w:gridSpan w:val="2"/>
          </w:tcPr>
          <w:p w:rsidR="00C31502" w:rsidRPr="00473BC2" w:rsidRDefault="00C31502" w:rsidP="00B13675"/>
        </w:tc>
      </w:tr>
      <w:tr w:rsidR="00C31502" w:rsidRPr="00473BC2" w:rsidTr="00B13675">
        <w:trPr>
          <w:trHeight w:val="240"/>
          <w:jc w:val="center"/>
        </w:trPr>
        <w:tc>
          <w:tcPr>
            <w:tcW w:w="4876" w:type="dxa"/>
          </w:tcPr>
          <w:p w:rsidR="00C31502" w:rsidRPr="00473BC2" w:rsidRDefault="00C31502" w:rsidP="00B13675">
            <w:pPr>
              <w:pStyle w:val="AmColumnHeading"/>
            </w:pPr>
            <w:r w:rsidRPr="00473BC2">
              <w:t>Tekst koji je predložila Komisija</w:t>
            </w:r>
          </w:p>
        </w:tc>
        <w:tc>
          <w:tcPr>
            <w:tcW w:w="4876" w:type="dxa"/>
          </w:tcPr>
          <w:p w:rsidR="00C31502" w:rsidRPr="00473BC2" w:rsidRDefault="00C31502" w:rsidP="00B13675">
            <w:pPr>
              <w:pStyle w:val="AmColumnHeading"/>
            </w:pPr>
            <w:r w:rsidRPr="00473BC2">
              <w:t>Izmjena</w:t>
            </w:r>
          </w:p>
        </w:tc>
      </w:tr>
      <w:tr w:rsidR="00C31502" w:rsidRPr="00473BC2" w:rsidTr="00B13675">
        <w:trPr>
          <w:jc w:val="center"/>
        </w:trPr>
        <w:tc>
          <w:tcPr>
            <w:tcW w:w="4876" w:type="dxa"/>
          </w:tcPr>
          <w:p w:rsidR="00C31502" w:rsidRPr="00473BC2" w:rsidRDefault="00C31502" w:rsidP="00B13675">
            <w:pPr>
              <w:pStyle w:val="Normal6a"/>
            </w:pPr>
          </w:p>
        </w:tc>
        <w:tc>
          <w:tcPr>
            <w:tcW w:w="4876" w:type="dxa"/>
          </w:tcPr>
          <w:p w:rsidR="00C31502" w:rsidRPr="00473BC2" w:rsidRDefault="00C31502" w:rsidP="00B13675">
            <w:pPr>
              <w:pStyle w:val="Normal6a"/>
            </w:pPr>
            <w:r w:rsidRPr="00473BC2">
              <w:rPr>
                <w:b/>
                <w:i/>
              </w:rPr>
              <w:t>(5.c)</w:t>
            </w:r>
            <w:r w:rsidRPr="00473BC2">
              <w:tab/>
            </w:r>
            <w:r w:rsidRPr="00473BC2">
              <w:rPr>
                <w:b/>
                <w:i/>
              </w:rPr>
              <w:t>„velika grupa” znači velika grupa u smislu članka 3. stavka 7. Direktive 2013/34/EU;</w:t>
            </w:r>
          </w:p>
        </w:tc>
      </w:tr>
    </w:tbl>
    <w:p w:rsidR="00C31502" w:rsidRPr="00473BC2" w:rsidRDefault="00C31502" w:rsidP="00C31502"/>
    <w:p w:rsidR="00C31502" w:rsidRPr="00473BC2" w:rsidRDefault="00C31502" w:rsidP="00C31502">
      <w:pPr>
        <w:pStyle w:val="AmNumberTabs"/>
        <w:keepNext/>
      </w:pPr>
      <w:r w:rsidRPr="00473BC2">
        <w:t>Amandman</w:t>
      </w:r>
      <w:r w:rsidRPr="00473BC2">
        <w:tab/>
      </w:r>
      <w:r w:rsidRPr="00473BC2">
        <w:tab/>
        <w:t>14</w:t>
      </w:r>
    </w:p>
    <w:p w:rsidR="00C31502" w:rsidRPr="00473BC2" w:rsidRDefault="00C31502" w:rsidP="00C31502">
      <w:pPr>
        <w:pStyle w:val="NormalBold12b"/>
        <w:keepNext/>
      </w:pPr>
      <w:r w:rsidRPr="00473BC2">
        <w:t>Prijedlog direktive</w:t>
      </w:r>
    </w:p>
    <w:p w:rsidR="00C31502" w:rsidRPr="00473BC2" w:rsidRDefault="00C31502" w:rsidP="00C31502">
      <w:pPr>
        <w:pStyle w:val="NormalBold"/>
        <w:keepNext/>
      </w:pPr>
      <w:r w:rsidRPr="00473BC2">
        <w:t>Članak 4. – stavak 1. – podstavak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31502" w:rsidRPr="00473BC2" w:rsidTr="00B13675">
        <w:trPr>
          <w:jc w:val="center"/>
        </w:trPr>
        <w:tc>
          <w:tcPr>
            <w:tcW w:w="9752" w:type="dxa"/>
            <w:gridSpan w:val="2"/>
          </w:tcPr>
          <w:p w:rsidR="00C31502" w:rsidRPr="00473BC2" w:rsidRDefault="00C31502" w:rsidP="00B13675">
            <w:pPr>
              <w:keepNext/>
            </w:pPr>
          </w:p>
        </w:tc>
      </w:tr>
      <w:tr w:rsidR="00C31502" w:rsidRPr="00473BC2" w:rsidTr="00B13675">
        <w:trPr>
          <w:jc w:val="center"/>
        </w:trPr>
        <w:tc>
          <w:tcPr>
            <w:tcW w:w="4876" w:type="dxa"/>
          </w:tcPr>
          <w:p w:rsidR="00C31502" w:rsidRPr="00473BC2" w:rsidRDefault="00C31502" w:rsidP="00B13675">
            <w:pPr>
              <w:pStyle w:val="AmColumnHeading"/>
              <w:keepNext/>
            </w:pPr>
            <w:r w:rsidRPr="00473BC2">
              <w:t>Tekst koji je predložila Komisija</w:t>
            </w:r>
          </w:p>
        </w:tc>
        <w:tc>
          <w:tcPr>
            <w:tcW w:w="4876" w:type="dxa"/>
          </w:tcPr>
          <w:p w:rsidR="00C31502" w:rsidRPr="00473BC2" w:rsidRDefault="00C31502" w:rsidP="00B13675">
            <w:pPr>
              <w:pStyle w:val="AmColumnHeading"/>
              <w:keepNext/>
            </w:pPr>
            <w:r w:rsidRPr="00473BC2">
              <w:t>Izmjena</w:t>
            </w:r>
          </w:p>
        </w:tc>
      </w:tr>
      <w:tr w:rsidR="00C31502" w:rsidRPr="00473BC2" w:rsidTr="00B13675">
        <w:trPr>
          <w:jc w:val="center"/>
        </w:trPr>
        <w:tc>
          <w:tcPr>
            <w:tcW w:w="4876" w:type="dxa"/>
          </w:tcPr>
          <w:p w:rsidR="00C31502" w:rsidRPr="00473BC2" w:rsidRDefault="00C31502" w:rsidP="00B13675">
            <w:pPr>
              <w:pStyle w:val="Normal6a"/>
            </w:pPr>
            <w:r w:rsidRPr="00473BC2">
              <w:t xml:space="preserve">Olakšica za vlasnički kapital može se </w:t>
            </w:r>
            <w:r w:rsidRPr="00473BC2">
              <w:rPr>
                <w:b/>
                <w:i/>
              </w:rPr>
              <w:t xml:space="preserve">u deset uzastopnih poreznih razdoblja </w:t>
            </w:r>
            <w:r w:rsidRPr="00473BC2">
              <w:t>odbiti</w:t>
            </w:r>
            <w:r w:rsidRPr="00473BC2">
              <w:rPr>
                <w:b/>
                <w:i/>
              </w:rPr>
              <w:t xml:space="preserve"> od porezne osnovice poreznog obveznika za potrebe poreza na dobit do 30 % zarade poreznog obveznika prije kamata, poreza i amortizacije („EBITDA”).</w:t>
            </w:r>
          </w:p>
        </w:tc>
        <w:tc>
          <w:tcPr>
            <w:tcW w:w="4876" w:type="dxa"/>
          </w:tcPr>
          <w:p w:rsidR="00C31502" w:rsidRPr="00473BC2" w:rsidRDefault="00C31502" w:rsidP="00B13675">
            <w:pPr>
              <w:pStyle w:val="Normal6a"/>
              <w:rPr>
                <w:szCs w:val="24"/>
              </w:rPr>
            </w:pPr>
            <w:r w:rsidRPr="00473BC2">
              <w:t>Olakšica za vlasnički kapital može se odbiti</w:t>
            </w:r>
            <w:r w:rsidRPr="00473BC2">
              <w:rPr>
                <w:b/>
                <w:i/>
              </w:rPr>
              <w:t>:</w:t>
            </w:r>
          </w:p>
        </w:tc>
      </w:tr>
      <w:tr w:rsidR="00C31502" w:rsidRPr="00473BC2" w:rsidTr="00B13675">
        <w:trPr>
          <w:jc w:val="center"/>
        </w:trPr>
        <w:tc>
          <w:tcPr>
            <w:tcW w:w="4876" w:type="dxa"/>
          </w:tcPr>
          <w:p w:rsidR="00C31502" w:rsidRPr="00473BC2" w:rsidRDefault="00C31502" w:rsidP="00B13675">
            <w:pPr>
              <w:pStyle w:val="Normal6a"/>
            </w:pPr>
          </w:p>
        </w:tc>
        <w:tc>
          <w:tcPr>
            <w:tcW w:w="4876" w:type="dxa"/>
          </w:tcPr>
          <w:p w:rsidR="00C31502" w:rsidRPr="00473BC2" w:rsidRDefault="00C31502" w:rsidP="00B13675">
            <w:pPr>
              <w:pStyle w:val="Normal6a"/>
            </w:pPr>
            <w:r w:rsidRPr="00473BC2">
              <w:t>–</w:t>
            </w:r>
            <w:r w:rsidRPr="00473BC2">
              <w:tab/>
            </w:r>
            <w:r w:rsidRPr="00473BC2">
              <w:rPr>
                <w:b/>
                <w:i/>
              </w:rPr>
              <w:t>u deset uzastopnih poreznih razdoblja od porezne osnovice MSP-a ili srednje grupe za potrebe poreza na dobit do 30 % zarade poreznog obveznika prije kamata, poreza i amortizacije („EBITDA”);</w:t>
            </w:r>
          </w:p>
        </w:tc>
      </w:tr>
      <w:tr w:rsidR="00C31502" w:rsidRPr="00473BC2" w:rsidTr="00B13675">
        <w:trPr>
          <w:jc w:val="center"/>
        </w:trPr>
        <w:tc>
          <w:tcPr>
            <w:tcW w:w="4876" w:type="dxa"/>
          </w:tcPr>
          <w:p w:rsidR="00C31502" w:rsidRPr="00473BC2" w:rsidRDefault="00C31502" w:rsidP="00B13675">
            <w:pPr>
              <w:pStyle w:val="Normal6a"/>
            </w:pPr>
          </w:p>
        </w:tc>
        <w:tc>
          <w:tcPr>
            <w:tcW w:w="4876" w:type="dxa"/>
          </w:tcPr>
          <w:p w:rsidR="00C31502" w:rsidRPr="00473BC2" w:rsidRDefault="00C31502" w:rsidP="00B13675">
            <w:pPr>
              <w:pStyle w:val="Normal6a"/>
              <w:rPr>
                <w:b/>
                <w:i/>
              </w:rPr>
            </w:pPr>
            <w:r w:rsidRPr="00473BC2">
              <w:rPr>
                <w:b/>
                <w:i/>
              </w:rPr>
              <w:t>–</w:t>
            </w:r>
            <w:r w:rsidRPr="00473BC2">
              <w:rPr>
                <w:b/>
                <w:i/>
              </w:rPr>
              <w:tab/>
              <w:t xml:space="preserve">u sedam uzastopnih poreznih razdoblja od porezne osnovice svakog velikog poduzeća ili velike grupe za potrebe poreza na dobit do 30 % </w:t>
            </w:r>
            <w:r w:rsidR="00803D62" w:rsidRPr="00473BC2">
              <w:rPr>
                <w:b/>
                <w:i/>
              </w:rPr>
              <w:t>EBITDA</w:t>
            </w:r>
            <w:r w:rsidR="00803D62">
              <w:rPr>
                <w:b/>
                <w:i/>
              </w:rPr>
              <w:t xml:space="preserve">-e </w:t>
            </w:r>
            <w:r w:rsidRPr="00473BC2">
              <w:rPr>
                <w:b/>
                <w:i/>
              </w:rPr>
              <w:t>poreznog obveznika.</w:t>
            </w:r>
          </w:p>
        </w:tc>
      </w:tr>
    </w:tbl>
    <w:p w:rsidR="00C31502" w:rsidRPr="00473BC2" w:rsidRDefault="00C31502" w:rsidP="00C31502"/>
    <w:p w:rsidR="00C31502" w:rsidRPr="00473BC2" w:rsidRDefault="00C31502" w:rsidP="00C31502">
      <w:pPr>
        <w:pStyle w:val="AmNumberTabs"/>
        <w:keepNext/>
      </w:pPr>
      <w:r w:rsidRPr="00473BC2">
        <w:lastRenderedPageBreak/>
        <w:t>Amandman</w:t>
      </w:r>
      <w:r w:rsidRPr="00473BC2">
        <w:tab/>
      </w:r>
      <w:r w:rsidRPr="00473BC2">
        <w:tab/>
        <w:t>15</w:t>
      </w:r>
    </w:p>
    <w:p w:rsidR="00C31502" w:rsidRPr="00473BC2" w:rsidRDefault="00C31502" w:rsidP="00C31502">
      <w:pPr>
        <w:pStyle w:val="NormalBold12b"/>
        <w:keepNext/>
      </w:pPr>
      <w:r w:rsidRPr="00473BC2">
        <w:t>Prijedlog direktive</w:t>
      </w:r>
    </w:p>
    <w:p w:rsidR="00C31502" w:rsidRPr="00473BC2" w:rsidRDefault="00C31502" w:rsidP="00C31502">
      <w:pPr>
        <w:pStyle w:val="NormalBold"/>
        <w:keepNext/>
      </w:pPr>
      <w:r w:rsidRPr="00473BC2">
        <w:t>Članak 4. – stavak 1. – podstavak 1.a (novi)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31502" w:rsidRPr="00473BC2" w:rsidTr="00B13675">
        <w:trPr>
          <w:jc w:val="center"/>
        </w:trPr>
        <w:tc>
          <w:tcPr>
            <w:tcW w:w="9752" w:type="dxa"/>
            <w:gridSpan w:val="2"/>
          </w:tcPr>
          <w:p w:rsidR="00C31502" w:rsidRPr="00473BC2" w:rsidRDefault="00C31502" w:rsidP="00B13675">
            <w:pPr>
              <w:keepNext/>
            </w:pPr>
          </w:p>
        </w:tc>
      </w:tr>
      <w:tr w:rsidR="00C31502" w:rsidRPr="00473BC2" w:rsidTr="00B13675">
        <w:trPr>
          <w:jc w:val="center"/>
        </w:trPr>
        <w:tc>
          <w:tcPr>
            <w:tcW w:w="4876" w:type="dxa"/>
          </w:tcPr>
          <w:p w:rsidR="00C31502" w:rsidRPr="00473BC2" w:rsidRDefault="00C31502" w:rsidP="00B13675">
            <w:pPr>
              <w:pStyle w:val="AmColumnHeading"/>
              <w:keepNext/>
            </w:pPr>
            <w:r w:rsidRPr="00473BC2">
              <w:t>Tekst koji je predložila Komisija</w:t>
            </w:r>
          </w:p>
        </w:tc>
        <w:tc>
          <w:tcPr>
            <w:tcW w:w="4876" w:type="dxa"/>
          </w:tcPr>
          <w:p w:rsidR="00C31502" w:rsidRPr="00473BC2" w:rsidRDefault="00C31502" w:rsidP="00B13675">
            <w:pPr>
              <w:pStyle w:val="AmColumnHeading"/>
              <w:keepNext/>
            </w:pPr>
            <w:r w:rsidRPr="00473BC2">
              <w:t>Izmjena</w:t>
            </w:r>
          </w:p>
        </w:tc>
      </w:tr>
      <w:tr w:rsidR="00C31502" w:rsidRPr="00473BC2" w:rsidTr="00B13675">
        <w:trPr>
          <w:jc w:val="center"/>
        </w:trPr>
        <w:tc>
          <w:tcPr>
            <w:tcW w:w="4876" w:type="dxa"/>
          </w:tcPr>
          <w:p w:rsidR="00C31502" w:rsidRPr="00473BC2" w:rsidRDefault="00C31502" w:rsidP="00B13675">
            <w:pPr>
              <w:pStyle w:val="Normal6a"/>
            </w:pPr>
          </w:p>
        </w:tc>
        <w:tc>
          <w:tcPr>
            <w:tcW w:w="4876" w:type="dxa"/>
          </w:tcPr>
          <w:p w:rsidR="00C31502" w:rsidRPr="00473BC2" w:rsidRDefault="00C31502" w:rsidP="00B13675">
            <w:pPr>
              <w:pStyle w:val="Normal6a"/>
              <w:rPr>
                <w:szCs w:val="24"/>
              </w:rPr>
            </w:pPr>
            <w:r w:rsidRPr="00473BC2">
              <w:rPr>
                <w:b/>
                <w:i/>
              </w:rPr>
              <w:t>Države članice osiguravaju da porezni obveznici tijekom najviše tri porezna razdoblja mogu prenijeti dio olakšice za vlasnički kapital koji premašuje postotke EBITDA-e u poreznom razdoblju iz prvog podstavka.</w:t>
            </w:r>
          </w:p>
        </w:tc>
      </w:tr>
    </w:tbl>
    <w:p w:rsidR="00C31502" w:rsidRPr="00473BC2" w:rsidRDefault="00C31502" w:rsidP="00C31502"/>
    <w:p w:rsidR="00C31502" w:rsidRPr="00473BC2" w:rsidRDefault="00C31502" w:rsidP="00C31502">
      <w:pPr>
        <w:pStyle w:val="AmNumberTabs"/>
        <w:keepNext/>
      </w:pPr>
      <w:r w:rsidRPr="00473BC2">
        <w:t>Amandman</w:t>
      </w:r>
      <w:r w:rsidRPr="00473BC2">
        <w:tab/>
      </w:r>
      <w:r w:rsidRPr="00473BC2">
        <w:tab/>
        <w:t>16</w:t>
      </w:r>
    </w:p>
    <w:p w:rsidR="00C31502" w:rsidRPr="00473BC2" w:rsidRDefault="00C31502" w:rsidP="00C31502">
      <w:pPr>
        <w:pStyle w:val="NormalBold12b"/>
        <w:keepNext/>
      </w:pPr>
      <w:r w:rsidRPr="00473BC2">
        <w:t>Prijedlog direktive</w:t>
      </w:r>
    </w:p>
    <w:p w:rsidR="00C31502" w:rsidRPr="00473BC2" w:rsidRDefault="00C31502" w:rsidP="00C31502">
      <w:pPr>
        <w:pStyle w:val="NormalBold"/>
        <w:keepNext/>
      </w:pPr>
      <w:r w:rsidRPr="00473BC2">
        <w:t>Članak 4. – stavak 1. – podstavak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31502" w:rsidRPr="00473BC2" w:rsidTr="00B13675">
        <w:trPr>
          <w:jc w:val="center"/>
        </w:trPr>
        <w:tc>
          <w:tcPr>
            <w:tcW w:w="9752" w:type="dxa"/>
            <w:gridSpan w:val="2"/>
          </w:tcPr>
          <w:p w:rsidR="00C31502" w:rsidRPr="00473BC2" w:rsidRDefault="00C31502" w:rsidP="00B13675">
            <w:pPr>
              <w:keepNext/>
            </w:pPr>
          </w:p>
        </w:tc>
      </w:tr>
      <w:tr w:rsidR="00C31502" w:rsidRPr="00473BC2" w:rsidTr="00B13675">
        <w:trPr>
          <w:jc w:val="center"/>
        </w:trPr>
        <w:tc>
          <w:tcPr>
            <w:tcW w:w="4876" w:type="dxa"/>
          </w:tcPr>
          <w:p w:rsidR="00C31502" w:rsidRPr="00473BC2" w:rsidRDefault="00C31502" w:rsidP="00B13675">
            <w:pPr>
              <w:pStyle w:val="AmColumnHeading"/>
              <w:keepNext/>
            </w:pPr>
            <w:r w:rsidRPr="00473BC2">
              <w:t>Tekst koji je predložila Komisija</w:t>
            </w:r>
          </w:p>
        </w:tc>
        <w:tc>
          <w:tcPr>
            <w:tcW w:w="4876" w:type="dxa"/>
          </w:tcPr>
          <w:p w:rsidR="00C31502" w:rsidRPr="00473BC2" w:rsidRDefault="00C31502" w:rsidP="00B13675">
            <w:pPr>
              <w:pStyle w:val="AmColumnHeading"/>
              <w:keepNext/>
            </w:pPr>
            <w:r w:rsidRPr="00473BC2">
              <w:t>Izmjena</w:t>
            </w:r>
          </w:p>
        </w:tc>
      </w:tr>
      <w:tr w:rsidR="00C31502" w:rsidRPr="00473BC2" w:rsidTr="00B13675">
        <w:trPr>
          <w:jc w:val="center"/>
        </w:trPr>
        <w:tc>
          <w:tcPr>
            <w:tcW w:w="4876" w:type="dxa"/>
          </w:tcPr>
          <w:p w:rsidR="00C31502" w:rsidRPr="00473BC2" w:rsidRDefault="00C31502" w:rsidP="00B13675">
            <w:pPr>
              <w:pStyle w:val="Normal6a"/>
            </w:pPr>
            <w:r w:rsidRPr="00473BC2">
              <w:t>Ako je olakšica za vlasnički kapital koja se može odbiti, u skladu s prvim podstavkom, veća od neto oporezivog dohotka poreznog obveznika u poreznom razdoblju, države članice osiguravaju da porezni obveznik može prenijeti</w:t>
            </w:r>
            <w:r w:rsidRPr="00473BC2">
              <w:rPr>
                <w:b/>
                <w:i/>
              </w:rPr>
              <w:t>, bez vremenskog ograničenja,</w:t>
            </w:r>
            <w:r w:rsidRPr="00473BC2">
              <w:t xml:space="preserve"> višak olakšice za vlasnički kapital </w:t>
            </w:r>
            <w:r w:rsidRPr="00473BC2">
              <w:rPr>
                <w:b/>
                <w:i/>
              </w:rPr>
              <w:t>u sljedeća razdoblja.</w:t>
            </w:r>
          </w:p>
        </w:tc>
        <w:tc>
          <w:tcPr>
            <w:tcW w:w="4876" w:type="dxa"/>
          </w:tcPr>
          <w:p w:rsidR="00C31502" w:rsidRPr="00473BC2" w:rsidRDefault="00C31502" w:rsidP="00B13675">
            <w:pPr>
              <w:pStyle w:val="Normal6a"/>
              <w:rPr>
                <w:szCs w:val="24"/>
              </w:rPr>
            </w:pPr>
            <w:r w:rsidRPr="00473BC2">
              <w:t xml:space="preserve">Ako je olakšica za vlasnički kapital koja se može odbiti, u skladu s prvim podstavkom, veća od neto oporezivog dohotka poreznog obveznika u poreznom razdoblju, države članice osiguravaju da porezni obveznik može prenijeti višak olakšice za vlasnički kapital </w:t>
            </w:r>
            <w:r w:rsidRPr="00473BC2">
              <w:rPr>
                <w:b/>
                <w:i/>
              </w:rPr>
              <w:t>kako slijedi:</w:t>
            </w:r>
          </w:p>
        </w:tc>
      </w:tr>
      <w:tr w:rsidR="00C31502" w:rsidRPr="00473BC2" w:rsidTr="00B13675">
        <w:trPr>
          <w:jc w:val="center"/>
        </w:trPr>
        <w:tc>
          <w:tcPr>
            <w:tcW w:w="4876" w:type="dxa"/>
          </w:tcPr>
          <w:p w:rsidR="00C31502" w:rsidRPr="00473BC2" w:rsidRDefault="00C31502" w:rsidP="00B13675">
            <w:pPr>
              <w:pStyle w:val="Normal6a"/>
            </w:pPr>
          </w:p>
        </w:tc>
        <w:tc>
          <w:tcPr>
            <w:tcW w:w="4876" w:type="dxa"/>
          </w:tcPr>
          <w:p w:rsidR="00C31502" w:rsidRPr="00473BC2" w:rsidRDefault="00C31502" w:rsidP="00B13675">
            <w:pPr>
              <w:pStyle w:val="Normal6a"/>
              <w:rPr>
                <w:szCs w:val="24"/>
              </w:rPr>
            </w:pPr>
            <w:r w:rsidRPr="00473BC2">
              <w:rPr>
                <w:b/>
                <w:i/>
              </w:rPr>
              <w:t>–</w:t>
            </w:r>
            <w:r w:rsidRPr="00473BC2">
              <w:rPr>
                <w:b/>
                <w:i/>
              </w:rPr>
              <w:tab/>
              <w:t>tijekom najviše tri porezna razdoblja ako je porezni obveznik veliko poduzeće ili velika grupa;</w:t>
            </w:r>
          </w:p>
        </w:tc>
      </w:tr>
      <w:tr w:rsidR="00C31502" w:rsidRPr="00473BC2" w:rsidTr="00B13675">
        <w:trPr>
          <w:jc w:val="center"/>
        </w:trPr>
        <w:tc>
          <w:tcPr>
            <w:tcW w:w="4876" w:type="dxa"/>
          </w:tcPr>
          <w:p w:rsidR="00C31502" w:rsidRPr="00473BC2" w:rsidRDefault="00C31502" w:rsidP="00B13675">
            <w:pPr>
              <w:pStyle w:val="Normal6a"/>
            </w:pPr>
          </w:p>
        </w:tc>
        <w:tc>
          <w:tcPr>
            <w:tcW w:w="4876" w:type="dxa"/>
          </w:tcPr>
          <w:p w:rsidR="00C31502" w:rsidRPr="00473BC2" w:rsidRDefault="00C31502" w:rsidP="00B13675">
            <w:pPr>
              <w:pStyle w:val="Normal6a"/>
              <w:rPr>
                <w:szCs w:val="24"/>
              </w:rPr>
            </w:pPr>
            <w:r w:rsidRPr="00473BC2">
              <w:rPr>
                <w:b/>
                <w:i/>
              </w:rPr>
              <w:t>–</w:t>
            </w:r>
            <w:r w:rsidRPr="00473BC2">
              <w:rPr>
                <w:b/>
                <w:i/>
              </w:rPr>
              <w:tab/>
              <w:t>bez vremenskog ograničenja ako je porezni obveznik MSP ili srednja grupa.</w:t>
            </w:r>
          </w:p>
        </w:tc>
      </w:tr>
    </w:tbl>
    <w:p w:rsidR="00C31502" w:rsidRPr="00473BC2" w:rsidRDefault="00C31502" w:rsidP="00C31502"/>
    <w:p w:rsidR="00C31502" w:rsidRPr="00473BC2" w:rsidRDefault="00C31502" w:rsidP="00C31502">
      <w:pPr>
        <w:pStyle w:val="AmNumberTabs"/>
        <w:keepNext/>
      </w:pPr>
      <w:r w:rsidRPr="00473BC2">
        <w:t>Amandman</w:t>
      </w:r>
      <w:r w:rsidRPr="00473BC2">
        <w:tab/>
      </w:r>
      <w:r w:rsidRPr="00473BC2">
        <w:tab/>
        <w:t>17</w:t>
      </w:r>
    </w:p>
    <w:p w:rsidR="00C31502" w:rsidRPr="00473BC2" w:rsidRDefault="00C31502" w:rsidP="00C31502">
      <w:pPr>
        <w:pStyle w:val="NormalBold12b"/>
        <w:keepNext/>
      </w:pPr>
      <w:r w:rsidRPr="00473BC2">
        <w:t>Prijedlog direktive</w:t>
      </w:r>
    </w:p>
    <w:p w:rsidR="00C31502" w:rsidRPr="00473BC2" w:rsidRDefault="00C31502" w:rsidP="00C31502">
      <w:pPr>
        <w:pStyle w:val="NormalBold"/>
        <w:keepNext/>
      </w:pPr>
      <w:r w:rsidRPr="00473BC2">
        <w:t>Članak 4. – stavak 1. − podstavak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31502" w:rsidRPr="00473BC2" w:rsidTr="00B13675">
        <w:trPr>
          <w:jc w:val="center"/>
        </w:trPr>
        <w:tc>
          <w:tcPr>
            <w:tcW w:w="9752" w:type="dxa"/>
            <w:gridSpan w:val="2"/>
          </w:tcPr>
          <w:p w:rsidR="00C31502" w:rsidRPr="00473BC2" w:rsidRDefault="00C31502" w:rsidP="00B13675">
            <w:pPr>
              <w:keepNext/>
            </w:pPr>
          </w:p>
        </w:tc>
      </w:tr>
      <w:tr w:rsidR="00C31502" w:rsidRPr="00473BC2" w:rsidTr="00B13675">
        <w:trPr>
          <w:jc w:val="center"/>
        </w:trPr>
        <w:tc>
          <w:tcPr>
            <w:tcW w:w="4876" w:type="dxa"/>
          </w:tcPr>
          <w:p w:rsidR="00C31502" w:rsidRPr="00473BC2" w:rsidRDefault="00C31502" w:rsidP="00B13675">
            <w:pPr>
              <w:pStyle w:val="AmColumnHeading"/>
              <w:keepNext/>
            </w:pPr>
            <w:r w:rsidRPr="00473BC2">
              <w:t>Tekst koji je predložila Komisija</w:t>
            </w:r>
          </w:p>
        </w:tc>
        <w:tc>
          <w:tcPr>
            <w:tcW w:w="4876" w:type="dxa"/>
          </w:tcPr>
          <w:p w:rsidR="00C31502" w:rsidRPr="00473BC2" w:rsidRDefault="00C31502" w:rsidP="00B13675">
            <w:pPr>
              <w:pStyle w:val="AmColumnHeading"/>
              <w:keepNext/>
            </w:pPr>
            <w:r w:rsidRPr="00473BC2">
              <w:t>Izmjena</w:t>
            </w:r>
          </w:p>
        </w:tc>
      </w:tr>
      <w:tr w:rsidR="00C31502" w:rsidRPr="00473BC2" w:rsidTr="00B13675">
        <w:trPr>
          <w:jc w:val="center"/>
        </w:trPr>
        <w:tc>
          <w:tcPr>
            <w:tcW w:w="4876" w:type="dxa"/>
          </w:tcPr>
          <w:p w:rsidR="00C31502" w:rsidRPr="00473BC2" w:rsidRDefault="00C31502" w:rsidP="00B13675">
            <w:pPr>
              <w:pStyle w:val="Normal6a"/>
              <w:rPr>
                <w:b/>
                <w:i/>
              </w:rPr>
            </w:pPr>
            <w:r w:rsidRPr="00473BC2">
              <w:rPr>
                <w:b/>
                <w:i/>
              </w:rPr>
              <w:t>Države članice osiguravaju da porezni obveznici tijekom najviše pet poreznih razdoblja mogu prenijeti dio olakšice za kapital koji premašuje 30 % EBITDA-e u poreznom razdoblju.</w:t>
            </w:r>
          </w:p>
        </w:tc>
        <w:tc>
          <w:tcPr>
            <w:tcW w:w="4876" w:type="dxa"/>
          </w:tcPr>
          <w:p w:rsidR="00C31502" w:rsidRPr="00473BC2" w:rsidRDefault="00C31502" w:rsidP="00B13675">
            <w:pPr>
              <w:pStyle w:val="Normal6a"/>
              <w:rPr>
                <w:b/>
                <w:i/>
                <w:szCs w:val="24"/>
              </w:rPr>
            </w:pPr>
            <w:r w:rsidRPr="00473BC2">
              <w:rPr>
                <w:b/>
                <w:i/>
              </w:rPr>
              <w:t xml:space="preserve">Briše se. </w:t>
            </w:r>
          </w:p>
        </w:tc>
      </w:tr>
    </w:tbl>
    <w:p w:rsidR="00C31502" w:rsidRPr="00473BC2" w:rsidRDefault="00C31502" w:rsidP="00C31502"/>
    <w:p w:rsidR="00C31502" w:rsidRPr="00473BC2" w:rsidRDefault="00C31502" w:rsidP="00C31502">
      <w:pPr>
        <w:pStyle w:val="AmNumberTabs"/>
      </w:pPr>
      <w:r w:rsidRPr="00473BC2">
        <w:t>Amandman</w:t>
      </w:r>
      <w:r w:rsidRPr="00473BC2">
        <w:tab/>
      </w:r>
      <w:r w:rsidRPr="00473BC2">
        <w:tab/>
        <w:t>18</w:t>
      </w:r>
    </w:p>
    <w:p w:rsidR="00C31502" w:rsidRPr="00473BC2" w:rsidRDefault="00C31502" w:rsidP="00C31502">
      <w:pPr>
        <w:pStyle w:val="NormalBold12b"/>
      </w:pPr>
      <w:r w:rsidRPr="00473BC2">
        <w:t>Prijedlog direktive</w:t>
      </w:r>
    </w:p>
    <w:p w:rsidR="00C31502" w:rsidRPr="00473BC2" w:rsidRDefault="00C31502" w:rsidP="00C31502">
      <w:pPr>
        <w:pStyle w:val="NormalBold"/>
      </w:pPr>
      <w:r w:rsidRPr="00473BC2">
        <w:t>Članak 4. – stavak 2. – podstavak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502" w:rsidRPr="00473BC2" w:rsidTr="00B13675">
        <w:trPr>
          <w:trHeight w:hRule="exact" w:val="240"/>
          <w:jc w:val="center"/>
        </w:trPr>
        <w:tc>
          <w:tcPr>
            <w:tcW w:w="9752" w:type="dxa"/>
            <w:gridSpan w:val="2"/>
          </w:tcPr>
          <w:p w:rsidR="00C31502" w:rsidRPr="00473BC2" w:rsidRDefault="00C31502" w:rsidP="00B13675"/>
        </w:tc>
      </w:tr>
      <w:tr w:rsidR="00C31502" w:rsidRPr="00473BC2" w:rsidTr="00B13675">
        <w:trPr>
          <w:trHeight w:val="240"/>
          <w:jc w:val="center"/>
        </w:trPr>
        <w:tc>
          <w:tcPr>
            <w:tcW w:w="4876" w:type="dxa"/>
          </w:tcPr>
          <w:p w:rsidR="00C31502" w:rsidRPr="00473BC2" w:rsidRDefault="00C31502" w:rsidP="00B13675">
            <w:pPr>
              <w:pStyle w:val="AmColumnHeading"/>
            </w:pPr>
            <w:r w:rsidRPr="00473BC2">
              <w:t>Tekst koji je predložila Komisija</w:t>
            </w:r>
          </w:p>
        </w:tc>
        <w:tc>
          <w:tcPr>
            <w:tcW w:w="4876" w:type="dxa"/>
          </w:tcPr>
          <w:p w:rsidR="00C31502" w:rsidRPr="00473BC2" w:rsidRDefault="00C31502" w:rsidP="00B13675">
            <w:pPr>
              <w:pStyle w:val="AmColumnHeading"/>
            </w:pPr>
            <w:r w:rsidRPr="00473BC2">
              <w:t>Izmjena</w:t>
            </w:r>
          </w:p>
        </w:tc>
      </w:tr>
      <w:tr w:rsidR="00C31502" w:rsidRPr="00473BC2" w:rsidTr="00B13675">
        <w:trPr>
          <w:jc w:val="center"/>
        </w:trPr>
        <w:tc>
          <w:tcPr>
            <w:tcW w:w="4876" w:type="dxa"/>
          </w:tcPr>
          <w:p w:rsidR="00C31502" w:rsidRPr="00473BC2" w:rsidRDefault="00C31502" w:rsidP="00B13675">
            <w:pPr>
              <w:pStyle w:val="Normal6a"/>
            </w:pPr>
            <w:r w:rsidRPr="00473BC2">
              <w:t>Podložno članku 5., osnovica olakšice za vlasnički kapital izračunava se kao razlika između razine neto vlasničkog kapitala na kraju poreznog razdoblja i razine neto vlasničkog kapitala na kraju prethodnog poreznog razdoblja.</w:t>
            </w:r>
          </w:p>
        </w:tc>
        <w:tc>
          <w:tcPr>
            <w:tcW w:w="4876" w:type="dxa"/>
          </w:tcPr>
          <w:p w:rsidR="00C31502" w:rsidRPr="00473BC2" w:rsidRDefault="00C31502" w:rsidP="00B13675">
            <w:pPr>
              <w:pStyle w:val="Normal6a"/>
            </w:pPr>
            <w:r w:rsidRPr="00473BC2">
              <w:t>Podložno članku 5., osnovica olakšice za vlasnički kapital izračunava se kao razlika između razine neto vlasničkog kapitala na kraju poreznog razdoblja i razine neto vlasničkog kapitala na kraju prethodnog poreznog razdoblja</w:t>
            </w:r>
            <w:r w:rsidRPr="00473BC2">
              <w:rPr>
                <w:b/>
                <w:i/>
              </w:rPr>
              <w:t>, tj. kao godišnje povećanje neto vlasničkog kapitala</w:t>
            </w:r>
            <w:r w:rsidRPr="00473BC2">
              <w:t>.</w:t>
            </w:r>
          </w:p>
        </w:tc>
      </w:tr>
    </w:tbl>
    <w:p w:rsidR="00C31502" w:rsidRPr="00473BC2" w:rsidRDefault="00C31502" w:rsidP="00C31502"/>
    <w:p w:rsidR="00C31502" w:rsidRPr="00473BC2" w:rsidRDefault="00C31502" w:rsidP="00C31502">
      <w:pPr>
        <w:pStyle w:val="AmNumberTabs"/>
        <w:keepNext/>
      </w:pPr>
      <w:r w:rsidRPr="00473BC2">
        <w:t>Amandman</w:t>
      </w:r>
      <w:r w:rsidRPr="00473BC2">
        <w:tab/>
      </w:r>
      <w:r w:rsidRPr="00473BC2">
        <w:tab/>
        <w:t>19</w:t>
      </w:r>
    </w:p>
    <w:p w:rsidR="00C31502" w:rsidRPr="00473BC2" w:rsidRDefault="00C31502" w:rsidP="00C31502">
      <w:pPr>
        <w:pStyle w:val="NormalBold12b"/>
        <w:keepNext/>
      </w:pPr>
      <w:r w:rsidRPr="00473BC2">
        <w:t>Prijedlog direktive</w:t>
      </w:r>
    </w:p>
    <w:p w:rsidR="00C31502" w:rsidRPr="00473BC2" w:rsidRDefault="00C31502" w:rsidP="00C31502">
      <w:pPr>
        <w:pStyle w:val="NormalBold"/>
        <w:keepNext/>
      </w:pPr>
      <w:r w:rsidRPr="00473BC2">
        <w:t>Članak 4. – stavak 2. – podstavak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31502" w:rsidRPr="00473BC2" w:rsidTr="00B13675">
        <w:trPr>
          <w:jc w:val="center"/>
        </w:trPr>
        <w:tc>
          <w:tcPr>
            <w:tcW w:w="9752" w:type="dxa"/>
            <w:gridSpan w:val="2"/>
          </w:tcPr>
          <w:p w:rsidR="00C31502" w:rsidRPr="00473BC2" w:rsidRDefault="00C31502" w:rsidP="00B13675">
            <w:pPr>
              <w:keepNext/>
            </w:pPr>
          </w:p>
        </w:tc>
      </w:tr>
      <w:tr w:rsidR="00C31502" w:rsidRPr="00473BC2" w:rsidTr="00B13675">
        <w:trPr>
          <w:jc w:val="center"/>
        </w:trPr>
        <w:tc>
          <w:tcPr>
            <w:tcW w:w="4876" w:type="dxa"/>
          </w:tcPr>
          <w:p w:rsidR="00C31502" w:rsidRPr="00473BC2" w:rsidRDefault="00C31502" w:rsidP="00B13675">
            <w:pPr>
              <w:pStyle w:val="AmColumnHeading"/>
              <w:keepNext/>
            </w:pPr>
            <w:r w:rsidRPr="00473BC2">
              <w:t>Tekst koji je predložila Komisija</w:t>
            </w:r>
          </w:p>
        </w:tc>
        <w:tc>
          <w:tcPr>
            <w:tcW w:w="4876" w:type="dxa"/>
          </w:tcPr>
          <w:p w:rsidR="00C31502" w:rsidRPr="00473BC2" w:rsidRDefault="00C31502" w:rsidP="00B13675">
            <w:pPr>
              <w:pStyle w:val="AmColumnHeading"/>
              <w:keepNext/>
            </w:pPr>
            <w:r w:rsidRPr="00473BC2">
              <w:t>Izmjena</w:t>
            </w:r>
          </w:p>
        </w:tc>
      </w:tr>
      <w:tr w:rsidR="00C31502" w:rsidRPr="00473BC2" w:rsidTr="00B13675">
        <w:trPr>
          <w:jc w:val="center"/>
        </w:trPr>
        <w:tc>
          <w:tcPr>
            <w:tcW w:w="4876" w:type="dxa"/>
          </w:tcPr>
          <w:p w:rsidR="00C31502" w:rsidRPr="00473BC2" w:rsidRDefault="00C31502" w:rsidP="00B13675">
            <w:pPr>
              <w:pStyle w:val="Normal6a"/>
            </w:pPr>
            <w:r w:rsidRPr="00473BC2">
              <w:t>Olakšica za vlasnički kapital jednaka je osnovici olakšice pomnoženoj s desetogodišnjom nerizičnom kamatnom stopom za relevantnu valutu</w:t>
            </w:r>
            <w:r w:rsidRPr="00473BC2">
              <w:rPr>
                <w:b/>
                <w:i/>
              </w:rPr>
              <w:t xml:space="preserve"> i</w:t>
            </w:r>
            <w:r w:rsidRPr="00473BC2">
              <w:t xml:space="preserve"> uvećanom za premiju rizika od 1 % </w:t>
            </w:r>
            <w:r w:rsidRPr="00473BC2">
              <w:rPr>
                <w:b/>
                <w:i/>
              </w:rPr>
              <w:t>ili, ako je porezni obveznik MSP, premiju rizika od 1,5 %.</w:t>
            </w:r>
          </w:p>
        </w:tc>
        <w:tc>
          <w:tcPr>
            <w:tcW w:w="4876" w:type="dxa"/>
          </w:tcPr>
          <w:p w:rsidR="00C31502" w:rsidRPr="00473BC2" w:rsidRDefault="00C31502" w:rsidP="00B13675">
            <w:pPr>
              <w:pStyle w:val="Normal6a"/>
              <w:rPr>
                <w:szCs w:val="24"/>
              </w:rPr>
            </w:pPr>
            <w:r w:rsidRPr="00473BC2">
              <w:t>Olakšica za vlasnički kapital jednaka je osnovici olakšice pomnoženoj s desetogodišnjom nerizičnom kamatnom stopom za relevantnu valutu</w:t>
            </w:r>
            <w:r w:rsidRPr="00473BC2">
              <w:rPr>
                <w:b/>
                <w:i/>
              </w:rPr>
              <w:t>,</w:t>
            </w:r>
            <w:r w:rsidRPr="00473BC2">
              <w:t xml:space="preserve"> uvećanom za premiju rizika od 1 % </w:t>
            </w:r>
            <w:r w:rsidRPr="00473BC2">
              <w:rPr>
                <w:b/>
                <w:i/>
              </w:rPr>
              <w:t>za MSP-ove.</w:t>
            </w:r>
            <w:r w:rsidRPr="00473BC2">
              <w:t xml:space="preserve"> </w:t>
            </w:r>
          </w:p>
        </w:tc>
      </w:tr>
    </w:tbl>
    <w:p w:rsidR="00C31502" w:rsidRPr="00473BC2" w:rsidRDefault="00C31502" w:rsidP="00C31502"/>
    <w:p w:rsidR="00C31502" w:rsidRPr="00473BC2" w:rsidRDefault="00C31502" w:rsidP="00C31502">
      <w:pPr>
        <w:pStyle w:val="AmNumberTabs"/>
        <w:keepNext/>
      </w:pPr>
      <w:r w:rsidRPr="00473BC2">
        <w:t>Amandman</w:t>
      </w:r>
      <w:r w:rsidRPr="00473BC2">
        <w:tab/>
      </w:r>
      <w:r w:rsidRPr="00473BC2">
        <w:tab/>
        <w:t>20</w:t>
      </w:r>
    </w:p>
    <w:p w:rsidR="00C31502" w:rsidRPr="00473BC2" w:rsidRDefault="00C31502" w:rsidP="00C31502">
      <w:pPr>
        <w:pStyle w:val="NormalBold12b"/>
        <w:keepNext/>
      </w:pPr>
      <w:r w:rsidRPr="00473BC2">
        <w:t>Prijedlog direktive</w:t>
      </w:r>
    </w:p>
    <w:p w:rsidR="00C31502" w:rsidRPr="00473BC2" w:rsidRDefault="00C31502" w:rsidP="00C31502">
      <w:pPr>
        <w:pStyle w:val="NormalBold"/>
        <w:keepNext/>
      </w:pPr>
      <w:r w:rsidRPr="00473BC2">
        <w:t>Članak 4. – stavak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31502" w:rsidRPr="00473BC2" w:rsidTr="00B13675">
        <w:trPr>
          <w:jc w:val="center"/>
        </w:trPr>
        <w:tc>
          <w:tcPr>
            <w:tcW w:w="9752" w:type="dxa"/>
            <w:gridSpan w:val="2"/>
          </w:tcPr>
          <w:p w:rsidR="00C31502" w:rsidRPr="00473BC2" w:rsidRDefault="00C31502" w:rsidP="00B13675">
            <w:pPr>
              <w:keepNext/>
            </w:pPr>
          </w:p>
        </w:tc>
      </w:tr>
      <w:tr w:rsidR="00C31502" w:rsidRPr="00473BC2" w:rsidTr="00B13675">
        <w:trPr>
          <w:jc w:val="center"/>
        </w:trPr>
        <w:tc>
          <w:tcPr>
            <w:tcW w:w="4876" w:type="dxa"/>
          </w:tcPr>
          <w:p w:rsidR="00C31502" w:rsidRPr="00473BC2" w:rsidRDefault="00C31502" w:rsidP="00B13675">
            <w:pPr>
              <w:pStyle w:val="AmColumnHeading"/>
              <w:keepNext/>
            </w:pPr>
            <w:r w:rsidRPr="00473BC2">
              <w:t>Tekst koji je predložila Komisija</w:t>
            </w:r>
          </w:p>
        </w:tc>
        <w:tc>
          <w:tcPr>
            <w:tcW w:w="4876" w:type="dxa"/>
          </w:tcPr>
          <w:p w:rsidR="00C31502" w:rsidRPr="00473BC2" w:rsidRDefault="00C31502" w:rsidP="00B13675">
            <w:pPr>
              <w:pStyle w:val="AmColumnHeading"/>
              <w:keepNext/>
            </w:pPr>
            <w:r w:rsidRPr="00473BC2">
              <w:t>Izmjena</w:t>
            </w:r>
          </w:p>
        </w:tc>
      </w:tr>
      <w:tr w:rsidR="00C31502" w:rsidRPr="00473BC2" w:rsidTr="00B13675">
        <w:trPr>
          <w:jc w:val="center"/>
        </w:trPr>
        <w:tc>
          <w:tcPr>
            <w:tcW w:w="4876" w:type="dxa"/>
          </w:tcPr>
          <w:p w:rsidR="00C31502" w:rsidRPr="00473BC2" w:rsidRDefault="00C31502" w:rsidP="00B13675">
            <w:pPr>
              <w:pStyle w:val="Normal6a"/>
            </w:pPr>
            <w:r w:rsidRPr="00473BC2">
              <w:t>3.</w:t>
            </w:r>
            <w:r w:rsidRPr="00473BC2">
              <w:tab/>
              <w:t xml:space="preserve">Ako je, nakon dobivanja olakšice za vlasnički kapital, osnovica olakšice za vlasnički kapital negativna u poreznom razdoblju, iznos jednak negativnoj olakšici za vlasnički kapital oporezuje se tijekom deset uzastopnih poreznih razdoblja, do ukupnog povećanja neto vlasničkog kapitala za koji je takva olakšica dobivena u skladu s ovom Direktivom, osim ako porezni obveznik dostavi dostatne dokaze da je to posljedica računovodstvenih </w:t>
            </w:r>
            <w:r w:rsidRPr="00473BC2">
              <w:lastRenderedPageBreak/>
              <w:t>gubitaka nastalih tijekom poreznog razdoblja ili zbog zakonske obveze smanjenja kapitala.</w:t>
            </w:r>
          </w:p>
        </w:tc>
        <w:tc>
          <w:tcPr>
            <w:tcW w:w="4876" w:type="dxa"/>
          </w:tcPr>
          <w:p w:rsidR="00C31502" w:rsidRPr="00473BC2" w:rsidRDefault="00C31502" w:rsidP="00B13675">
            <w:pPr>
              <w:pStyle w:val="Normal6a"/>
              <w:rPr>
                <w:szCs w:val="24"/>
              </w:rPr>
            </w:pPr>
            <w:r w:rsidRPr="00473BC2">
              <w:lastRenderedPageBreak/>
              <w:t>3.</w:t>
            </w:r>
            <w:r w:rsidRPr="00473BC2">
              <w:tab/>
              <w:t>Ako je, nakon dobivanja olakšice za vlasnički kapital, osnovica olakšice za vlasnički kapital negativna u poreznom razdoblju, iznos jednak negativnoj olakšici za vlasnički kapital oporezuje se tijekom deset uzastopnih poreznih razdoblja</w:t>
            </w:r>
            <w:r w:rsidRPr="00473BC2">
              <w:rPr>
                <w:b/>
                <w:i/>
              </w:rPr>
              <w:t xml:space="preserve"> za MSP-ove ili srednje grupe ili sedam uzastopnih poreznih razdoblja za sve porezne obveznike koji nisu MSP-ovi ili srednje grupe</w:t>
            </w:r>
            <w:r w:rsidRPr="00473BC2">
              <w:t xml:space="preserve">, do ukupnog povećanja neto vlasničkog kapitala za koji je takva </w:t>
            </w:r>
            <w:r w:rsidRPr="00473BC2">
              <w:lastRenderedPageBreak/>
              <w:t>olakšica dobivena u skladu s ovom Direktivom, osim ako porezni obveznik dostavi dostatne dokaze da je to posljedica računovodstvenih gubitaka nastalih tijekom poreznog razdoblja ili zbog zakonske obveze smanjenja kapitala.</w:t>
            </w:r>
          </w:p>
        </w:tc>
      </w:tr>
    </w:tbl>
    <w:p w:rsidR="00C31502" w:rsidRPr="00473BC2" w:rsidRDefault="00C31502" w:rsidP="00C31502"/>
    <w:p w:rsidR="00C31502" w:rsidRPr="00473BC2" w:rsidRDefault="00C31502" w:rsidP="00C31502">
      <w:pPr>
        <w:pStyle w:val="AmNumberTabs"/>
      </w:pPr>
      <w:r w:rsidRPr="00473BC2">
        <w:t>Amandman</w:t>
      </w:r>
      <w:r w:rsidRPr="00473BC2">
        <w:tab/>
      </w:r>
      <w:r w:rsidRPr="00473BC2">
        <w:tab/>
        <w:t>21</w:t>
      </w:r>
    </w:p>
    <w:p w:rsidR="00C31502" w:rsidRPr="00473BC2" w:rsidRDefault="00C31502" w:rsidP="00C31502">
      <w:pPr>
        <w:pStyle w:val="NormalBold12b"/>
      </w:pPr>
      <w:r w:rsidRPr="00473BC2">
        <w:t>Prijedlog direktive</w:t>
      </w:r>
    </w:p>
    <w:p w:rsidR="00C31502" w:rsidRPr="00473BC2" w:rsidRDefault="00C31502" w:rsidP="00C31502">
      <w:pPr>
        <w:pStyle w:val="NormalBold"/>
      </w:pPr>
      <w:r w:rsidRPr="00473BC2">
        <w:t>Članak 5. – stavak 3.a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502" w:rsidRPr="00473BC2" w:rsidTr="00B13675">
        <w:trPr>
          <w:trHeight w:hRule="exact" w:val="240"/>
          <w:jc w:val="center"/>
        </w:trPr>
        <w:tc>
          <w:tcPr>
            <w:tcW w:w="9752" w:type="dxa"/>
            <w:gridSpan w:val="2"/>
          </w:tcPr>
          <w:p w:rsidR="00C31502" w:rsidRPr="00473BC2" w:rsidRDefault="00C31502" w:rsidP="00B13675"/>
        </w:tc>
      </w:tr>
      <w:tr w:rsidR="00C31502" w:rsidRPr="00473BC2" w:rsidTr="00B13675">
        <w:trPr>
          <w:trHeight w:val="240"/>
          <w:jc w:val="center"/>
        </w:trPr>
        <w:tc>
          <w:tcPr>
            <w:tcW w:w="4876" w:type="dxa"/>
          </w:tcPr>
          <w:p w:rsidR="00C31502" w:rsidRPr="00473BC2" w:rsidRDefault="00C31502" w:rsidP="00B13675">
            <w:pPr>
              <w:pStyle w:val="AmColumnHeading"/>
            </w:pPr>
            <w:r w:rsidRPr="00473BC2">
              <w:t>Tekst koji je predložila Komisija</w:t>
            </w:r>
          </w:p>
        </w:tc>
        <w:tc>
          <w:tcPr>
            <w:tcW w:w="4876" w:type="dxa"/>
          </w:tcPr>
          <w:p w:rsidR="00C31502" w:rsidRPr="00473BC2" w:rsidRDefault="00C31502" w:rsidP="00B13675">
            <w:pPr>
              <w:pStyle w:val="AmColumnHeading"/>
            </w:pPr>
            <w:r w:rsidRPr="00473BC2">
              <w:t>Izmjena</w:t>
            </w:r>
          </w:p>
        </w:tc>
      </w:tr>
      <w:tr w:rsidR="00C31502" w:rsidRPr="00473BC2" w:rsidTr="00B13675">
        <w:trPr>
          <w:jc w:val="center"/>
        </w:trPr>
        <w:tc>
          <w:tcPr>
            <w:tcW w:w="4876" w:type="dxa"/>
          </w:tcPr>
          <w:p w:rsidR="00C31502" w:rsidRPr="00473BC2" w:rsidRDefault="00C31502" w:rsidP="00B13675">
            <w:pPr>
              <w:pStyle w:val="Normal6a"/>
            </w:pPr>
          </w:p>
        </w:tc>
        <w:tc>
          <w:tcPr>
            <w:tcW w:w="4876" w:type="dxa"/>
          </w:tcPr>
          <w:p w:rsidR="00C31502" w:rsidRPr="00473BC2" w:rsidRDefault="00C31502" w:rsidP="00B13675">
            <w:pPr>
              <w:pStyle w:val="Normal6a"/>
            </w:pPr>
            <w:r w:rsidRPr="00473BC2">
              <w:rPr>
                <w:b/>
                <w:i/>
              </w:rPr>
              <w:t>3.a</w:t>
            </w:r>
            <w:r w:rsidRPr="00473BC2">
              <w:tab/>
            </w:r>
            <w:r w:rsidRPr="00473BC2">
              <w:rPr>
                <w:b/>
                <w:i/>
              </w:rPr>
              <w:t>Države članice osiguravaju da su mjere koje donesu radi prenošenja ovog članka u nacionalno pravo u skladu sa smjernicama Skupine za Kodeks o postupanju (oporezivanje poslovanja) o sustavima odbitaka nominalnih kamata.</w:t>
            </w:r>
          </w:p>
        </w:tc>
      </w:tr>
    </w:tbl>
    <w:p w:rsidR="00C31502" w:rsidRPr="00473BC2" w:rsidRDefault="00C31502" w:rsidP="00C31502"/>
    <w:p w:rsidR="00C31502" w:rsidRPr="00473BC2" w:rsidRDefault="00C31502" w:rsidP="00C31502">
      <w:pPr>
        <w:pStyle w:val="AmNumberTabs"/>
        <w:keepNext/>
      </w:pPr>
      <w:r w:rsidRPr="00473BC2">
        <w:t>Amandman</w:t>
      </w:r>
      <w:r w:rsidRPr="00473BC2">
        <w:tab/>
      </w:r>
      <w:r w:rsidRPr="00473BC2">
        <w:tab/>
        <w:t>22</w:t>
      </w:r>
    </w:p>
    <w:p w:rsidR="00C31502" w:rsidRPr="00473BC2" w:rsidRDefault="00C31502" w:rsidP="00C31502">
      <w:pPr>
        <w:pStyle w:val="NormalBold12b"/>
        <w:keepNext/>
      </w:pPr>
      <w:r w:rsidRPr="00473BC2">
        <w:t>Prijedlog direktive</w:t>
      </w:r>
    </w:p>
    <w:p w:rsidR="00C31502" w:rsidRPr="00473BC2" w:rsidRDefault="00C31502" w:rsidP="00C31502">
      <w:pPr>
        <w:pStyle w:val="NormalBold"/>
        <w:keepNext/>
      </w:pPr>
      <w:r w:rsidRPr="00473BC2">
        <w:t>Članak 6. – stavak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31502" w:rsidRPr="00473BC2" w:rsidTr="00B13675">
        <w:trPr>
          <w:jc w:val="center"/>
        </w:trPr>
        <w:tc>
          <w:tcPr>
            <w:tcW w:w="9752" w:type="dxa"/>
            <w:gridSpan w:val="2"/>
          </w:tcPr>
          <w:p w:rsidR="00C31502" w:rsidRPr="00473BC2" w:rsidRDefault="00C31502" w:rsidP="00B13675">
            <w:pPr>
              <w:keepNext/>
            </w:pPr>
          </w:p>
        </w:tc>
      </w:tr>
      <w:tr w:rsidR="00C31502" w:rsidRPr="00473BC2" w:rsidTr="00B13675">
        <w:trPr>
          <w:jc w:val="center"/>
        </w:trPr>
        <w:tc>
          <w:tcPr>
            <w:tcW w:w="4876" w:type="dxa"/>
          </w:tcPr>
          <w:p w:rsidR="00C31502" w:rsidRPr="00473BC2" w:rsidRDefault="00C31502" w:rsidP="00B13675">
            <w:pPr>
              <w:pStyle w:val="AmColumnHeading"/>
              <w:keepNext/>
            </w:pPr>
            <w:r w:rsidRPr="00473BC2">
              <w:t>Tekst koji je predložila Komisija</w:t>
            </w:r>
          </w:p>
        </w:tc>
        <w:tc>
          <w:tcPr>
            <w:tcW w:w="4876" w:type="dxa"/>
          </w:tcPr>
          <w:p w:rsidR="00C31502" w:rsidRPr="00473BC2" w:rsidRDefault="00C31502" w:rsidP="00B13675">
            <w:pPr>
              <w:pStyle w:val="AmColumnHeading"/>
              <w:keepNext/>
            </w:pPr>
            <w:r w:rsidRPr="00473BC2">
              <w:t>Izmjena</w:t>
            </w:r>
          </w:p>
        </w:tc>
      </w:tr>
      <w:tr w:rsidR="00C31502" w:rsidRPr="00473BC2" w:rsidTr="00B13675">
        <w:trPr>
          <w:jc w:val="center"/>
        </w:trPr>
        <w:tc>
          <w:tcPr>
            <w:tcW w:w="4876" w:type="dxa"/>
          </w:tcPr>
          <w:p w:rsidR="00C31502" w:rsidRPr="00473BC2" w:rsidRDefault="00C31502" w:rsidP="00B13675">
            <w:pPr>
              <w:pStyle w:val="Normal6a"/>
              <w:rPr>
                <w:b/>
                <w:i/>
              </w:rPr>
            </w:pPr>
            <w:r w:rsidRPr="00473BC2">
              <w:t>1.</w:t>
            </w:r>
            <w:r w:rsidRPr="00473BC2">
              <w:tab/>
              <w:t>Države članice osiguravaju da porezni obveznik može od svoje porezne osnovice za potrebe poreza na dobit odbiti prekoračene troškove zaduživanja kako su definirani u članku 1. točki 2. Direktive Vijeća (EU) 2016/1164</w:t>
            </w:r>
            <w:r w:rsidRPr="00473BC2">
              <w:rPr>
                <w:vertAlign w:val="superscript"/>
              </w:rPr>
              <w:t>35</w:t>
            </w:r>
            <w:r w:rsidRPr="00473BC2">
              <w:t xml:space="preserve"> do iznosa (a) koji odgovara 85 % takvih troškova nastalih tijekom poreznog razdoblja. Ako je taj iznos veći od iznosa (b) utvrđenog u skladu s člankom 4. Direktive (EU) 2016/1164, države članice osiguravaju da porezni obveznik ima pravo na odbitak samo manjeg od ta dva iznosa u poreznom razdoblju. Razlika između dvaju iznosa (a) i (b) prenosi se ili odbija u skladu s člankom 4. Direktive (EU) 2016/1164. </w:t>
            </w:r>
          </w:p>
        </w:tc>
        <w:tc>
          <w:tcPr>
            <w:tcW w:w="4876" w:type="dxa"/>
          </w:tcPr>
          <w:p w:rsidR="00C31502" w:rsidRPr="00473BC2" w:rsidRDefault="00C31502" w:rsidP="00B13675">
            <w:pPr>
              <w:pStyle w:val="Normal6a"/>
            </w:pPr>
            <w:r w:rsidRPr="00473BC2">
              <w:t>1.</w:t>
            </w:r>
            <w:r w:rsidRPr="00473BC2">
              <w:tab/>
              <w:t xml:space="preserve">Države članice osiguravaju da porezni obveznik </w:t>
            </w:r>
            <w:r w:rsidRPr="00473BC2">
              <w:rPr>
                <w:b/>
                <w:i/>
              </w:rPr>
              <w:t xml:space="preserve">koji nije MSP ili srednja grupa </w:t>
            </w:r>
            <w:r w:rsidRPr="00473BC2">
              <w:t>može od svoje porezne osnovice za potrebe poreza na dobit odbiti prekoračene troškove zaduživanja kako su definirani u članku 1. točki 2. Direktive Vijeća (EU) 2016/1164</w:t>
            </w:r>
            <w:r w:rsidRPr="00473BC2">
              <w:rPr>
                <w:vertAlign w:val="superscript"/>
              </w:rPr>
              <w:t>35</w:t>
            </w:r>
            <w:r w:rsidRPr="00473BC2">
              <w:t xml:space="preserve"> do iznosa (a) koji odgovara 85 % takvih troškova nastalih tijekom poreznog razdoblja. Ako je taj iznos veći od iznosa (b) utvrđenog u skladu s člankom 4. Direktive (EU) 2016/1164, države članice osiguravaju da porezni obveznik ima pravo na odbitak samo manjeg od ta dva iznosa u poreznom razdoblju. Razlika između dvaju iznosa (a) i (b) prenosi se ili odbija u skladu s člankom 4. Direktive (EU) 2016/1164.</w:t>
            </w:r>
          </w:p>
        </w:tc>
      </w:tr>
      <w:tr w:rsidR="00C31502" w:rsidRPr="00473BC2" w:rsidTr="00B13675">
        <w:trPr>
          <w:jc w:val="center"/>
        </w:trPr>
        <w:tc>
          <w:tcPr>
            <w:tcW w:w="4876" w:type="dxa"/>
          </w:tcPr>
          <w:p w:rsidR="00C31502" w:rsidRPr="00473BC2" w:rsidRDefault="00C31502" w:rsidP="00B13675">
            <w:pPr>
              <w:pStyle w:val="Normal6a"/>
            </w:pPr>
            <w:r w:rsidRPr="00473BC2">
              <w:t>_______________</w:t>
            </w:r>
          </w:p>
        </w:tc>
        <w:tc>
          <w:tcPr>
            <w:tcW w:w="4876" w:type="dxa"/>
          </w:tcPr>
          <w:p w:rsidR="00C31502" w:rsidRPr="00473BC2" w:rsidRDefault="00C31502" w:rsidP="00B13675">
            <w:pPr>
              <w:pStyle w:val="Normal6a"/>
            </w:pPr>
            <w:r w:rsidRPr="00473BC2">
              <w:t>_______________</w:t>
            </w:r>
          </w:p>
        </w:tc>
      </w:tr>
      <w:tr w:rsidR="00C31502" w:rsidRPr="00473BC2" w:rsidTr="00B13675">
        <w:trPr>
          <w:jc w:val="center"/>
        </w:trPr>
        <w:tc>
          <w:tcPr>
            <w:tcW w:w="4876" w:type="dxa"/>
          </w:tcPr>
          <w:p w:rsidR="00C31502" w:rsidRPr="00473BC2" w:rsidRDefault="00C31502" w:rsidP="00B13675">
            <w:pPr>
              <w:pStyle w:val="Normal6a"/>
            </w:pPr>
            <w:r w:rsidRPr="00473BC2">
              <w:rPr>
                <w:vertAlign w:val="superscript"/>
              </w:rPr>
              <w:t>35</w:t>
            </w:r>
            <w:r w:rsidRPr="00473BC2">
              <w:t xml:space="preserve"> Direktiva Vijeća (EU) 2016/1164 od </w:t>
            </w:r>
            <w:r w:rsidRPr="00473BC2">
              <w:lastRenderedPageBreak/>
              <w:t>12. srpnja 2016. o utvrđivanju pravila protiv praksi izbjegavanja poreza kojima se izravno utječe na funkcioniranje unutarnjeg tržišta (SL L 193, 19.7.2016., str. 1.).</w:t>
            </w:r>
          </w:p>
        </w:tc>
        <w:tc>
          <w:tcPr>
            <w:tcW w:w="4876" w:type="dxa"/>
          </w:tcPr>
          <w:p w:rsidR="00C31502" w:rsidRPr="00473BC2" w:rsidRDefault="00C31502" w:rsidP="00B13675">
            <w:pPr>
              <w:pStyle w:val="Normal6a"/>
            </w:pPr>
            <w:r w:rsidRPr="00473BC2">
              <w:rPr>
                <w:vertAlign w:val="superscript"/>
              </w:rPr>
              <w:lastRenderedPageBreak/>
              <w:t>35</w:t>
            </w:r>
            <w:r w:rsidRPr="00473BC2">
              <w:t xml:space="preserve"> Direktiva Vijeća (EU) 2016/1164 od </w:t>
            </w:r>
            <w:r w:rsidRPr="00473BC2">
              <w:lastRenderedPageBreak/>
              <w:t>12. srpnja 2016. o utvrđivanju pravila protiv praksi izbjegavanja poreza kojima se izravno utječe na funkcioniranje unutarnjeg tržišta (SL L 193, 19.7.2016., str. 1.).</w:t>
            </w:r>
          </w:p>
        </w:tc>
      </w:tr>
    </w:tbl>
    <w:p w:rsidR="00C31502" w:rsidRPr="00473BC2" w:rsidRDefault="00C31502" w:rsidP="00C31502"/>
    <w:p w:rsidR="00C31502" w:rsidRPr="00473BC2" w:rsidRDefault="00C31502" w:rsidP="00C31502">
      <w:pPr>
        <w:pStyle w:val="AmNumberTabs"/>
        <w:keepNext/>
      </w:pPr>
      <w:r w:rsidRPr="00473BC2">
        <w:t>Amandman</w:t>
      </w:r>
      <w:r w:rsidRPr="00473BC2">
        <w:tab/>
      </w:r>
      <w:r w:rsidRPr="00473BC2">
        <w:tab/>
        <w:t>23</w:t>
      </w:r>
    </w:p>
    <w:p w:rsidR="00C31502" w:rsidRPr="00473BC2" w:rsidRDefault="00C31502" w:rsidP="00C31502">
      <w:pPr>
        <w:pStyle w:val="NormalBold12b"/>
        <w:keepNext/>
      </w:pPr>
      <w:r w:rsidRPr="00473BC2">
        <w:t>Prijedlog direktive</w:t>
      </w:r>
    </w:p>
    <w:p w:rsidR="00C31502" w:rsidRPr="00473BC2" w:rsidRDefault="00C31502" w:rsidP="00C31502">
      <w:pPr>
        <w:pStyle w:val="NormalBold"/>
        <w:keepNext/>
      </w:pPr>
      <w:r w:rsidRPr="00473BC2">
        <w:t>Članak 6. – stavak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31502" w:rsidRPr="00473BC2" w:rsidTr="00B13675">
        <w:trPr>
          <w:jc w:val="center"/>
        </w:trPr>
        <w:tc>
          <w:tcPr>
            <w:tcW w:w="9752" w:type="dxa"/>
            <w:gridSpan w:val="2"/>
          </w:tcPr>
          <w:p w:rsidR="00C31502" w:rsidRPr="00473BC2" w:rsidRDefault="00C31502" w:rsidP="00B13675">
            <w:pPr>
              <w:keepNext/>
            </w:pPr>
          </w:p>
        </w:tc>
      </w:tr>
      <w:tr w:rsidR="00C31502" w:rsidRPr="00473BC2" w:rsidTr="00B13675">
        <w:trPr>
          <w:jc w:val="center"/>
        </w:trPr>
        <w:tc>
          <w:tcPr>
            <w:tcW w:w="4876" w:type="dxa"/>
          </w:tcPr>
          <w:p w:rsidR="00C31502" w:rsidRPr="00473BC2" w:rsidRDefault="00C31502" w:rsidP="00B13675">
            <w:pPr>
              <w:pStyle w:val="AmColumnHeading"/>
              <w:keepNext/>
            </w:pPr>
            <w:r w:rsidRPr="00473BC2">
              <w:t>Tekst koji je predložila Komisija</w:t>
            </w:r>
          </w:p>
        </w:tc>
        <w:tc>
          <w:tcPr>
            <w:tcW w:w="4876" w:type="dxa"/>
          </w:tcPr>
          <w:p w:rsidR="00C31502" w:rsidRPr="00473BC2" w:rsidRDefault="00C31502" w:rsidP="00B13675">
            <w:pPr>
              <w:pStyle w:val="AmColumnHeading"/>
              <w:keepNext/>
            </w:pPr>
            <w:r w:rsidRPr="00473BC2">
              <w:t>Izmjena</w:t>
            </w:r>
          </w:p>
        </w:tc>
      </w:tr>
      <w:tr w:rsidR="00C31502" w:rsidRPr="00473BC2" w:rsidTr="00B13675">
        <w:trPr>
          <w:jc w:val="center"/>
        </w:trPr>
        <w:tc>
          <w:tcPr>
            <w:tcW w:w="4876" w:type="dxa"/>
          </w:tcPr>
          <w:p w:rsidR="00C31502" w:rsidRPr="00473BC2" w:rsidRDefault="00C31502" w:rsidP="00B13675">
            <w:pPr>
              <w:pStyle w:val="Normal6a"/>
            </w:pPr>
            <w:r w:rsidRPr="00473BC2">
              <w:t>2.</w:t>
            </w:r>
            <w:r w:rsidRPr="00473BC2">
              <w:tab/>
              <w:t xml:space="preserve">Stavak 1. primjenjuje se na prekoračene troškove zaduživanja nastale od </w:t>
            </w:r>
            <w:r w:rsidRPr="00473BC2">
              <w:rPr>
                <w:b/>
                <w:i/>
              </w:rPr>
              <w:t>[Ured za publikacije: unijeti datum stupanja na snagu ove Direktive]</w:t>
            </w:r>
            <w:r w:rsidRPr="00473BC2">
              <w:t xml:space="preserve">. </w:t>
            </w:r>
          </w:p>
        </w:tc>
        <w:tc>
          <w:tcPr>
            <w:tcW w:w="4876" w:type="dxa"/>
          </w:tcPr>
          <w:p w:rsidR="00C31502" w:rsidRPr="00473BC2" w:rsidRDefault="00C31502" w:rsidP="00B13675">
            <w:pPr>
              <w:pStyle w:val="Normal6a"/>
            </w:pPr>
            <w:r w:rsidRPr="00473BC2">
              <w:t>2.</w:t>
            </w:r>
            <w:r w:rsidRPr="00473BC2">
              <w:tab/>
              <w:t xml:space="preserve">Stavak 1. primjenjuje se na prekoračene troškove zaduživanja nastale od </w:t>
            </w:r>
            <w:r w:rsidRPr="00473BC2">
              <w:rPr>
                <w:b/>
                <w:i/>
              </w:rPr>
              <w:t>1. siječnja 2027</w:t>
            </w:r>
            <w:r w:rsidRPr="00473BC2">
              <w:t>.</w:t>
            </w:r>
          </w:p>
        </w:tc>
      </w:tr>
    </w:tbl>
    <w:p w:rsidR="00C31502" w:rsidRPr="00473BC2" w:rsidRDefault="00C31502" w:rsidP="00C31502"/>
    <w:p w:rsidR="00C31502" w:rsidRPr="00473BC2" w:rsidRDefault="00C31502" w:rsidP="00C31502">
      <w:pPr>
        <w:pStyle w:val="AmNumberTabs"/>
      </w:pPr>
      <w:r w:rsidRPr="00473BC2">
        <w:t>Amandman</w:t>
      </w:r>
      <w:r w:rsidRPr="00473BC2">
        <w:tab/>
      </w:r>
      <w:r w:rsidRPr="00473BC2">
        <w:tab/>
        <w:t>24</w:t>
      </w:r>
    </w:p>
    <w:p w:rsidR="00C31502" w:rsidRPr="00473BC2" w:rsidRDefault="00C31502" w:rsidP="00C31502">
      <w:pPr>
        <w:pStyle w:val="NormalBold12b"/>
      </w:pPr>
      <w:r w:rsidRPr="00473BC2">
        <w:t>Prijedlog direktive</w:t>
      </w:r>
    </w:p>
    <w:p w:rsidR="00C31502" w:rsidRPr="00473BC2" w:rsidRDefault="00C31502" w:rsidP="00C31502">
      <w:pPr>
        <w:pStyle w:val="NormalBold"/>
      </w:pPr>
      <w:r w:rsidRPr="00473BC2">
        <w:t>Članak 7. – stavak 1. – točka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502" w:rsidRPr="00473BC2" w:rsidTr="00B13675">
        <w:trPr>
          <w:trHeight w:hRule="exact" w:val="240"/>
          <w:jc w:val="center"/>
        </w:trPr>
        <w:tc>
          <w:tcPr>
            <w:tcW w:w="9752" w:type="dxa"/>
            <w:gridSpan w:val="2"/>
          </w:tcPr>
          <w:p w:rsidR="00C31502" w:rsidRPr="00473BC2" w:rsidRDefault="00C31502" w:rsidP="00B13675"/>
        </w:tc>
      </w:tr>
      <w:tr w:rsidR="00C31502" w:rsidRPr="00473BC2" w:rsidTr="00B13675">
        <w:trPr>
          <w:trHeight w:val="240"/>
          <w:jc w:val="center"/>
        </w:trPr>
        <w:tc>
          <w:tcPr>
            <w:tcW w:w="4876" w:type="dxa"/>
          </w:tcPr>
          <w:p w:rsidR="00C31502" w:rsidRPr="00473BC2" w:rsidRDefault="00C31502" w:rsidP="00B13675">
            <w:pPr>
              <w:pStyle w:val="AmColumnHeading"/>
            </w:pPr>
            <w:r w:rsidRPr="00473BC2">
              <w:t>Tekst koji je predložila Komisija</w:t>
            </w:r>
          </w:p>
        </w:tc>
        <w:tc>
          <w:tcPr>
            <w:tcW w:w="4876" w:type="dxa"/>
          </w:tcPr>
          <w:p w:rsidR="00C31502" w:rsidRPr="00473BC2" w:rsidRDefault="00C31502" w:rsidP="00B13675">
            <w:pPr>
              <w:pStyle w:val="AmColumnHeading"/>
            </w:pPr>
            <w:r w:rsidRPr="00473BC2">
              <w:t>Izmjena</w:t>
            </w:r>
          </w:p>
        </w:tc>
      </w:tr>
      <w:tr w:rsidR="00C31502" w:rsidRPr="00473BC2" w:rsidTr="00B13675">
        <w:trPr>
          <w:jc w:val="center"/>
        </w:trPr>
        <w:tc>
          <w:tcPr>
            <w:tcW w:w="4876" w:type="dxa"/>
          </w:tcPr>
          <w:p w:rsidR="00C31502" w:rsidRPr="00473BC2" w:rsidRDefault="00C31502" w:rsidP="00B13675">
            <w:pPr>
              <w:pStyle w:val="Normal6a"/>
            </w:pPr>
            <w:r w:rsidRPr="00473BC2">
              <w:t>(b)</w:t>
            </w:r>
            <w:r w:rsidRPr="00473BC2">
              <w:tab/>
              <w:t>broj MSP-ova koji su ostvarili korist od olakšice u poreznom razdoblju, uključujući kao postotak ukupnog broja MSP-ova obuhvaćenih područjem primjene ove Direktive i broj MSP-ova koji su ostvarili korist od olakšice, a koji su dio velikih grupa u smislu članka 3. stavka 7. Direktive 2013/34/EU;</w:t>
            </w:r>
          </w:p>
        </w:tc>
        <w:tc>
          <w:tcPr>
            <w:tcW w:w="4876" w:type="dxa"/>
          </w:tcPr>
          <w:p w:rsidR="00C31502" w:rsidRPr="00473BC2" w:rsidRDefault="00C31502" w:rsidP="00B13675">
            <w:pPr>
              <w:pStyle w:val="Normal6a"/>
            </w:pPr>
            <w:r w:rsidRPr="00473BC2">
              <w:t>(b)</w:t>
            </w:r>
            <w:r w:rsidRPr="00473BC2">
              <w:tab/>
              <w:t xml:space="preserve">broj MSP-ova </w:t>
            </w:r>
            <w:r w:rsidRPr="00473BC2">
              <w:rPr>
                <w:b/>
                <w:i/>
              </w:rPr>
              <w:t xml:space="preserve">i srednjih grupa </w:t>
            </w:r>
            <w:r w:rsidRPr="00473BC2">
              <w:t>koji su ostvarili korist od olakšice u poreznom razdoblju, uključujući kao postotak ukupnog broja MSP-ova</w:t>
            </w:r>
            <w:r w:rsidRPr="00473BC2">
              <w:rPr>
                <w:b/>
                <w:i/>
              </w:rPr>
              <w:t xml:space="preserve"> i srednjih grupa</w:t>
            </w:r>
            <w:r w:rsidRPr="00473BC2">
              <w:t xml:space="preserve"> obuhvaćenih područjem primjene ove Direktive i broj MSP-ova koji su ostvarili korist od olakšice, a koji su dio velikih grupa u smislu članka 3. stavka 7. Direktive 2013/34/EU;</w:t>
            </w:r>
          </w:p>
        </w:tc>
      </w:tr>
    </w:tbl>
    <w:p w:rsidR="00C31502" w:rsidRPr="00473BC2" w:rsidRDefault="00C31502" w:rsidP="00C31502"/>
    <w:p w:rsidR="00C31502" w:rsidRPr="00473BC2" w:rsidRDefault="00C31502" w:rsidP="00C31502">
      <w:pPr>
        <w:pStyle w:val="AmNumberTabs"/>
        <w:keepNext/>
      </w:pPr>
      <w:r w:rsidRPr="00473BC2">
        <w:t>Amandman</w:t>
      </w:r>
      <w:r w:rsidRPr="00473BC2">
        <w:tab/>
      </w:r>
      <w:r w:rsidRPr="00473BC2">
        <w:tab/>
        <w:t>25</w:t>
      </w:r>
    </w:p>
    <w:p w:rsidR="00C31502" w:rsidRPr="00473BC2" w:rsidRDefault="00C31502" w:rsidP="00C31502">
      <w:pPr>
        <w:pStyle w:val="NormalBold12b"/>
        <w:keepNext/>
      </w:pPr>
      <w:r w:rsidRPr="00473BC2">
        <w:t>Prijedlog direktive</w:t>
      </w:r>
    </w:p>
    <w:p w:rsidR="00C31502" w:rsidRPr="00473BC2" w:rsidRDefault="00C31502" w:rsidP="00C31502">
      <w:pPr>
        <w:pStyle w:val="NormalBold"/>
        <w:keepNext/>
      </w:pPr>
      <w:r w:rsidRPr="00473BC2">
        <w:t>Članak 8. – naslov</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31502" w:rsidRPr="00473BC2" w:rsidTr="00B13675">
        <w:trPr>
          <w:jc w:val="center"/>
        </w:trPr>
        <w:tc>
          <w:tcPr>
            <w:tcW w:w="9752" w:type="dxa"/>
            <w:gridSpan w:val="2"/>
          </w:tcPr>
          <w:p w:rsidR="00C31502" w:rsidRPr="00473BC2" w:rsidRDefault="00C31502" w:rsidP="00B13675">
            <w:pPr>
              <w:keepNext/>
            </w:pPr>
          </w:p>
        </w:tc>
      </w:tr>
      <w:tr w:rsidR="00C31502" w:rsidRPr="00473BC2" w:rsidTr="00B13675">
        <w:trPr>
          <w:jc w:val="center"/>
        </w:trPr>
        <w:tc>
          <w:tcPr>
            <w:tcW w:w="4876" w:type="dxa"/>
          </w:tcPr>
          <w:p w:rsidR="00C31502" w:rsidRPr="00473BC2" w:rsidRDefault="00C31502" w:rsidP="00B13675">
            <w:pPr>
              <w:pStyle w:val="AmColumnHeading"/>
              <w:keepNext/>
            </w:pPr>
            <w:r w:rsidRPr="00473BC2">
              <w:t>Tekst koji je predložila Komisija</w:t>
            </w:r>
          </w:p>
        </w:tc>
        <w:tc>
          <w:tcPr>
            <w:tcW w:w="4876" w:type="dxa"/>
          </w:tcPr>
          <w:p w:rsidR="00C31502" w:rsidRPr="00473BC2" w:rsidRDefault="00C31502" w:rsidP="00B13675">
            <w:pPr>
              <w:pStyle w:val="AmColumnHeading"/>
              <w:keepNext/>
            </w:pPr>
            <w:r w:rsidRPr="00473BC2">
              <w:t>Izmjena</w:t>
            </w:r>
          </w:p>
        </w:tc>
      </w:tr>
      <w:tr w:rsidR="00C31502" w:rsidRPr="00473BC2" w:rsidTr="00B13675">
        <w:trPr>
          <w:jc w:val="center"/>
        </w:trPr>
        <w:tc>
          <w:tcPr>
            <w:tcW w:w="4876" w:type="dxa"/>
          </w:tcPr>
          <w:p w:rsidR="00C31502" w:rsidRPr="00473BC2" w:rsidRDefault="00C31502" w:rsidP="00B13675">
            <w:pPr>
              <w:pStyle w:val="Normal6a"/>
            </w:pPr>
            <w:r w:rsidRPr="00473BC2">
              <w:t>Izvješća</w:t>
            </w:r>
          </w:p>
        </w:tc>
        <w:tc>
          <w:tcPr>
            <w:tcW w:w="4876" w:type="dxa"/>
          </w:tcPr>
          <w:p w:rsidR="00C31502" w:rsidRPr="00473BC2" w:rsidRDefault="00C31502" w:rsidP="00B13675">
            <w:pPr>
              <w:pStyle w:val="Normal6a"/>
              <w:rPr>
                <w:b/>
                <w:i/>
              </w:rPr>
            </w:pPr>
            <w:r w:rsidRPr="00473BC2">
              <w:t>Izvješća</w:t>
            </w:r>
            <w:r w:rsidRPr="00473BC2">
              <w:rPr>
                <w:b/>
                <w:i/>
              </w:rPr>
              <w:t xml:space="preserve"> i preispitivanje</w:t>
            </w:r>
          </w:p>
        </w:tc>
      </w:tr>
    </w:tbl>
    <w:p w:rsidR="00C31502" w:rsidRPr="00473BC2" w:rsidRDefault="00C31502" w:rsidP="00C31502"/>
    <w:p w:rsidR="00C31502" w:rsidRPr="00473BC2" w:rsidRDefault="00C31502" w:rsidP="00C31502">
      <w:pPr>
        <w:pStyle w:val="AmNumberTabs"/>
        <w:keepNext/>
      </w:pPr>
      <w:r w:rsidRPr="00473BC2">
        <w:lastRenderedPageBreak/>
        <w:t>Amandman</w:t>
      </w:r>
      <w:r w:rsidRPr="00473BC2">
        <w:tab/>
      </w:r>
      <w:r w:rsidRPr="00473BC2">
        <w:tab/>
        <w:t>26</w:t>
      </w:r>
    </w:p>
    <w:p w:rsidR="00C31502" w:rsidRPr="00473BC2" w:rsidRDefault="00C31502" w:rsidP="00C31502">
      <w:pPr>
        <w:pStyle w:val="NormalBold12b"/>
        <w:keepNext/>
      </w:pPr>
      <w:r w:rsidRPr="00473BC2">
        <w:t>Prijedlog direktive</w:t>
      </w:r>
    </w:p>
    <w:p w:rsidR="00C31502" w:rsidRPr="00473BC2" w:rsidRDefault="00C31502" w:rsidP="00C31502">
      <w:pPr>
        <w:pStyle w:val="NormalBold"/>
        <w:keepNext/>
      </w:pPr>
      <w:r w:rsidRPr="00473BC2">
        <w:t>Članak 8. – stavak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31502" w:rsidRPr="00473BC2" w:rsidTr="00B13675">
        <w:trPr>
          <w:jc w:val="center"/>
        </w:trPr>
        <w:tc>
          <w:tcPr>
            <w:tcW w:w="9752" w:type="dxa"/>
            <w:gridSpan w:val="2"/>
          </w:tcPr>
          <w:p w:rsidR="00C31502" w:rsidRPr="00473BC2" w:rsidRDefault="00C31502" w:rsidP="00B13675">
            <w:pPr>
              <w:keepNext/>
            </w:pPr>
          </w:p>
        </w:tc>
      </w:tr>
      <w:tr w:rsidR="00C31502" w:rsidRPr="00473BC2" w:rsidTr="00B13675">
        <w:trPr>
          <w:jc w:val="center"/>
        </w:trPr>
        <w:tc>
          <w:tcPr>
            <w:tcW w:w="4876" w:type="dxa"/>
          </w:tcPr>
          <w:p w:rsidR="00C31502" w:rsidRPr="00473BC2" w:rsidRDefault="00C31502" w:rsidP="00B13675">
            <w:pPr>
              <w:pStyle w:val="AmColumnHeading"/>
              <w:keepNext/>
            </w:pPr>
            <w:r w:rsidRPr="00473BC2">
              <w:t>Tekst koji je predložila Komisija</w:t>
            </w:r>
          </w:p>
        </w:tc>
        <w:tc>
          <w:tcPr>
            <w:tcW w:w="4876" w:type="dxa"/>
          </w:tcPr>
          <w:p w:rsidR="00C31502" w:rsidRPr="00473BC2" w:rsidRDefault="00C31502" w:rsidP="00B13675">
            <w:pPr>
              <w:pStyle w:val="AmColumnHeading"/>
              <w:keepNext/>
            </w:pPr>
            <w:r w:rsidRPr="00473BC2">
              <w:t>Izmjena</w:t>
            </w:r>
          </w:p>
        </w:tc>
      </w:tr>
      <w:tr w:rsidR="00C31502" w:rsidRPr="00473BC2" w:rsidTr="00B13675">
        <w:trPr>
          <w:jc w:val="center"/>
        </w:trPr>
        <w:tc>
          <w:tcPr>
            <w:tcW w:w="4876" w:type="dxa"/>
          </w:tcPr>
          <w:p w:rsidR="00C31502" w:rsidRPr="00473BC2" w:rsidRDefault="00C31502" w:rsidP="00B13675">
            <w:pPr>
              <w:pStyle w:val="Normal6a"/>
            </w:pPr>
            <w:r w:rsidRPr="00473BC2">
              <w:t>1.</w:t>
            </w:r>
            <w:r w:rsidRPr="00473BC2">
              <w:tab/>
              <w:t>Komisija podnosi izvješće o provedbi ove Direktive Europskom parlamentu i Vijeću do 31. prosinca </w:t>
            </w:r>
            <w:r w:rsidRPr="00473BC2">
              <w:rPr>
                <w:b/>
                <w:i/>
              </w:rPr>
              <w:t>2027</w:t>
            </w:r>
            <w:r w:rsidRPr="00473BC2">
              <w:t>.</w:t>
            </w:r>
          </w:p>
        </w:tc>
        <w:tc>
          <w:tcPr>
            <w:tcW w:w="4876" w:type="dxa"/>
          </w:tcPr>
          <w:p w:rsidR="00C31502" w:rsidRPr="00473BC2" w:rsidRDefault="00C31502" w:rsidP="00B13675">
            <w:pPr>
              <w:pStyle w:val="Normal6a"/>
              <w:rPr>
                <w:b/>
                <w:i/>
              </w:rPr>
            </w:pPr>
            <w:r w:rsidRPr="00473BC2">
              <w:t>1.</w:t>
            </w:r>
            <w:r w:rsidRPr="00473BC2">
              <w:tab/>
              <w:t xml:space="preserve">Komisija podnosi izvješće o provedbi </w:t>
            </w:r>
            <w:r w:rsidRPr="00473BC2">
              <w:rPr>
                <w:b/>
                <w:i/>
              </w:rPr>
              <w:t xml:space="preserve">i učinku </w:t>
            </w:r>
            <w:r w:rsidRPr="00473BC2">
              <w:t>ove Direktive Europskom parlamentu i Vijeću do 31. prosinca </w:t>
            </w:r>
            <w:r w:rsidRPr="00473BC2">
              <w:rPr>
                <w:b/>
                <w:i/>
              </w:rPr>
              <w:t>2028. te mu prema potrebi prilaže zakonodavni prijedlog za izmjenu ove Direktive</w:t>
            </w:r>
            <w:r w:rsidRPr="00473BC2">
              <w:t>.</w:t>
            </w:r>
          </w:p>
        </w:tc>
      </w:tr>
      <w:tr w:rsidR="00C31502" w:rsidRPr="00473BC2" w:rsidTr="00B13675">
        <w:trPr>
          <w:jc w:val="center"/>
        </w:trPr>
        <w:tc>
          <w:tcPr>
            <w:tcW w:w="4876" w:type="dxa"/>
          </w:tcPr>
          <w:p w:rsidR="00C31502" w:rsidRPr="00473BC2" w:rsidRDefault="00C31502" w:rsidP="00B13675">
            <w:pPr>
              <w:pStyle w:val="Normal6a"/>
            </w:pPr>
          </w:p>
        </w:tc>
        <w:tc>
          <w:tcPr>
            <w:tcW w:w="4876" w:type="dxa"/>
          </w:tcPr>
          <w:p w:rsidR="00C31502" w:rsidRPr="00473BC2" w:rsidRDefault="00C31502" w:rsidP="00B13675">
            <w:pPr>
              <w:pStyle w:val="Normal6a"/>
              <w:rPr>
                <w:b/>
                <w:i/>
              </w:rPr>
            </w:pPr>
            <w:r w:rsidRPr="00473BC2">
              <w:rPr>
                <w:b/>
                <w:i/>
              </w:rPr>
              <w:t>U tom se izvješću ocjenjuje učinak ove Direktive, pri čemu se posebna pozornost posvećuje sljedećem:</w:t>
            </w:r>
          </w:p>
        </w:tc>
      </w:tr>
      <w:tr w:rsidR="00C31502" w:rsidRPr="00473BC2" w:rsidTr="00B13675">
        <w:trPr>
          <w:jc w:val="center"/>
        </w:trPr>
        <w:tc>
          <w:tcPr>
            <w:tcW w:w="4876" w:type="dxa"/>
          </w:tcPr>
          <w:p w:rsidR="00C31502" w:rsidRPr="00473BC2" w:rsidRDefault="00C31502" w:rsidP="00B13675">
            <w:pPr>
              <w:pStyle w:val="Normal6a"/>
            </w:pPr>
          </w:p>
        </w:tc>
        <w:tc>
          <w:tcPr>
            <w:tcW w:w="4876" w:type="dxa"/>
          </w:tcPr>
          <w:p w:rsidR="00C31502" w:rsidRPr="00473BC2" w:rsidRDefault="00C31502" w:rsidP="00B13675">
            <w:pPr>
              <w:pStyle w:val="Normal6a"/>
              <w:rPr>
                <w:b/>
                <w:i/>
              </w:rPr>
            </w:pPr>
            <w:r w:rsidRPr="00473BC2">
              <w:rPr>
                <w:b/>
                <w:i/>
              </w:rPr>
              <w:t xml:space="preserve">(a) </w:t>
            </w:r>
            <w:r w:rsidRPr="00473BC2">
              <w:tab/>
            </w:r>
            <w:r w:rsidRPr="00473BC2">
              <w:rPr>
                <w:b/>
                <w:i/>
              </w:rPr>
              <w:t xml:space="preserve">MSP-ovima, pri čemu se osobito ocjenjuje jesu li se posebni uvjeti koji su na raspolaganju MSP-ovima pokazali dostatnima kako bi im povećali privlačnost financiranja vlasničkim kapitalom; </w:t>
            </w:r>
          </w:p>
        </w:tc>
      </w:tr>
      <w:tr w:rsidR="00C31502" w:rsidRPr="00473BC2" w:rsidTr="00B13675">
        <w:trPr>
          <w:jc w:val="center"/>
        </w:trPr>
        <w:tc>
          <w:tcPr>
            <w:tcW w:w="4876" w:type="dxa"/>
          </w:tcPr>
          <w:p w:rsidR="00C31502" w:rsidRPr="00473BC2" w:rsidRDefault="00C31502" w:rsidP="00B13675">
            <w:pPr>
              <w:pStyle w:val="Normal6a"/>
            </w:pPr>
          </w:p>
        </w:tc>
        <w:tc>
          <w:tcPr>
            <w:tcW w:w="4876" w:type="dxa"/>
          </w:tcPr>
          <w:p w:rsidR="00C31502" w:rsidRPr="00473BC2" w:rsidRDefault="00C31502" w:rsidP="00B13675">
            <w:pPr>
              <w:pStyle w:val="Normal6a"/>
              <w:rPr>
                <w:b/>
                <w:i/>
              </w:rPr>
            </w:pPr>
            <w:r w:rsidRPr="00473BC2">
              <w:rPr>
                <w:b/>
                <w:i/>
              </w:rPr>
              <w:t xml:space="preserve">(b) </w:t>
            </w:r>
            <w:r w:rsidRPr="00473BC2">
              <w:tab/>
            </w:r>
            <w:r w:rsidRPr="00473BC2">
              <w:rPr>
                <w:b/>
                <w:i/>
              </w:rPr>
              <w:t>ograničenju odbitka kamata, naročito u pogledu učinka iznosa (a) iz članka 6. stavka 1. na fiskalne prihode država članica;</w:t>
            </w:r>
          </w:p>
        </w:tc>
      </w:tr>
      <w:tr w:rsidR="00C31502" w:rsidRPr="00473BC2" w:rsidTr="00B13675">
        <w:trPr>
          <w:jc w:val="center"/>
        </w:trPr>
        <w:tc>
          <w:tcPr>
            <w:tcW w:w="4876" w:type="dxa"/>
          </w:tcPr>
          <w:p w:rsidR="00C31502" w:rsidRPr="00473BC2" w:rsidRDefault="00C31502" w:rsidP="00B13675">
            <w:pPr>
              <w:pStyle w:val="Normal6a"/>
            </w:pPr>
          </w:p>
        </w:tc>
        <w:tc>
          <w:tcPr>
            <w:tcW w:w="4876" w:type="dxa"/>
          </w:tcPr>
          <w:p w:rsidR="00C31502" w:rsidRPr="00473BC2" w:rsidRDefault="00C31502" w:rsidP="00B13675">
            <w:pPr>
              <w:pStyle w:val="Normal6a"/>
              <w:rPr>
                <w:b/>
                <w:i/>
              </w:rPr>
            </w:pPr>
            <w:r w:rsidRPr="00473BC2">
              <w:rPr>
                <w:b/>
                <w:i/>
              </w:rPr>
              <w:t xml:space="preserve">(c) </w:t>
            </w:r>
            <w:r w:rsidRPr="00473BC2">
              <w:tab/>
            </w:r>
            <w:r w:rsidRPr="00473BC2">
              <w:rPr>
                <w:b/>
                <w:i/>
              </w:rPr>
              <w:t>povezanosti sa zakonodavnim aktima u području poreza na dobit, odnosno direktivom kojom se osigurava minimalna efektivna porezna stopa za globalne aktivnosti velikih multinacionalnih skupina i direktivom o okviru za oporezivanje dobiti u Europi (BEFIT).</w:t>
            </w:r>
          </w:p>
        </w:tc>
      </w:tr>
    </w:tbl>
    <w:p w:rsidR="00C31502" w:rsidRPr="00473BC2" w:rsidRDefault="00C31502" w:rsidP="00C31502"/>
    <w:p w:rsidR="00C31502" w:rsidRPr="00473BC2" w:rsidRDefault="00C31502" w:rsidP="00C31502">
      <w:pPr>
        <w:pStyle w:val="AmNumberTabs"/>
      </w:pPr>
      <w:r w:rsidRPr="00473BC2">
        <w:t>Amandman</w:t>
      </w:r>
      <w:r w:rsidRPr="00473BC2">
        <w:tab/>
      </w:r>
      <w:r w:rsidRPr="00473BC2">
        <w:tab/>
        <w:t>27</w:t>
      </w:r>
    </w:p>
    <w:p w:rsidR="00C31502" w:rsidRPr="00473BC2" w:rsidRDefault="00C31502" w:rsidP="00C31502">
      <w:pPr>
        <w:pStyle w:val="NormalBold12b"/>
      </w:pPr>
      <w:r w:rsidRPr="00473BC2">
        <w:t>Prijedlog direktive</w:t>
      </w:r>
    </w:p>
    <w:p w:rsidR="00C31502" w:rsidRPr="00473BC2" w:rsidRDefault="00C31502" w:rsidP="00C31502">
      <w:pPr>
        <w:pStyle w:val="NormalBold"/>
      </w:pPr>
      <w:r w:rsidRPr="00473BC2">
        <w:t>Članak 11. – stavak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502" w:rsidRPr="00473BC2" w:rsidTr="00B13675">
        <w:trPr>
          <w:trHeight w:hRule="exact" w:val="240"/>
          <w:jc w:val="center"/>
        </w:trPr>
        <w:tc>
          <w:tcPr>
            <w:tcW w:w="9752" w:type="dxa"/>
            <w:gridSpan w:val="2"/>
          </w:tcPr>
          <w:p w:rsidR="00C31502" w:rsidRPr="00473BC2" w:rsidRDefault="00C31502" w:rsidP="00B13675"/>
        </w:tc>
      </w:tr>
      <w:tr w:rsidR="00C31502" w:rsidRPr="00473BC2" w:rsidTr="00B13675">
        <w:trPr>
          <w:trHeight w:val="240"/>
          <w:jc w:val="center"/>
        </w:trPr>
        <w:tc>
          <w:tcPr>
            <w:tcW w:w="4876" w:type="dxa"/>
          </w:tcPr>
          <w:p w:rsidR="00C31502" w:rsidRPr="00473BC2" w:rsidRDefault="00C31502" w:rsidP="00B13675">
            <w:pPr>
              <w:pStyle w:val="AmColumnHeading"/>
            </w:pPr>
            <w:r w:rsidRPr="00473BC2">
              <w:t>Tekst koji je predložila Komisija</w:t>
            </w:r>
          </w:p>
        </w:tc>
        <w:tc>
          <w:tcPr>
            <w:tcW w:w="4876" w:type="dxa"/>
          </w:tcPr>
          <w:p w:rsidR="00C31502" w:rsidRPr="00473BC2" w:rsidRDefault="00C31502" w:rsidP="00B13675">
            <w:pPr>
              <w:pStyle w:val="AmColumnHeading"/>
            </w:pPr>
            <w:r w:rsidRPr="00473BC2">
              <w:t>Izmjena</w:t>
            </w:r>
          </w:p>
        </w:tc>
      </w:tr>
      <w:tr w:rsidR="00C31502" w:rsidRPr="00473BC2" w:rsidTr="00B13675">
        <w:trPr>
          <w:jc w:val="center"/>
        </w:trPr>
        <w:tc>
          <w:tcPr>
            <w:tcW w:w="4876" w:type="dxa"/>
          </w:tcPr>
          <w:p w:rsidR="00C31502" w:rsidRPr="00473BC2" w:rsidRDefault="00C31502" w:rsidP="00B13675">
            <w:pPr>
              <w:pStyle w:val="Normal6a"/>
            </w:pPr>
            <w:r w:rsidRPr="00473BC2">
              <w:t>2.</w:t>
            </w:r>
            <w:r w:rsidRPr="00473BC2">
              <w:tab/>
              <w:t xml:space="preserve">Države članice mogu odgoditi primjenu odredaba ove Direktive na porezne obveznike koji na dan [1. siječnja 2024.] imaju koristi od olakšice za vlasnički kapital u skladu s nacionalnim pravom za razdoblje od najviše </w:t>
            </w:r>
            <w:r w:rsidRPr="00473BC2">
              <w:rPr>
                <w:b/>
                <w:i/>
              </w:rPr>
              <w:t>10</w:t>
            </w:r>
            <w:r w:rsidRPr="00473BC2">
              <w:t xml:space="preserve"> godina i </w:t>
            </w:r>
            <w:r w:rsidRPr="00473BC2">
              <w:lastRenderedPageBreak/>
              <w:t>ni u kojem slučaju za razdoblje dulje od trajanja korištenja olakšice u skladu s nacionalnim pravom.</w:t>
            </w:r>
          </w:p>
        </w:tc>
        <w:tc>
          <w:tcPr>
            <w:tcW w:w="4876" w:type="dxa"/>
          </w:tcPr>
          <w:p w:rsidR="00C31502" w:rsidRPr="00473BC2" w:rsidRDefault="00C31502" w:rsidP="00B13675">
            <w:pPr>
              <w:pStyle w:val="Normal6a"/>
            </w:pPr>
            <w:r w:rsidRPr="00473BC2">
              <w:lastRenderedPageBreak/>
              <w:t>2.</w:t>
            </w:r>
            <w:r w:rsidRPr="00473BC2">
              <w:tab/>
              <w:t xml:space="preserve">Države članice mogu odgoditi primjenu odredaba ove Direktive na porezne obveznike koji na dan [1. siječnja 2024.] imaju koristi od olakšice za vlasnički kapital u skladu s nacionalnim pravom za razdoblje od najviše </w:t>
            </w:r>
            <w:r w:rsidRPr="00473BC2">
              <w:rPr>
                <w:b/>
                <w:i/>
              </w:rPr>
              <w:t>pet</w:t>
            </w:r>
            <w:r w:rsidRPr="00473BC2">
              <w:t xml:space="preserve"> godina i </w:t>
            </w:r>
            <w:r w:rsidRPr="00473BC2">
              <w:lastRenderedPageBreak/>
              <w:t>ni u kojem slučaju za razdoblje dulje od trajanja korištenja olakšice u skladu s nacionalnim pravom.</w:t>
            </w:r>
          </w:p>
        </w:tc>
      </w:tr>
    </w:tbl>
    <w:p w:rsidR="00C31502" w:rsidRPr="00473BC2" w:rsidRDefault="00C31502" w:rsidP="00C31502"/>
    <w:p w:rsidR="00C31502" w:rsidRPr="00473BC2" w:rsidRDefault="00C31502" w:rsidP="00C31502">
      <w:pPr>
        <w:pStyle w:val="AmNumberTabs"/>
      </w:pPr>
      <w:r w:rsidRPr="00473BC2">
        <w:t>Amandman</w:t>
      </w:r>
      <w:r w:rsidRPr="00473BC2">
        <w:tab/>
      </w:r>
      <w:r w:rsidRPr="00473BC2">
        <w:tab/>
        <w:t>28</w:t>
      </w:r>
    </w:p>
    <w:p w:rsidR="00C31502" w:rsidRPr="00473BC2" w:rsidRDefault="00C31502" w:rsidP="00C31502">
      <w:pPr>
        <w:pStyle w:val="NormalBold12b"/>
      </w:pPr>
      <w:r w:rsidRPr="00473BC2">
        <w:t>Prijedlog direktive</w:t>
      </w:r>
    </w:p>
    <w:p w:rsidR="00C31502" w:rsidRPr="00473BC2" w:rsidRDefault="00C31502" w:rsidP="00C31502">
      <w:pPr>
        <w:pStyle w:val="NormalBold"/>
      </w:pPr>
      <w:r w:rsidRPr="00473BC2">
        <w:t>Članak 11. – stavak 3.a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1502" w:rsidRPr="00473BC2" w:rsidTr="00B13675">
        <w:trPr>
          <w:trHeight w:hRule="exact" w:val="240"/>
          <w:jc w:val="center"/>
        </w:trPr>
        <w:tc>
          <w:tcPr>
            <w:tcW w:w="9752" w:type="dxa"/>
            <w:gridSpan w:val="2"/>
          </w:tcPr>
          <w:p w:rsidR="00C31502" w:rsidRPr="00473BC2" w:rsidRDefault="00C31502" w:rsidP="00B13675"/>
        </w:tc>
      </w:tr>
      <w:tr w:rsidR="00C31502" w:rsidRPr="00473BC2" w:rsidTr="00B13675">
        <w:trPr>
          <w:trHeight w:val="240"/>
          <w:jc w:val="center"/>
        </w:trPr>
        <w:tc>
          <w:tcPr>
            <w:tcW w:w="4876" w:type="dxa"/>
          </w:tcPr>
          <w:p w:rsidR="00C31502" w:rsidRPr="00473BC2" w:rsidRDefault="00C31502" w:rsidP="00B13675">
            <w:pPr>
              <w:pStyle w:val="AmColumnHeading"/>
            </w:pPr>
            <w:r w:rsidRPr="00473BC2">
              <w:t>Tekst koji je predložila Komisija</w:t>
            </w:r>
          </w:p>
        </w:tc>
        <w:tc>
          <w:tcPr>
            <w:tcW w:w="4876" w:type="dxa"/>
          </w:tcPr>
          <w:p w:rsidR="00C31502" w:rsidRPr="00473BC2" w:rsidRDefault="00C31502" w:rsidP="00B13675">
            <w:pPr>
              <w:pStyle w:val="AmColumnHeading"/>
            </w:pPr>
            <w:r w:rsidRPr="00473BC2">
              <w:t>Izmjena</w:t>
            </w:r>
          </w:p>
        </w:tc>
      </w:tr>
      <w:tr w:rsidR="00C31502" w:rsidRPr="00473BC2" w:rsidTr="00B13675">
        <w:trPr>
          <w:jc w:val="center"/>
        </w:trPr>
        <w:tc>
          <w:tcPr>
            <w:tcW w:w="4876" w:type="dxa"/>
          </w:tcPr>
          <w:p w:rsidR="00C31502" w:rsidRPr="00473BC2" w:rsidRDefault="00C31502" w:rsidP="00B13675">
            <w:pPr>
              <w:pStyle w:val="Normal6a"/>
            </w:pPr>
          </w:p>
        </w:tc>
        <w:tc>
          <w:tcPr>
            <w:tcW w:w="4876" w:type="dxa"/>
          </w:tcPr>
          <w:p w:rsidR="00C31502" w:rsidRPr="00473BC2" w:rsidRDefault="00C31502" w:rsidP="00B13675">
            <w:pPr>
              <w:pStyle w:val="Normal6a"/>
            </w:pPr>
            <w:r w:rsidRPr="00473BC2">
              <w:rPr>
                <w:b/>
                <w:i/>
              </w:rPr>
              <w:t>3.a</w:t>
            </w:r>
            <w:r w:rsidRPr="00473BC2">
              <w:rPr>
                <w:b/>
                <w:i/>
              </w:rPr>
              <w:tab/>
              <w:t>Svaka država članica, prije prenošenja ove Direktive u nacionalno pravo, objavljuje procjenu očekivanih fiskalnih troškova mjera koje treba donijeti i posljedičnog smanjenja efektivne porezne stope za društva te prema potrebi poduzima odgovarajuće mjere za zaštitu poreznih prihoda.</w:t>
            </w:r>
          </w:p>
        </w:tc>
      </w:tr>
    </w:tbl>
    <w:p w:rsidR="00C31502" w:rsidRPr="00473BC2" w:rsidRDefault="00C31502" w:rsidP="00473BC2"/>
    <w:sectPr w:rsidR="00C31502" w:rsidRPr="00473BC2" w:rsidSect="00BF3E78">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5BFF" w:rsidRPr="00BF3E78" w:rsidRDefault="00A65BFF">
      <w:r w:rsidRPr="00BF3E78">
        <w:separator/>
      </w:r>
    </w:p>
  </w:endnote>
  <w:endnote w:type="continuationSeparator" w:id="0">
    <w:p w:rsidR="00A65BFF" w:rsidRPr="00BF3E78" w:rsidRDefault="00A65BFF">
      <w:r w:rsidRPr="00BF3E7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DengXian">
    <w:altName w:val="等线"/>
    <w:panose1 w:val="02010600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F3E7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F3E7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F3E7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5BFF" w:rsidRPr="00BF3E78" w:rsidRDefault="00A65BFF">
      <w:r w:rsidRPr="00BF3E78">
        <w:separator/>
      </w:r>
    </w:p>
  </w:footnote>
  <w:footnote w:type="continuationSeparator" w:id="0">
    <w:p w:rsidR="00A65BFF" w:rsidRPr="00BF3E78" w:rsidRDefault="00A65BFF">
      <w:r w:rsidRPr="00BF3E7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F3E7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F3E7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F3E7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87/2023"/>
    <w:docVar w:name="dvlangue" w:val="HR"/>
    <w:docVar w:name="dvnumam" w:val="28"/>
    <w:docVar w:name="dvpe" w:val="738.463"/>
    <w:docVar w:name="dvrapporteur" w:val="Izvjestitelj: "/>
    <w:docVar w:name="dvstar" w:val="*"/>
    <w:docVar w:name="dvtitre" w:val="Zakonodavna rezolucija Europskog parlamenta od .... 2024. o Prijedlogu direktive Vijeća o utvrđivanju pravila o olakšici za povlašteni porezni tretman duga u oporezivanju trgovačkih društava i o ograničavanju mogućnosti odbitka kamata za potrebe poreza na dobit(COM(2022)0216 – C9-0197/2022 – 2022/0154(CNS))"/>
  </w:docVars>
  <w:rsids>
    <w:rsidRoot w:val="00A65BFF"/>
    <w:rsid w:val="00002272"/>
    <w:rsid w:val="00064002"/>
    <w:rsid w:val="000677B9"/>
    <w:rsid w:val="000831BA"/>
    <w:rsid w:val="000A42CC"/>
    <w:rsid w:val="000E7DD9"/>
    <w:rsid w:val="0010095E"/>
    <w:rsid w:val="00125B37"/>
    <w:rsid w:val="00187494"/>
    <w:rsid w:val="001F32AE"/>
    <w:rsid w:val="00205F55"/>
    <w:rsid w:val="002767FF"/>
    <w:rsid w:val="002B18FE"/>
    <w:rsid w:val="002B5493"/>
    <w:rsid w:val="00343214"/>
    <w:rsid w:val="00361C00"/>
    <w:rsid w:val="00395FA1"/>
    <w:rsid w:val="003E15D4"/>
    <w:rsid w:val="00411CCE"/>
    <w:rsid w:val="0041666E"/>
    <w:rsid w:val="00421060"/>
    <w:rsid w:val="00471C19"/>
    <w:rsid w:val="00473BC2"/>
    <w:rsid w:val="004867E3"/>
    <w:rsid w:val="00494A28"/>
    <w:rsid w:val="004C0004"/>
    <w:rsid w:val="004C5D52"/>
    <w:rsid w:val="0050519A"/>
    <w:rsid w:val="005072A1"/>
    <w:rsid w:val="00514517"/>
    <w:rsid w:val="00545827"/>
    <w:rsid w:val="00560270"/>
    <w:rsid w:val="005C2568"/>
    <w:rsid w:val="006037C0"/>
    <w:rsid w:val="006631B6"/>
    <w:rsid w:val="00680577"/>
    <w:rsid w:val="006F60F4"/>
    <w:rsid w:val="006F74FA"/>
    <w:rsid w:val="00731ADD"/>
    <w:rsid w:val="00734777"/>
    <w:rsid w:val="00747932"/>
    <w:rsid w:val="00751A4A"/>
    <w:rsid w:val="00756632"/>
    <w:rsid w:val="00762C74"/>
    <w:rsid w:val="00776D86"/>
    <w:rsid w:val="00786EC0"/>
    <w:rsid w:val="007D1690"/>
    <w:rsid w:val="007E22AD"/>
    <w:rsid w:val="00803D62"/>
    <w:rsid w:val="00817416"/>
    <w:rsid w:val="00842779"/>
    <w:rsid w:val="00865F67"/>
    <w:rsid w:val="00881A7B"/>
    <w:rsid w:val="008840E5"/>
    <w:rsid w:val="00887B3E"/>
    <w:rsid w:val="008C2AC6"/>
    <w:rsid w:val="00930C23"/>
    <w:rsid w:val="0093193B"/>
    <w:rsid w:val="009509D8"/>
    <w:rsid w:val="00950B64"/>
    <w:rsid w:val="00981893"/>
    <w:rsid w:val="009D385F"/>
    <w:rsid w:val="00A1687D"/>
    <w:rsid w:val="00A43E52"/>
    <w:rsid w:val="00A4678D"/>
    <w:rsid w:val="00A65BFF"/>
    <w:rsid w:val="00A778C7"/>
    <w:rsid w:val="00AB441E"/>
    <w:rsid w:val="00AB6293"/>
    <w:rsid w:val="00AE0928"/>
    <w:rsid w:val="00AF3B82"/>
    <w:rsid w:val="00B12E95"/>
    <w:rsid w:val="00B22876"/>
    <w:rsid w:val="00B51876"/>
    <w:rsid w:val="00B558F0"/>
    <w:rsid w:val="00BD48FE"/>
    <w:rsid w:val="00BD7BD8"/>
    <w:rsid w:val="00BE6ADC"/>
    <w:rsid w:val="00BF3E78"/>
    <w:rsid w:val="00C05BFE"/>
    <w:rsid w:val="00C23CD4"/>
    <w:rsid w:val="00C31502"/>
    <w:rsid w:val="00C61C0C"/>
    <w:rsid w:val="00C941CB"/>
    <w:rsid w:val="00CC2357"/>
    <w:rsid w:val="00CF071A"/>
    <w:rsid w:val="00D058B8"/>
    <w:rsid w:val="00D56C11"/>
    <w:rsid w:val="00D834A0"/>
    <w:rsid w:val="00D872DF"/>
    <w:rsid w:val="00D91E21"/>
    <w:rsid w:val="00DA0768"/>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06A586"/>
  <w15:chartTrackingRefBased/>
  <w15:docId w15:val="{829ADA56-24E0-4A78-9F41-4F0ED048D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31502"/>
    <w:pPr>
      <w:spacing w:before="480" w:after="240"/>
    </w:pPr>
  </w:style>
  <w:style w:type="paragraph" w:customStyle="1" w:styleId="Normal6a">
    <w:name w:val="Normal6a"/>
    <w:basedOn w:val="Normal"/>
    <w:rsid w:val="00C31502"/>
    <w:pPr>
      <w:spacing w:after="120"/>
    </w:pPr>
  </w:style>
  <w:style w:type="paragraph" w:customStyle="1" w:styleId="NormalBold">
    <w:name w:val="NormalBold"/>
    <w:basedOn w:val="Normal"/>
    <w:rsid w:val="00C31502"/>
    <w:rPr>
      <w:b/>
    </w:rPr>
  </w:style>
  <w:style w:type="paragraph" w:customStyle="1" w:styleId="NormalHanging12a">
    <w:name w:val="NormalHanging12a"/>
    <w:basedOn w:val="Normal"/>
    <w:rsid w:val="00C31502"/>
    <w:pPr>
      <w:spacing w:after="240"/>
      <w:ind w:left="567" w:hanging="567"/>
    </w:pPr>
  </w:style>
  <w:style w:type="paragraph" w:customStyle="1" w:styleId="AmColumnHeading">
    <w:name w:val="AmColumnHeading"/>
    <w:basedOn w:val="Normal"/>
    <w:rsid w:val="00C31502"/>
    <w:pPr>
      <w:spacing w:after="240"/>
      <w:jc w:val="center"/>
    </w:pPr>
    <w:rPr>
      <w:i/>
    </w:rPr>
  </w:style>
  <w:style w:type="paragraph" w:customStyle="1" w:styleId="AmNumberTabs">
    <w:name w:val="AmNumberTabs"/>
    <w:basedOn w:val="Normal"/>
    <w:rsid w:val="00C3150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C31502"/>
    <w:pPr>
      <w:spacing w:before="240"/>
    </w:pPr>
    <w:rPr>
      <w:b/>
    </w:rPr>
  </w:style>
  <w:style w:type="character" w:styleId="Hyperlink">
    <w:name w:val="Hyperlink"/>
    <w:basedOn w:val="DefaultParagraphFont"/>
    <w:uiPriority w:val="99"/>
    <w:unhideWhenUsed/>
    <w:rsid w:val="00C31502"/>
    <w:rPr>
      <w:color w:val="0563C1" w:themeColor="hyperlink"/>
      <w:u w:val="single"/>
    </w:rPr>
  </w:style>
  <w:style w:type="character" w:customStyle="1" w:styleId="Sup">
    <w:name w:val="Sup"/>
    <w:uiPriority w:val="1"/>
    <w:qFormat/>
    <w:rsid w:val="00C31502"/>
    <w:rPr>
      <w:vertAlign w:val="superscript"/>
    </w:rPr>
  </w:style>
  <w:style w:type="paragraph" w:styleId="BalloonText">
    <w:name w:val="Balloon Text"/>
    <w:basedOn w:val="Normal"/>
    <w:link w:val="BalloonTextChar"/>
    <w:rsid w:val="00803D62"/>
    <w:rPr>
      <w:rFonts w:ascii="Segoe UI" w:hAnsi="Segoe UI" w:cs="Segoe UI"/>
      <w:sz w:val="18"/>
      <w:szCs w:val="18"/>
    </w:rPr>
  </w:style>
  <w:style w:type="character" w:customStyle="1" w:styleId="BalloonTextChar">
    <w:name w:val="Balloon Text Char"/>
    <w:basedOn w:val="DefaultParagraphFont"/>
    <w:link w:val="BalloonText"/>
    <w:rsid w:val="00803D62"/>
    <w:rPr>
      <w:rFonts w:ascii="Segoe UI" w:hAnsi="Segoe UI" w:cs="Segoe UI"/>
      <w:sz w:val="18"/>
      <w:szCs w:val="18"/>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eur-lex.europa.eu/resource.html?uri=cellar:61042990-fe46-11ea-b44f-01aa75ed71a1.0020.02/DOC_1&amp;format=PDF" TargetMode="External"/><Relationship Id="rId4" Type="http://schemas.openxmlformats.org/officeDocument/2006/relationships/settings" Target="settings.xml"/><Relationship Id="rId9" Type="http://schemas.openxmlformats.org/officeDocument/2006/relationships/hyperlink" Target="https://eur-lex.europa.eu/resource.html?uri=cellar:61042990-fe46-11ea-b44f-01aa75ed71a1.0020.02/DOC_1&amp;format=PDF"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C4B8D2-A78E-4F51-BEC9-3EF807BD39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4714</Words>
  <Characters>29536</Characters>
  <Application>Microsoft Office Word</Application>
  <DocSecurity>0</DocSecurity>
  <Lines>246</Lines>
  <Paragraphs>68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JELIC PRIMORAC Ivana</cp:lastModifiedBy>
  <cp:revision>2</cp:revision>
  <cp:lastPrinted>2004-11-19T15:42:00Z</cp:lastPrinted>
  <dcterms:created xsi:type="dcterms:W3CDTF">2024-05-28T14:56:00Z</dcterms:created>
  <dcterms:modified xsi:type="dcterms:W3CDTF">2024-05-28T14:56:00Z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P9_TA(2024)0006_</vt:lpwstr>
  </property>
  <property fmtid="{D5CDD505-2E9C-101B-9397-08002B2CF9AE}" pid="4" name="&lt;Type&gt;">
    <vt:lpwstr>RR</vt:lpwstr>
  </property>
</Properties>
</file>