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6BE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6BEB" w:rsidRDefault="00893BF6" w:rsidP="0010095E">
            <w:pPr>
              <w:pStyle w:val="EPName"/>
            </w:pPr>
            <w:r w:rsidRPr="000F6BEB">
              <w:t>Parlament Europejski</w:t>
            </w:r>
          </w:p>
          <w:p w:rsidR="00751A4A" w:rsidRPr="000F6BE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F6BE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F6BEB" w:rsidRDefault="00187494" w:rsidP="0010095E">
            <w:pPr>
              <w:pStyle w:val="EPLogo"/>
            </w:pPr>
            <w:r w:rsidRPr="000F6BE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6BEB" w:rsidRDefault="00D058B8" w:rsidP="004C5D52">
      <w:pPr>
        <w:pStyle w:val="LineTop"/>
      </w:pPr>
    </w:p>
    <w:p w:rsidR="00680577" w:rsidRPr="000F6BEB" w:rsidRDefault="00893BF6" w:rsidP="00680577">
      <w:pPr>
        <w:pStyle w:val="EPBodyTA1"/>
      </w:pPr>
      <w:r w:rsidRPr="000F6BEB">
        <w:t>TEKSTY PRZYJĘTE</w:t>
      </w:r>
    </w:p>
    <w:p w:rsidR="00D058B8" w:rsidRPr="000F6BEB" w:rsidRDefault="00D058B8" w:rsidP="00D058B8">
      <w:pPr>
        <w:pStyle w:val="LineBottom"/>
      </w:pPr>
    </w:p>
    <w:p w:rsidR="00893BF6" w:rsidRPr="000F6BEB" w:rsidRDefault="00893BF6" w:rsidP="00893BF6">
      <w:pPr>
        <w:pStyle w:val="ATHeading1"/>
      </w:pPr>
      <w:bookmarkStart w:id="0" w:name="TANumber"/>
      <w:r w:rsidRPr="000F6BEB">
        <w:t>P9_TA(2024)000</w:t>
      </w:r>
      <w:bookmarkEnd w:id="0"/>
      <w:r w:rsidR="00F01219">
        <w:t>6</w:t>
      </w:r>
    </w:p>
    <w:p w:rsidR="00893BF6" w:rsidRPr="000F6BEB" w:rsidRDefault="004A525F" w:rsidP="004A525F">
      <w:pPr>
        <w:pStyle w:val="ATHeading2"/>
      </w:pPr>
      <w:r w:rsidRPr="004A525F">
        <w:t>Ulga służąca przeciwdziałaniu zjawisku uprzywilejowania finansowania dłużnego w stosunku do</w:t>
      </w:r>
      <w:r>
        <w:t xml:space="preserve"> </w:t>
      </w:r>
      <w:r w:rsidRPr="004A525F">
        <w:t>kapitałowego oraz ograniczenie możliwości odliczania odsetek do celów związanych z podatkiem</w:t>
      </w:r>
      <w:r>
        <w:t xml:space="preserve"> </w:t>
      </w:r>
      <w:r w:rsidRPr="00AF5DB2">
        <w:t>dochodowym od osób prawnych</w:t>
      </w:r>
    </w:p>
    <w:p w:rsidR="00893BF6" w:rsidRPr="000F6BEB" w:rsidRDefault="00893BF6" w:rsidP="00893BF6">
      <w:pPr>
        <w:rPr>
          <w:i/>
          <w:vanish/>
        </w:rPr>
      </w:pPr>
      <w:r w:rsidRPr="000F6BEB">
        <w:rPr>
          <w:i/>
        </w:rPr>
        <w:fldChar w:fldCharType="begin"/>
      </w:r>
      <w:r w:rsidRPr="000F6BEB">
        <w:rPr>
          <w:i/>
        </w:rPr>
        <w:instrText xml:space="preserve"> TC"(</w:instrText>
      </w:r>
      <w:bookmarkStart w:id="1" w:name="DocNumber"/>
      <w:r w:rsidRPr="000F6BEB">
        <w:rPr>
          <w:i/>
        </w:rPr>
        <w:instrText>A9-0387/2023</w:instrText>
      </w:r>
      <w:bookmarkEnd w:id="1"/>
      <w:r w:rsidRPr="000F6BEB">
        <w:rPr>
          <w:i/>
        </w:rPr>
        <w:instrText xml:space="preserve"> - Sprawozdawca: Luděk Niedermayer)"\l3 \n&gt; \* MERGEFORMAT </w:instrText>
      </w:r>
      <w:r w:rsidRPr="000F6BEB">
        <w:rPr>
          <w:i/>
        </w:rPr>
        <w:fldChar w:fldCharType="end"/>
      </w:r>
    </w:p>
    <w:p w:rsidR="00893BF6" w:rsidRPr="000F6BEB" w:rsidRDefault="00893BF6" w:rsidP="00893BF6">
      <w:pPr>
        <w:rPr>
          <w:vanish/>
        </w:rPr>
      </w:pPr>
      <w:bookmarkStart w:id="2" w:name="Commission"/>
      <w:r w:rsidRPr="000F6BEB">
        <w:rPr>
          <w:vanish/>
        </w:rPr>
        <w:t>Komisja Gospodarcza i Monetarna</w:t>
      </w:r>
      <w:bookmarkEnd w:id="2"/>
    </w:p>
    <w:p w:rsidR="00893BF6" w:rsidRPr="000F6BEB" w:rsidRDefault="00893BF6" w:rsidP="00893BF6">
      <w:pPr>
        <w:rPr>
          <w:vanish/>
        </w:rPr>
      </w:pPr>
      <w:bookmarkStart w:id="3" w:name="PE"/>
      <w:r w:rsidRPr="000F6BEB">
        <w:rPr>
          <w:vanish/>
        </w:rPr>
        <w:t>PE738.463</w:t>
      </w:r>
      <w:bookmarkEnd w:id="3"/>
    </w:p>
    <w:p w:rsidR="00893BF6" w:rsidRPr="000F6BEB" w:rsidRDefault="00893BF6" w:rsidP="00893BF6">
      <w:pPr>
        <w:pStyle w:val="ATHeading3"/>
      </w:pPr>
      <w:bookmarkStart w:id="4" w:name="Sujet"/>
      <w:r w:rsidRPr="000F6BEB">
        <w:t xml:space="preserve">Rezolucja ustawodawcza Parlamentu Europejskiego z dnia </w:t>
      </w:r>
      <w:r w:rsidR="004A525F">
        <w:t>16 stycznia</w:t>
      </w:r>
      <w:r w:rsidRPr="000F6BEB">
        <w:t xml:space="preserve"> 2024 r. w sprawie wniosku dotyczącego dyrektywy Rady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</w:t>
      </w:r>
      <w:bookmarkEnd w:id="4"/>
      <w:r w:rsidRPr="000F6BEB">
        <w:t xml:space="preserve"> </w:t>
      </w:r>
      <w:bookmarkStart w:id="5" w:name="References"/>
      <w:r w:rsidRPr="000F6BEB">
        <w:t>(COM</w:t>
      </w:r>
      <w:proofErr w:type="gramStart"/>
      <w:r w:rsidRPr="000F6BEB">
        <w:t>(2022)0216 – C</w:t>
      </w:r>
      <w:proofErr w:type="gramEnd"/>
      <w:r w:rsidRPr="000F6BEB">
        <w:t>9-0197/2022 – 2022/0154(CNS))</w:t>
      </w:r>
      <w:bookmarkEnd w:id="5"/>
    </w:p>
    <w:p w:rsidR="00893BF6" w:rsidRPr="000F6BEB" w:rsidRDefault="00893BF6" w:rsidP="00893BF6"/>
    <w:p w:rsidR="00CE40CA" w:rsidRPr="000F6BEB" w:rsidRDefault="00CE40CA" w:rsidP="00CE40CA">
      <w:pPr>
        <w:pStyle w:val="NormalBold"/>
      </w:pPr>
      <w:bookmarkStart w:id="6" w:name="TextBodyBegin"/>
      <w:bookmarkEnd w:id="6"/>
      <w:r w:rsidRPr="000F6BEB">
        <w:t>(Specjalna procedura ustawodawcza – konsultacja)</w:t>
      </w:r>
    </w:p>
    <w:p w:rsidR="00CE40CA" w:rsidRPr="000F6BEB" w:rsidRDefault="00CE40CA" w:rsidP="00CE40CA">
      <w:pPr>
        <w:pStyle w:val="EPComma"/>
      </w:pPr>
      <w:r w:rsidRPr="000F6BEB">
        <w:rPr>
          <w:i/>
        </w:rPr>
        <w:t>Parlament Europejski</w:t>
      </w:r>
      <w:r w:rsidRPr="000F6BEB">
        <w:t>,</w:t>
      </w:r>
    </w:p>
    <w:p w:rsidR="00CE40CA" w:rsidRPr="000F6BEB" w:rsidRDefault="00CE40CA" w:rsidP="00CE40CA">
      <w:pPr>
        <w:pStyle w:val="NormalHanging12a"/>
      </w:pPr>
      <w:r w:rsidRPr="000F6BEB">
        <w:t>–</w:t>
      </w:r>
      <w:r w:rsidRPr="000F6BEB">
        <w:tab/>
        <w:t>uwzględniając wniosek Komisji przedstawiony Radzie (COM(2022)0216),</w:t>
      </w:r>
    </w:p>
    <w:p w:rsidR="00CE40CA" w:rsidRPr="000F6BEB" w:rsidRDefault="00CE40CA" w:rsidP="00CE40CA">
      <w:pPr>
        <w:pStyle w:val="NormalHanging12a"/>
      </w:pPr>
      <w:r w:rsidRPr="000F6BEB">
        <w:t>–</w:t>
      </w:r>
      <w:r w:rsidRPr="000F6BEB">
        <w:tab/>
        <w:t>uwzględniając art. 115 Traktatu o funkcjonowaniu Unii Europejskiej, na mocy którego Rada skonsultowała się z Parlamentem (C9–0197/2022),</w:t>
      </w:r>
    </w:p>
    <w:p w:rsidR="00CE40CA" w:rsidRPr="000F6BEB" w:rsidRDefault="00CE40CA" w:rsidP="00CE40CA">
      <w:pPr>
        <w:pStyle w:val="NormalHanging12a"/>
      </w:pPr>
      <w:r w:rsidRPr="000F6BEB">
        <w:t>–</w:t>
      </w:r>
      <w:r w:rsidRPr="000F6BEB">
        <w:tab/>
        <w:t>uwzględniając uzasadnioną opinię przedstawioną – na mocy protokołu nr 2 w sprawie stosowania zasad pomocniczości i proporcjonalności – przez szwedzki Riksdag, w której stwierdzono, że projekt aktu ustawodawczego nie jest zgodny z zasadą pomocniczości,</w:t>
      </w:r>
    </w:p>
    <w:p w:rsidR="00CE40CA" w:rsidRPr="000F6BEB" w:rsidRDefault="00CE40CA" w:rsidP="00CE40CA">
      <w:pPr>
        <w:pStyle w:val="NormalHanging12a"/>
      </w:pPr>
      <w:r w:rsidRPr="000F6BEB">
        <w:t>–</w:t>
      </w:r>
      <w:r w:rsidRPr="000F6BEB">
        <w:tab/>
        <w:t>uwzględniając art. 82 Regulaminu,</w:t>
      </w:r>
    </w:p>
    <w:p w:rsidR="00CE40CA" w:rsidRPr="000F6BEB" w:rsidRDefault="00CE40CA" w:rsidP="00CE40CA">
      <w:pPr>
        <w:pStyle w:val="NormalHanging12a"/>
      </w:pPr>
      <w:r w:rsidRPr="000F6BEB">
        <w:t>–</w:t>
      </w:r>
      <w:r w:rsidRPr="000F6BEB">
        <w:tab/>
        <w:t>uwzględniając sprawozdanie Komisji Gospodarczej i Monetarnej (A9-0387/2023),</w:t>
      </w:r>
    </w:p>
    <w:p w:rsidR="00CE40CA" w:rsidRPr="000F6BEB" w:rsidRDefault="00CE40CA" w:rsidP="00CE40CA">
      <w:pPr>
        <w:pStyle w:val="NormalHanging12a"/>
      </w:pPr>
      <w:r w:rsidRPr="000F6BEB">
        <w:t>1.</w:t>
      </w:r>
      <w:r w:rsidRPr="000F6BEB">
        <w:tab/>
      </w:r>
      <w:proofErr w:type="gramStart"/>
      <w:r w:rsidRPr="000F6BEB">
        <w:t>zatwierdza</w:t>
      </w:r>
      <w:proofErr w:type="gramEnd"/>
      <w:r w:rsidRPr="000F6BEB">
        <w:t xml:space="preserve"> po poprawkach wniosek Komisji;</w:t>
      </w:r>
    </w:p>
    <w:p w:rsidR="00CE40CA" w:rsidRPr="000F6BEB" w:rsidRDefault="00CE40CA" w:rsidP="00CE40CA">
      <w:pPr>
        <w:pStyle w:val="NormalHanging12a"/>
      </w:pPr>
      <w:r w:rsidRPr="000F6BEB">
        <w:t>2.</w:t>
      </w:r>
      <w:r w:rsidRPr="000F6BEB">
        <w:tab/>
      </w:r>
      <w:proofErr w:type="gramStart"/>
      <w:r w:rsidRPr="000F6BEB">
        <w:t>zwraca</w:t>
      </w:r>
      <w:proofErr w:type="gramEnd"/>
      <w:r w:rsidRPr="000F6BEB">
        <w:t xml:space="preserve"> się do Komisji o odpowiednią zmianę jej wniosku, zgodnie z art. 293 ust. 2 Traktatu o funkcjonowaniu Unii Europejskiej;</w:t>
      </w:r>
    </w:p>
    <w:p w:rsidR="00CE40CA" w:rsidRPr="000F6BEB" w:rsidRDefault="00CE40CA" w:rsidP="00CE40CA">
      <w:pPr>
        <w:pStyle w:val="NormalHanging12a"/>
      </w:pPr>
      <w:r w:rsidRPr="000F6BEB">
        <w:t>3.</w:t>
      </w:r>
      <w:r w:rsidRPr="000F6BEB">
        <w:tab/>
      </w:r>
      <w:proofErr w:type="gramStart"/>
      <w:r w:rsidRPr="000F6BEB">
        <w:t>zwraca</w:t>
      </w:r>
      <w:proofErr w:type="gramEnd"/>
      <w:r w:rsidRPr="000F6BEB">
        <w:t xml:space="preserve"> się do Rady o poinformowanie go, jeśli uzna ona za stosowne odejście od tekstu </w:t>
      </w:r>
      <w:r w:rsidRPr="000F6BEB">
        <w:lastRenderedPageBreak/>
        <w:t>przyjętego przez Parlament;</w:t>
      </w:r>
    </w:p>
    <w:p w:rsidR="00CE40CA" w:rsidRPr="000F6BEB" w:rsidRDefault="00CE40CA" w:rsidP="00CE40CA">
      <w:pPr>
        <w:pStyle w:val="NormalHanging12a"/>
      </w:pPr>
      <w:r w:rsidRPr="000F6BEB">
        <w:t>4.</w:t>
      </w:r>
      <w:r w:rsidRPr="000F6BEB">
        <w:tab/>
      </w:r>
      <w:proofErr w:type="gramStart"/>
      <w:r w:rsidRPr="000F6BEB">
        <w:t>zwraca</w:t>
      </w:r>
      <w:proofErr w:type="gramEnd"/>
      <w:r w:rsidRPr="000F6BEB">
        <w:t xml:space="preserve"> się do Rady o ponowne skonsultowanie się z Parlamentem, jeśli uzna ona za stosowne wprowadzenie znaczących zmian do wniosku Komisji;</w:t>
      </w:r>
    </w:p>
    <w:p w:rsidR="00CE40CA" w:rsidRPr="000F6BEB" w:rsidRDefault="00CE40CA" w:rsidP="00CE40CA">
      <w:pPr>
        <w:pStyle w:val="NormalHanging12a"/>
      </w:pPr>
      <w:r w:rsidRPr="000F6BEB">
        <w:t>5.</w:t>
      </w:r>
      <w:r w:rsidRPr="000F6BEB">
        <w:tab/>
      </w:r>
      <w:proofErr w:type="gramStart"/>
      <w:r w:rsidRPr="000F6BEB">
        <w:t>zobowiązuje</w:t>
      </w:r>
      <w:proofErr w:type="gramEnd"/>
      <w:r w:rsidRPr="000F6BEB">
        <w:t xml:space="preserve"> swoją przewodniczącą do przekazania stanowiska Parlamentu Radzie i Komisji oraz parlamentom narodowym.</w:t>
      </w:r>
    </w:p>
    <w:p w:rsidR="00CE40CA" w:rsidRPr="000F6BEB" w:rsidRDefault="00CE40CA" w:rsidP="00CE40CA"/>
    <w:p w:rsidR="00AF5DB2" w:rsidRDefault="00AF5DB2">
      <w:pPr>
        <w:widowControl/>
        <w:rPr>
          <w:b/>
        </w:rPr>
      </w:pPr>
      <w:r>
        <w:br w:type="page"/>
      </w:r>
    </w:p>
    <w:p w:rsidR="00CE40CA" w:rsidRPr="000F6BEB" w:rsidRDefault="00CE40CA" w:rsidP="00CE40CA">
      <w:pPr>
        <w:pStyle w:val="AmNumberTabs"/>
        <w:keepNext/>
      </w:pPr>
      <w:r w:rsidRPr="000F6BEB">
        <w:lastRenderedPageBreak/>
        <w:t>Poprawka</w:t>
      </w:r>
      <w:r w:rsidRPr="000F6BEB">
        <w:tab/>
      </w:r>
      <w:r w:rsidRPr="000F6BEB">
        <w:tab/>
        <w:t>1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(1)</w:t>
            </w:r>
            <w:r w:rsidRPr="000F6BEB">
              <w:tab/>
              <w:t>Propagowanie</w:t>
            </w:r>
            <w:proofErr w:type="gramEnd"/>
            <w:r w:rsidRPr="000F6BEB">
              <w:t xml:space="preserve"> sprawiedliwego i</w:t>
            </w:r>
            <w:r w:rsidRPr="000F6BEB">
              <w:rPr>
                <w:b/>
                <w:i/>
              </w:rPr>
              <w:t> </w:t>
            </w:r>
            <w:r w:rsidRPr="000F6BEB">
              <w:t>zrównoważonego otoczenia biznesowego m.in. dzięki stosowaniu ukierunkowanych środków podatkowych sprzyjających inwestycjom i wzrostowi stanowi jeden z głównych priorytetów politycznych Unii. Aby wspierać zrównoważone i</w:t>
            </w:r>
            <w:r w:rsidRPr="000F6BEB">
              <w:rPr>
                <w:b/>
                <w:i/>
              </w:rPr>
              <w:t> </w:t>
            </w:r>
            <w:r w:rsidRPr="000F6BEB">
              <w:t>długoterminowe finansowanie przedsiębiorstw, system podatkowy powinien minimalizować niezamierzone zakłócenia decyzji biznesowych, na przykład prowadzące do faworyzowania finansowania dłużnego zamiast finansowania kapitałowego. W planie działania Komisji z 2020 r. dotyczącym unii rynków kapitałowych</w:t>
            </w:r>
            <w:r w:rsidRPr="000F6BEB">
              <w:rPr>
                <w:vertAlign w:val="superscript"/>
              </w:rPr>
              <w:t>14</w:t>
            </w:r>
            <w:r w:rsidRPr="000F6BEB">
              <w:t xml:space="preserve"> przewidziano już wprawdzie istotne działania wspierające takie finansowanie, np. działanie nr 4: Zachęcanie inwestorów instytucjonalnych do stosowania na większą skalę finansowania długoterminowego i kapitałowego, należy jednak przyjąć również ukierunkowane środki podatkowe, aby zwiększyć skuteczność takich działań. Opracowując tego rodzaju środki, należy wziąć pod uwagę względy związane ze stabilnością fiskalną.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proofErr w:type="gramStart"/>
            <w:r w:rsidRPr="000F6BEB">
              <w:t>(1)</w:t>
            </w:r>
            <w:r w:rsidRPr="000F6BEB">
              <w:tab/>
              <w:t>Propagowanie</w:t>
            </w:r>
            <w:proofErr w:type="gramEnd"/>
            <w:r w:rsidRPr="000F6BEB">
              <w:t xml:space="preserve"> sprawiedliwego i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zrównoważonego otoczenia biznesowego</w:t>
            </w:r>
            <w:r w:rsidRPr="000F6BEB">
              <w:rPr>
                <w:b/>
                <w:i/>
              </w:rPr>
              <w:t xml:space="preserve"> oraz ulepszenie systemu opodatkowania osób prawnych</w:t>
            </w:r>
            <w:r w:rsidRPr="000F6BEB">
              <w:t xml:space="preserve"> m.in. dzięki stosowaniu ukierunkowanych środków podatkowych sprzyjających inwestycjom i wzrostowi stanowi jeden z głównych priorytetów politycznych Unii. Aby wspierać zrównoważone</w:t>
            </w:r>
            <w:r w:rsidRPr="000F6BEB">
              <w:rPr>
                <w:b/>
                <w:i/>
              </w:rPr>
              <w:t>, solidne</w:t>
            </w:r>
            <w:r w:rsidRPr="000F6BEB">
              <w:t xml:space="preserve"> i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długoterminowe finansowanie przedsiębiorstw</w:t>
            </w:r>
            <w:r w:rsidRPr="000F6BEB">
              <w:rPr>
                <w:b/>
                <w:i/>
              </w:rPr>
              <w:t>, w szczególności po trzech kryzysach gospodarczych od 2008 r., wskutek których wiele przedsiębiorstw musiało korzystać z finansowania dłużnego, aby pokryć straty ekonomiczne</w:t>
            </w:r>
            <w:r w:rsidRPr="000F6BEB">
              <w:t>, system podatkowy powinien minimalizować niezamierzone zakłócenia decyzji biznesowych, na przykład prowadzące do faworyzowania finansowania dłużnego zamiast finansowania kapitałowego. W planie działania Komisji z 2020 r. dotyczącym unii rynków kapitałowych</w:t>
            </w:r>
            <w:r w:rsidRPr="000F6BEB">
              <w:rPr>
                <w:vertAlign w:val="superscript"/>
              </w:rPr>
              <w:t>14</w:t>
            </w:r>
            <w:r w:rsidRPr="000F6BEB">
              <w:t xml:space="preserve"> przewidziano już wprawdzie istotne działania wspierające takie finansowanie, np. działanie nr 4: Zachęcanie inwestorów instytucjonalnych do stosowania na większą skalę finansowania długoterminowego i kapitałowego, należy jednak przyjąć również ukierunkowane środki podatkowe, aby zwiększyć skuteczność takich działań. Opracowując tego rodzaju środki, należy wziąć pod uwagę względy związane ze stabilnością fiskalną.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__________________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__________________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vertAlign w:val="superscript"/>
              </w:rPr>
              <w:t>14</w:t>
            </w:r>
            <w:r w:rsidRPr="000F6BEB">
              <w:t xml:space="preserve"> Komunikat Komisji do Parlamentu Europejskiego, Rady, Europejskiego Komitetu Ekonomiczno-Społecznego i Komitetu Regionów, Unia rynków kapitałowych dla obywateli i przedsiębiorstw –</w:t>
            </w:r>
            <w:r w:rsidR="00F217FE">
              <w:t xml:space="preserve"> nowy plan działania (COM(2020)0590</w:t>
            </w:r>
            <w:r w:rsidRPr="000F6BEB">
              <w:t>). (</w:t>
            </w:r>
            <w:hyperlink r:id="rId9" w:history="1">
              <w:r w:rsidRPr="000F6BEB">
                <w:rPr>
                  <w:rStyle w:val="Hyperlink"/>
                  <w:color w:val="auto"/>
                </w:rPr>
                <w:t>https://eur-lex.europa.eu/resource.html?uri=cellar:610</w:t>
              </w:r>
              <w:r w:rsidRPr="000F6BEB">
                <w:rPr>
                  <w:rStyle w:val="Hyperlink"/>
                  <w:color w:val="auto"/>
                </w:rPr>
                <w:lastRenderedPageBreak/>
                <w:t>42990-fe46-11ea-b44f-01aa75ed71a1.0001.02/DOC_1&amp;format=PDF</w:t>
              </w:r>
            </w:hyperlink>
            <w:r w:rsidRPr="000F6BEB">
              <w:rPr>
                <w:u w:val="single"/>
              </w:rPr>
              <w:t>)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vertAlign w:val="superscript"/>
              </w:rPr>
              <w:lastRenderedPageBreak/>
              <w:t xml:space="preserve">14 </w:t>
            </w:r>
            <w:r w:rsidRPr="000F6BEB">
              <w:t>Komunikat Komisji do Parlamentu Europejskiego, Rady, Europejskiego Komitetu Ekonomiczno-Społecznego i Komitetu Regionów, Unia rynków kapitałowych dla obywateli i przedsiębiorstw –</w:t>
            </w:r>
            <w:r w:rsidR="00F217FE">
              <w:t xml:space="preserve"> nowy plan działania (COM(2020)0590</w:t>
            </w:r>
            <w:bookmarkStart w:id="7" w:name="_GoBack"/>
            <w:bookmarkEnd w:id="7"/>
            <w:r w:rsidRPr="000F6BEB">
              <w:t>). (</w:t>
            </w:r>
            <w:hyperlink r:id="rId10" w:history="1">
              <w:r w:rsidRPr="000F6BEB">
                <w:rPr>
                  <w:rStyle w:val="Hyperlink"/>
                  <w:color w:val="auto"/>
                </w:rPr>
                <w:t>https://eur-lex.europa.eu/resource.html?uri=cellar:610</w:t>
              </w:r>
              <w:r w:rsidRPr="000F6BEB">
                <w:rPr>
                  <w:rStyle w:val="Hyperlink"/>
                  <w:color w:val="auto"/>
                </w:rPr>
                <w:lastRenderedPageBreak/>
                <w:t>42990-fe46-11ea-b44f-01aa75ed71a1.0001.02/DOC_1&amp;format=PDF</w:t>
              </w:r>
            </w:hyperlink>
            <w:r w:rsidRPr="000F6BEB">
              <w:rPr>
                <w:u w:val="single"/>
              </w:rPr>
              <w:t>)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2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1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(1a</w:t>
            </w:r>
            <w:proofErr w:type="gramStart"/>
            <w:r w:rsidRPr="000F6BEB">
              <w:rPr>
                <w:b/>
                <w:i/>
              </w:rPr>
              <w:t>)</w:t>
            </w:r>
            <w:r w:rsidRPr="000F6BEB">
              <w:rPr>
                <w:b/>
                <w:i/>
              </w:rPr>
              <w:tab/>
              <w:t>Promowanie</w:t>
            </w:r>
            <w:proofErr w:type="gramEnd"/>
            <w:r w:rsidRPr="000F6BEB">
              <w:rPr>
                <w:b/>
                <w:i/>
              </w:rPr>
              <w:t xml:space="preserve"> konkurencyjnej i odpornej unii rynków kapitałowych, której jednym z filarów jest silny rynek kapitałowy, ma zasadnicze znaczenie dla wspierania zatrudnienia, wzrostu gospodarczego i inwestycji. Potrzeba więcej prywatnych inwestycji na rynku kapitałowym, aby sprostać przyszłym wyzwaniom gospodarczym. W związku z tym zdecydowanie zaleca się stworzenie instrumentu prawnego do harmonizacji istniejących przepisów prawnych w celu zmniejszenia tendencji podatników do zadłużania się przy dokonywaniu wyborów inwestycyjnych, bez uszczerbku dla zgodnego z prawem i skutecznego korzystania z instrumentów dłużnych.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3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(2)</w:t>
            </w:r>
            <w:r w:rsidRPr="000F6BEB">
              <w:tab/>
              <w:t>Systemy</w:t>
            </w:r>
            <w:proofErr w:type="gramEnd"/>
            <w:r w:rsidRPr="000F6BEB">
              <w:t xml:space="preserve"> podatkowe państw członkowskich zapewniają podatnikom możliwość odliczania od podatku płatności odsetkowych związanych z finansowaniem dłużnym, co pozwala im zmniejszyć zobowiązania z tytułu podatku dochodowego od osób prawnych, natomiast koszty związane z finansowaniem kapitałowym nie podlegają odliczeniu od podatku w większości państw członkowskich. Asymetryczne traktowanie finansowania </w:t>
            </w:r>
            <w:r w:rsidRPr="000F6BEB">
              <w:lastRenderedPageBreak/>
              <w:t>dłużnego i kapitałowego pod względem podatkowym w Unii sprawia, że przy podejmowaniu decyzji inwestycyjnych instrumenty dłużne znajdują się w uprzywilejowanej pozycji. Ponadto w przypadkach, w których państwa członkowskie wprowadziły ulgi podatkowe związane z finansowaniem kapitałowym w swoim ustawodawstwie krajowym, takie środki krajowe różnią się znacznie od siebie pod względem koncepcji polityki.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proofErr w:type="gramStart"/>
            <w:r w:rsidRPr="000F6BEB">
              <w:lastRenderedPageBreak/>
              <w:t>(2)</w:t>
            </w:r>
            <w:r w:rsidRPr="000F6BEB">
              <w:tab/>
              <w:t>Systemy</w:t>
            </w:r>
            <w:proofErr w:type="gramEnd"/>
            <w:r w:rsidRPr="000F6BEB">
              <w:t xml:space="preserve"> podatkowe państw członkowskich zapewniają podatnikom możliwość odliczania od podatku płatności odsetkowych związanych z finansowaniem dłużnym, co pozwala im zmniejszyć zobowiązania z tytułu podatku dochodowego od osób prawnych, natomiast koszty związane z finansowaniem kapitałowym nie podlegają odliczeniu od podatku w większości państw członkowskich. Asymetryczne traktowanie finansowania </w:t>
            </w:r>
            <w:r w:rsidRPr="000F6BEB">
              <w:lastRenderedPageBreak/>
              <w:t xml:space="preserve">dłużnego i kapitałowego pod względem podatkowym w Unii sprawia, że przy podejmowaniu decyzji inwestycyjnych instrumenty dłużne znajdują się w uprzywilejowanej pozycji. </w:t>
            </w:r>
            <w:r w:rsidRPr="000F6BEB">
              <w:rPr>
                <w:b/>
                <w:i/>
              </w:rPr>
              <w:t>Niedawne kryzysy związane z problemami z zadłużeniem przedsiębiorstw na rynku wewnętrznym pokazały, że istnieje potrzeba reformy, która zrówna finansowanie kapitałowe i dłużne oraz położy kres korzyściom wynikającym z finansowania dłużnego. Niniejsza dyrektywa stanowi odpowiedź na liczne apele Parlamentu, aby rozwiązać problem uprzywilejowania finansowania dłużnego w stosunku do kapitałowego</w:t>
            </w:r>
            <w:r w:rsidRPr="000F6BEB">
              <w:rPr>
                <w:b/>
                <w:i/>
                <w:vertAlign w:val="superscript"/>
              </w:rPr>
              <w:t>1a</w:t>
            </w:r>
            <w:r w:rsidRPr="000F6BEB">
              <w:rPr>
                <w:b/>
                <w:i/>
              </w:rPr>
              <w:t xml:space="preserve">. </w:t>
            </w:r>
            <w:r w:rsidRPr="000F6BEB">
              <w:t xml:space="preserve">Ponadto w przypadkach, w których państwa członkowskie wprowadziły ulgi podatkowe związane z finansowaniem kapitałowym w swoim ustawodawstwie krajowym, takie środki krajowe różnią się znacznie od siebie pod względem koncepcji polityki. </w:t>
            </w:r>
            <w:r w:rsidRPr="000F6BEB">
              <w:rPr>
                <w:b/>
                <w:i/>
              </w:rPr>
              <w:t>W związku z tym zasadnicze znaczenie ma zapewnienie równych warunków działania dla rozwiązań kapitałowych i instrumentów dłużnych, mając na uwadze potrzebę zagwarantowania minimalnych poziomów systematycznej spójności między krajowymi ramami podatkowymi, a mianowicie na poziomie korzyści podatkowych.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__________________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  <w:vertAlign w:val="superscript"/>
              </w:rPr>
              <w:t>1a</w:t>
            </w:r>
            <w:r w:rsidRPr="000F6BEB">
              <w:rPr>
                <w:b/>
                <w:i/>
              </w:rPr>
              <w:t xml:space="preserve"> Zob.: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  <w:vertAlign w:val="superscript"/>
              </w:rPr>
            </w:pPr>
            <w:r w:rsidRPr="000F6BEB">
              <w:rPr>
                <w:b/>
                <w:i/>
              </w:rPr>
              <w:t>–</w:t>
            </w:r>
            <w:r w:rsidRPr="000F6BEB">
              <w:rPr>
                <w:b/>
                <w:i/>
              </w:rPr>
              <w:tab/>
              <w:t xml:space="preserve">Rezolucja Parlamentu Europejskiego z dnia 8 października 2020 r. w sprawie dalszego rozwoju unii rynków kapitałowych: poprawa dostępu do finansowania z rynków kapitałowych, w szczególności dla MŚP, oraz zwiększenie możliwości udziału inwestorów detalicznych (2020/2036(INI)) (Dz.U. C 395 z 29.9.2021, </w:t>
            </w:r>
            <w:proofErr w:type="gramStart"/>
            <w:r w:rsidRPr="000F6BEB">
              <w:rPr>
                <w:b/>
                <w:i/>
              </w:rPr>
              <w:t>s</w:t>
            </w:r>
            <w:proofErr w:type="gramEnd"/>
            <w:r w:rsidRPr="000F6BEB">
              <w:rPr>
                <w:b/>
                <w:i/>
              </w:rPr>
              <w:t xml:space="preserve">. 89); 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  <w:vertAlign w:val="superscript"/>
              </w:rPr>
            </w:pPr>
            <w:r w:rsidRPr="000F6BEB">
              <w:rPr>
                <w:b/>
                <w:i/>
              </w:rPr>
              <w:t>–</w:t>
            </w:r>
            <w:r w:rsidRPr="000F6BEB">
              <w:rPr>
                <w:b/>
                <w:i/>
              </w:rPr>
              <w:tab/>
              <w:t xml:space="preserve">rezolucja legislacyjna Parlamentu Europejskiego z dnia 15 marca 2018 r. w sprawie wniosku dotyczącego dyrektywy Rady w sprawie wspólnej skonsolidowanej podstawy opodatkowania osób prawnych (2016/0337(CNS)) (Dz.U. C 162 z </w:t>
            </w:r>
            <w:r w:rsidRPr="000F6BEB">
              <w:rPr>
                <w:b/>
                <w:i/>
              </w:rPr>
              <w:lastRenderedPageBreak/>
              <w:t xml:space="preserve">10.5.2019, </w:t>
            </w:r>
            <w:proofErr w:type="gramStart"/>
            <w:r w:rsidRPr="000F6BEB">
              <w:rPr>
                <w:b/>
                <w:i/>
              </w:rPr>
              <w:t>s</w:t>
            </w:r>
            <w:proofErr w:type="gramEnd"/>
            <w:r w:rsidRPr="000F6BEB">
              <w:rPr>
                <w:b/>
                <w:i/>
              </w:rPr>
              <w:t>. 181);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–</w:t>
            </w:r>
            <w:r w:rsidRPr="000F6BEB">
              <w:rPr>
                <w:b/>
                <w:i/>
              </w:rPr>
              <w:tab/>
              <w:t xml:space="preserve">rezolucja Parlamentu Europejskiego z dnia 10 marca 2022 r. zawierająca zalecenia dla Komisji w sprawie sprawiedliwego i prostszego opodatkowania wspierającego strategię odbudowy gospodarczej (działania następcze PE w związku z lipcowym planem działania Komisji i jej 25 inicjatywami w dziedzinie VAT, opodatkowania przedsiębiorstw i opodatkowania osób fizycznych) (2020/2254(INL)) (Dz.U. C 347 z 9.9.2022, </w:t>
            </w:r>
            <w:proofErr w:type="gramStart"/>
            <w:r w:rsidRPr="000F6BEB">
              <w:rPr>
                <w:b/>
                <w:i/>
              </w:rPr>
              <w:t>s</w:t>
            </w:r>
            <w:proofErr w:type="gramEnd"/>
            <w:r w:rsidRPr="000F6BEB">
              <w:rPr>
                <w:b/>
                <w:i/>
              </w:rPr>
              <w:t>. 211);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AF5DB2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–</w:t>
            </w:r>
            <w:r w:rsidRPr="000F6BEB">
              <w:rPr>
                <w:b/>
                <w:i/>
              </w:rPr>
              <w:tab/>
              <w:t>rezolucja Parlamentu Europejskiego z dnia 15 lutego 2022 r. w sprawie wpływu krajowych reform podatkowych na gospodarkę UE (</w:t>
            </w:r>
            <w:r w:rsidR="00AF5DB2">
              <w:rPr>
                <w:b/>
                <w:i/>
              </w:rPr>
              <w:t>2021/2074(INI)</w:t>
            </w:r>
            <w:r w:rsidRPr="000F6BEB">
              <w:rPr>
                <w:b/>
                <w:i/>
              </w:rPr>
              <w:t xml:space="preserve">) (Dz.U. C 342 z 6.9.2022, </w:t>
            </w:r>
            <w:proofErr w:type="gramStart"/>
            <w:r w:rsidRPr="000F6BEB">
              <w:rPr>
                <w:b/>
                <w:i/>
              </w:rPr>
              <w:t>s</w:t>
            </w:r>
            <w:proofErr w:type="gramEnd"/>
            <w:r w:rsidRPr="000F6BEB">
              <w:rPr>
                <w:b/>
                <w:i/>
              </w:rPr>
              <w:t>. 14).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4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(3)</w:t>
            </w:r>
            <w:r w:rsidRPr="000F6BEB">
              <w:tab/>
              <w:t>Aby</w:t>
            </w:r>
            <w:proofErr w:type="gramEnd"/>
            <w:r w:rsidRPr="000F6BEB">
              <w:t xml:space="preserve"> wyeliminować potencjalne zakłócenia związane z</w:t>
            </w:r>
            <w:r w:rsidRPr="000F6BEB">
              <w:rPr>
                <w:b/>
                <w:i/>
              </w:rPr>
              <w:t> </w:t>
            </w:r>
            <w:r w:rsidRPr="000F6BEB">
              <w:t>podatkami między państwami członkowskimi, należy ustanowić wspólne ramy przepisów służących rozwiązaniu w</w:t>
            </w:r>
            <w:r w:rsidRPr="000F6BEB">
              <w:rPr>
                <w:b/>
                <w:i/>
              </w:rPr>
              <w:t> </w:t>
            </w:r>
            <w:r w:rsidRPr="000F6BEB">
              <w:t>skoordynowany sposób problemu uwarunkowanego podatkami uprzywilejowania finansowania dłużnego w</w:t>
            </w:r>
            <w:r w:rsidRPr="000F6BEB">
              <w:rPr>
                <w:b/>
                <w:i/>
              </w:rPr>
              <w:t> </w:t>
            </w:r>
            <w:r w:rsidRPr="000F6BEB">
              <w:t>stosunku do kapitałowego na terytorium całej Unii. Takie przepisy powinny zapewniać podobne traktowanie finansowania kapitałowego i finansowania dłużnego do celów podatkowych na jednolitym rynku. Jednocześnie wspólne unijne ramy legislacyjne powinny być zrównoważone dla budżetów państw członkowskich również w</w:t>
            </w:r>
            <w:r w:rsidRPr="000F6BEB">
              <w:rPr>
                <w:b/>
                <w:i/>
              </w:rPr>
              <w:t> </w:t>
            </w:r>
            <w:r w:rsidRPr="000F6BEB">
              <w:t xml:space="preserve">perspektywie krótkoterminowej. Tego rodzaju ramy powinny zatem uwzględniać, z jednej strony, przepisy zapewniające możliwość odliczania od podstawy opodatkowania </w:t>
            </w:r>
            <w:r w:rsidRPr="000F6BEB">
              <w:lastRenderedPageBreak/>
              <w:t>kosztów finansowania kapitałowego, oraz, z drugiej strony, przepisy ograniczające możliwość odliczania od tej podstawy kosztów finansowania dłużnego.</w:t>
            </w:r>
          </w:p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A05CAF">
            <w:pPr>
              <w:pStyle w:val="Normal6a"/>
              <w:rPr>
                <w:b/>
                <w:i/>
              </w:rPr>
            </w:pPr>
            <w:proofErr w:type="gramStart"/>
            <w:r w:rsidRPr="000F6BEB">
              <w:lastRenderedPageBreak/>
              <w:t>(3)</w:t>
            </w:r>
            <w:r w:rsidRPr="000F6BEB">
              <w:tab/>
              <w:t>Aby</w:t>
            </w:r>
            <w:proofErr w:type="gramEnd"/>
            <w:r w:rsidRPr="000F6BEB">
              <w:t xml:space="preserve"> wyeliminować potencjalne zakłócenia związane z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podatkami między państwami członkowskimi, należy ustanowić wspólne ramy przepisów służących rozwiązaniu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skoordynowany sposób problemu uwarunkowanego podatkami uprzywilejowania finansowania dłużnego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stosunku do kapitałowego na terytorium całej Unii</w:t>
            </w:r>
            <w:r w:rsidRPr="000F6BEB">
              <w:rPr>
                <w:b/>
                <w:i/>
              </w:rPr>
              <w:t>, przy pełnym poszanowaniu ram instytucjonalnych Unii w kwestiach podatkowych ustanowionych w traktatach</w:t>
            </w:r>
            <w:r w:rsidRPr="000F6BEB">
              <w:t>. Takie przepisy powinny zapewniać podobne traktowanie finansowania kapitałowego i finansowania dłużnego do celów podatkowych na jednolitym rynku. Jednocześnie</w:t>
            </w:r>
            <w:r w:rsidRPr="000F6BEB">
              <w:rPr>
                <w:b/>
                <w:i/>
              </w:rPr>
              <w:t xml:space="preserve">, biorąc pod uwagę szerokie możliwości odliczania długu od podatku oraz fakt, że utworzenie ulgi z tytułu wzrostu kapitału własnego mogłoby mieć bezpośredni wpływ na </w:t>
            </w:r>
            <w:r w:rsidRPr="000F6BEB">
              <w:rPr>
                <w:b/>
                <w:i/>
              </w:rPr>
              <w:lastRenderedPageBreak/>
              <w:t>dochody publiczne,</w:t>
            </w:r>
            <w:r w:rsidRPr="000F6BEB">
              <w:t xml:space="preserve"> wspólne unijne ramy legislacyjne powinny być zrównoważone dla budżetów państw członkowskich również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 xml:space="preserve">perspektywie krótkoterminowej. Tego rodzaju ramy powinny zatem uwzględniać, z jednej strony, przepisy zapewniające możliwość odliczania od podstawy opodatkowania kosztów finansowania kapitałowego, oraz, z drugiej strony, przepisy ograniczające możliwość odliczania od tej podstawy kosztów finansowania dłużnego. </w:t>
            </w:r>
            <w:r w:rsidRPr="000F6BEB">
              <w:rPr>
                <w:b/>
                <w:i/>
              </w:rPr>
              <w:t>Niniejsza dyrektywa m</w:t>
            </w:r>
            <w:r w:rsidR="00A05CAF">
              <w:rPr>
                <w:b/>
                <w:i/>
              </w:rPr>
              <w:t>a</w:t>
            </w:r>
            <w:r w:rsidRPr="000F6BEB">
              <w:rPr>
                <w:b/>
                <w:i/>
              </w:rPr>
              <w:t xml:space="preserve"> na celu osiągnięcie lepszej równowagi między różnymi wyzwaniami związanymi ze stabilnością finansów publicznych państw członkowskich w perspektywie krótkoterminowej, a tym samym powinna zapobiegać ponoszeniu przez państwa członkowskie znacznych strat w dochodach i dążyć do poprawy stabilności finansowej przedsiębiorstw.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5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3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A05CAF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(3a</w:t>
            </w:r>
            <w:proofErr w:type="gramStart"/>
            <w:r w:rsidRPr="000F6BEB">
              <w:rPr>
                <w:b/>
                <w:i/>
              </w:rPr>
              <w:t>)</w:t>
            </w:r>
            <w:r w:rsidRPr="000F6BEB">
              <w:rPr>
                <w:b/>
                <w:i/>
              </w:rPr>
              <w:tab/>
              <w:t>Aby</w:t>
            </w:r>
            <w:proofErr w:type="gramEnd"/>
            <w:r w:rsidRPr="000F6BEB">
              <w:rPr>
                <w:b/>
                <w:i/>
              </w:rPr>
              <w:t xml:space="preserve"> dalej rozwijać unię rynków kapitałowych, niniejsza dyrektywa </w:t>
            </w:r>
            <w:r w:rsidR="00A05CAF">
              <w:rPr>
                <w:b/>
                <w:i/>
              </w:rPr>
              <w:t>ma</w:t>
            </w:r>
            <w:r w:rsidRPr="000F6BEB">
              <w:rPr>
                <w:b/>
                <w:i/>
              </w:rPr>
              <w:t xml:space="preserve"> na celu dywersyfikację źródeł finansowania dla unijnych przedsiębiorstw, a szczególnie dla MŚP. W związku z tym należy unikać tworzenia nowych kosztów i barier w dostępie do finansowania dla tych przedsiębiorstw, które nie mają jeszcze łatwego dostępu do rynków kapitałowych. Ograniczenie możliwości odliczania kosztów odsetek przez te przedsiębiorstwa mogłoby utrudnić inwestycje w całej Unii, dlatego też odliczanie odsetek nie powinno być ograniczane w przypadku MŚP i średniej wielkości grup.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lastRenderedPageBreak/>
        <w:t>Poprawka</w:t>
      </w:r>
      <w:r w:rsidRPr="000F6BEB">
        <w:tab/>
      </w:r>
      <w:r w:rsidRPr="000F6BEB">
        <w:tab/>
        <w:t>6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5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(5)</w:t>
            </w:r>
            <w:r w:rsidRPr="000F6BEB">
              <w:tab/>
              <w:t>Aby</w:t>
            </w:r>
            <w:proofErr w:type="gramEnd"/>
            <w:r w:rsidRPr="000F6BEB">
              <w:t xml:space="preserve"> zneutralizować uprzywilejowanie działające na niekorzyść finansowania kapitałowego, należy wprowadzić ulgę umożliwiającą – z zastrzeżeniem spełnienia określonych warunków – odliczanie od podstawy opodatkowania wzrostu kapitału własnego podatnika, do którego doszło między jednym okresem rozliczeniowym a drugim. Wspomnianą ulgę powinno się obliczać, mnożąc kwotę wzrostu kapitału własnego przez stopę odsetek nominalnych bazującą na stopie procentowej wolnej od ryzyka zgodnie z aktami wykonawczymi przyjętymi na mocy art. 77e ust. 2 dyrektywy 2009/138/WE. Wspomniane stopy procentowe wolne od ryzyka są już częścią prawa Unii i jako takie są skutecznie stosowane w praktyce. Dowolną część ulgi, której nie będzie można odliczyć w danym okresie rozliczeniowym z uwagi na niewystarczającą kwotę dochodów podlegających opodatkowaniu, będzie można przenieść na przyszły okres. Biorąc pod uwagę szczególne trudności w dostępie do rynków kapitałowych napotykane przez małe i średnie przedsiębiorstwa (MŚP), należy wprowadzić wyższą ulgę kapitałową dla podatników będących MŚP. Aby możliwość odliczania ulgi kapitałowej nie zaburzyła stabilności finansów publicznych w</w:t>
            </w:r>
            <w:r w:rsidRPr="000F6BEB">
              <w:rPr>
                <w:b/>
                <w:i/>
              </w:rPr>
              <w:t> </w:t>
            </w:r>
            <w:r w:rsidRPr="000F6BEB">
              <w:t xml:space="preserve">perspektywie krótkoterminowej, ulga ta powinna być przyznawana na określony czas. W celu ochrony systemu przed nadużyciami przy obliczaniu zmian poziomu kapitału własnego wyłączyć należy wartości dla celów podatkowych akcji lub udziałów własnych podatnika oraz jego udziały w powiązanych przedsiębiorstwach. Podobnie należy przewidzieć możliwość opodatkowania obniżenia kapitału własnego podatnika między jednym okresem rozliczeniowym </w:t>
            </w:r>
            <w:r w:rsidRPr="000F6BEB">
              <w:lastRenderedPageBreak/>
              <w:t>a kolejnym okresem, co pozwoli unikać nadużyć związanych z manipulowaniem wzrostem kapitału własnego. Wprowadzenie tego rodzaju przepisu zachęcałoby również do utrzymywania kapitału własnego na określonym poziomie. Zgodnie z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tym przepisem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przypadku obniżenia poziomu kapitału własnego podatnika, który korzystał z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ulgi z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tytułu wzrostu kapitału własnego, kwota obliczona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taki sam sposób jak podstawa ulgi podlegałaby opodatkowaniu przez 10 okresów rozliczeniowych, chyba że podatnik przedstawiłby dowody świadczące o tym, że tego rodzaju obniżenie kapitału własnego było spowodowane wyłącznie stratami poniesionymi w danym okresie rozliczeniowym lub spoczywającym na nim zobowiązaniem prawnym.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lastRenderedPageBreak/>
              <w:t>(5)</w:t>
            </w:r>
            <w:r w:rsidRPr="000F6BEB">
              <w:tab/>
              <w:t>Aby</w:t>
            </w:r>
            <w:proofErr w:type="gramEnd"/>
            <w:r w:rsidRPr="000F6BEB">
              <w:t xml:space="preserve"> zneutralizować uprzywilejowanie działające na niekorzyść finansowania kapitałowego, należy wprowadzić ulgę umożliwiającą – z zastrzeżeniem spełnienia określonych warunków – odliczanie od podstawy opodatkowania wzrostu kapitału własnego podatnika, do którego doszło między jednym okresem rozliczeniowym a drugim. Wspomnianą ulgę powinno się obliczać, mnożąc kwotę wzrostu kapitału własnego przez stopę odsetek nominalnych bazującą na stopie procentowej wolnej od ryzyka zgodnie z aktami wykonawczymi przyjętymi na mocy art. 77e ust. 2 dyrektywy 2009/138/WE. Wspomniane stopy procentowe wolne od ryzyka są już częścią prawa Unii i jako takie są skutecznie stosowane w praktyce. Dowolną część ulgi, której nie będzie można odliczyć w danym okresie rozliczeniowym z uwagi na niewystarczającą kwotę dochodów podlegających opodatkowaniu, będzie można przenieść na przyszły okres. Biorąc pod uwagę szczególne trudności w dostępie do rynków kapitałowych napotykane przez małe i średnie przedsiębiorstwa (MŚP)</w:t>
            </w:r>
            <w:r w:rsidRPr="000F6BEB">
              <w:rPr>
                <w:b/>
                <w:i/>
              </w:rPr>
              <w:t xml:space="preserve"> i średniej wielkości grupy, ich wyższe koszty finansowania, niższą dostępność kapitału oraz wyższe prawdopodobieństwo, że będą one doświadczać dłuższych okresów strat</w:t>
            </w:r>
            <w:r w:rsidRPr="000F6BEB">
              <w:t xml:space="preserve">, należy wprowadzić wyższą ulgę kapitałową </w:t>
            </w:r>
            <w:r w:rsidRPr="000F6BEB">
              <w:rPr>
                <w:b/>
                <w:bCs/>
                <w:i/>
              </w:rPr>
              <w:t xml:space="preserve">oraz dłuższe okresy, w których możliwe będzie skorzystanie z odliczenia podatkowego, </w:t>
            </w:r>
            <w:r w:rsidRPr="000F6BEB">
              <w:t>dla podatników będących MŚP</w:t>
            </w:r>
            <w:r w:rsidRPr="000F6BEB">
              <w:rPr>
                <w:b/>
                <w:i/>
              </w:rPr>
              <w:t xml:space="preserve"> lub średniej wielkości grupami</w:t>
            </w:r>
            <w:r w:rsidRPr="000F6BEB">
              <w:t>. Aby możliwość odliczania ulgi kapitałowej nie zaburzyła stabilności finansów publicznych w</w:t>
            </w:r>
            <w:r w:rsidRPr="000F6BEB">
              <w:rPr>
                <w:b/>
                <w:i/>
              </w:rPr>
              <w:t xml:space="preserve"> </w:t>
            </w:r>
            <w:r w:rsidRPr="000F6BEB">
              <w:t>perspektywie krótkoterminowej, ulga ta powinna być</w:t>
            </w:r>
            <w:r w:rsidRPr="000F6BEB">
              <w:rPr>
                <w:b/>
                <w:i/>
              </w:rPr>
              <w:t xml:space="preserve"> odpowiednio i proporcjonalnie</w:t>
            </w:r>
            <w:r w:rsidRPr="000F6BEB">
              <w:t xml:space="preserve"> przyznawana na określony czas. W celu ochrony systemu przed nadużyciami przy obliczaniu zmian </w:t>
            </w:r>
            <w:r w:rsidRPr="000F6BEB">
              <w:lastRenderedPageBreak/>
              <w:t>poziomu kapitału własnego wyłączyć należy wartości dla celów podatkowych akcji lub udziałów własnych podatnika oraz jego udziały w powiązanych przedsiębiorstwach. Podobnie należy przewidzieć możliwość opodatkowania obniżenia kapitału własnego podatnika między jednym okresem rozliczeniowym a kolejnym okresem, co pozwoli unikać nadużyć związanych z manipulowaniem wzrostem kapitału własnego. Wprowadzenie tego rodzaju przepisu zachęcałoby również do utrzymywania kapitału własnego na określonym poziomie. Zgodnie z</w:t>
            </w:r>
            <w:r w:rsidRPr="000F6BEB">
              <w:rPr>
                <w:b/>
                <w:i/>
              </w:rPr>
              <w:t> </w:t>
            </w:r>
            <w:r w:rsidRPr="000F6BEB">
              <w:t>tym przepisem w</w:t>
            </w:r>
            <w:r w:rsidRPr="000F6BEB">
              <w:rPr>
                <w:b/>
                <w:i/>
              </w:rPr>
              <w:t> </w:t>
            </w:r>
            <w:r w:rsidRPr="000F6BEB">
              <w:t>przypadku obniżenia poziomu kapitału własnego podatnika, który korzystał z</w:t>
            </w:r>
            <w:r w:rsidRPr="000F6BEB">
              <w:rPr>
                <w:b/>
                <w:i/>
              </w:rPr>
              <w:t> </w:t>
            </w:r>
            <w:r w:rsidRPr="000F6BEB">
              <w:t>ulgi z</w:t>
            </w:r>
            <w:r w:rsidRPr="000F6BEB">
              <w:rPr>
                <w:b/>
                <w:i/>
              </w:rPr>
              <w:t> </w:t>
            </w:r>
            <w:r w:rsidRPr="000F6BEB">
              <w:t>tytułu wzrostu kapitału własnego, kwota obliczona w</w:t>
            </w:r>
            <w:r w:rsidRPr="000F6BEB">
              <w:rPr>
                <w:b/>
                <w:i/>
              </w:rPr>
              <w:t> </w:t>
            </w:r>
            <w:r w:rsidRPr="000F6BEB">
              <w:t>taki sam sposób jak podstawa ulgi podlegałaby opodatkowaniu przez 10 okresów rozliczeniowych</w:t>
            </w:r>
            <w:r w:rsidRPr="000F6BEB">
              <w:rPr>
                <w:b/>
                <w:i/>
              </w:rPr>
              <w:t xml:space="preserve"> dla MŚP i średniej wielkości grup oraz przez 7 kolejnych okresów rozliczeniowych dla każdego podatnika innego niż MŚP lub średniej wielkości grupa</w:t>
            </w:r>
            <w:r w:rsidRPr="000F6BEB">
              <w:t xml:space="preserve">, chyba że podatnik przedstawiłby dowody świadczące o tym, że tego rodzaju obniżenie kapitału własnego było spowodowane wyłącznie stratami poniesionymi w danym okresie rozliczeniowym lub spoczywającym na nim zobowiązaniem prawnym. </w:t>
            </w:r>
            <w:r w:rsidRPr="000F6BEB">
              <w:rPr>
                <w:b/>
                <w:i/>
              </w:rPr>
              <w:t>Komisja i państwa członkowskie powinny wdrożyć działania informacyjne i komunikacyjne w związku z niniejszą dyrektywą, w szczególności na temat możliwości i korzyści, jakie stwarza ona dla MŚP.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7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Motyw 6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(6)</w:t>
            </w:r>
            <w:r w:rsidRPr="000F6BEB">
              <w:tab/>
              <w:t>Aby</w:t>
            </w:r>
            <w:proofErr w:type="gramEnd"/>
            <w:r w:rsidRPr="000F6BEB">
              <w:t xml:space="preserve"> nie dopuścić do korzystania z ulgi kapitałowej niezgodnie z przeznaczeniem, należy przyjąć określone przepisy służące </w:t>
            </w:r>
            <w:r w:rsidRPr="000F6BEB">
              <w:lastRenderedPageBreak/>
              <w:t>przeciwdziałaniu zjawisku unikania opodatkowania. Takie przepisy powinny koncentrować się w szczególności na systemach opracowywanych w celu obchodzenia warunków, które wzrost kapitału własnego musi spełnić, aby można było uznać go za kwalifikującego się do objęcia ulgą przewidzianą w niniejszej dyrektywie, na przykład na systemach wewnątrzgrupowych przeniesień udziałów w powiązanych przedsiębiorstwach. Przepisy te powinny również służyć eliminowaniu systemów ustanawianych w celu korzystania z ulgi pomimo braku jakiegokolwiek wzrostu poziomu kapitału własnego na poziomie grupy. Takie systemy mogą obejmować na przykład korzystanie z wewnątrzgrupowych instrumentów finansowania dłużnego lub z wkładów pieniężnych. Szczegółowe przepisy służące zapobieganiu unikania opodatkowania powinny również uniemożliwiać wprowadzanie systemów, które pozwalają na wykazywanie wykazanie wyższego wzrostu kapitału własnego niż w rzeczywistości, a tym samym ubieganie się o przyznanie wyższej ulgi</w:t>
            </w:r>
            <w:proofErr w:type="gramStart"/>
            <w:r w:rsidRPr="000F6BEB">
              <w:t>,,</w:t>
            </w:r>
            <w:proofErr w:type="gramEnd"/>
            <w:r w:rsidRPr="000F6BEB">
              <w:t xml:space="preserve"> na przykład poprzez zwiększanie należności z tytułu finansowania pożyczek lub zawyżanie wartości aktywów. Ponadto w odniesieniu do działań stanowiących nadużycia, które nie są objęte szczegółowymi ramami służącymi przeciwdziałaniu zjawisku unikania opodatkowania, zastosowanie mają przepisy ogólne przeciw unikaniu opodatkowania ustanowione w art. 6 dyrektywy Rady (UE) 2016/1164</w:t>
            </w:r>
            <w:r w:rsidRPr="000F6BEB">
              <w:rPr>
                <w:rStyle w:val="Sup"/>
              </w:rPr>
              <w:t>15</w:t>
            </w:r>
            <w:r w:rsidRPr="000F6BEB">
              <w:t>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lastRenderedPageBreak/>
              <w:t>(6)</w:t>
            </w:r>
            <w:r w:rsidRPr="000F6BEB">
              <w:tab/>
              <w:t>Aby</w:t>
            </w:r>
            <w:proofErr w:type="gramEnd"/>
            <w:r w:rsidRPr="000F6BEB">
              <w:t xml:space="preserve"> nie dopuścić do korzystania z ulgi kapitałowej niezgodnie z przeznaczeniem, należy przyjąć określone przepisy służące </w:t>
            </w:r>
            <w:r w:rsidRPr="000F6BEB">
              <w:lastRenderedPageBreak/>
              <w:t>przeciwdziałaniu zjawisku unikania opodatkowania. Takie przepisy powinny koncentrować się w szczególności na systemach opracowywanych w celu obchodzenia warunków, które wzrost kapitału własnego musi spełnić, aby można było uznać go za kwalifikującego się do objęcia ulgą przewidzianą w niniejszej dyrektywie, na przykład na systemach wewnątrzgrupowych przeniesień udziałów w powiązanych przedsiębiorstwach. Przepisy te powinny również służyć eliminowaniu systemów ustanawianych w celu korzystania z ulgi pomimo braku jakiegokolwiek wzrostu poziomu kapitału własnego na poziomie grupy. Takie systemy mogą obejmować na przykład korzystanie z wewnątrzgrupowych instrumentów finansowania dłużnego lub z wkładów pieniężnych. Szczegółowe przepisy służące zapobieganiu unikania opodatkowania powinny również uniemożliwiać wprowadzanie systemów, które pozwalają na wykazywanie wykazanie wyższego wzrostu kapitału własnego niż w rzeczywistości, a tym samym ubieganie się o przyznanie wyższej ulgi</w:t>
            </w:r>
            <w:proofErr w:type="gramStart"/>
            <w:r w:rsidRPr="000F6BEB">
              <w:t>,,</w:t>
            </w:r>
            <w:proofErr w:type="gramEnd"/>
            <w:r w:rsidRPr="000F6BEB">
              <w:t xml:space="preserve"> na przykład poprzez zwiększanie należności z tytułu finansowania pożyczek lub zawyżanie wartości aktywów. Ponadto w odniesieniu do działań stanowiących nadużycia, które nie są objęte szczegółowymi ramami służącymi przeciwdziałaniu zjawisku unikania opodatkowania, zastosowanie mają przepisy ogólne przeciw unikaniu opodatkowania ustanowione w art. 6 dyrektywy Rady (UE) 2016/1164</w:t>
            </w:r>
            <w:r w:rsidRPr="000F6BEB">
              <w:rPr>
                <w:rStyle w:val="Sup"/>
              </w:rPr>
              <w:t>15</w:t>
            </w:r>
            <w:r w:rsidRPr="000F6BEB">
              <w:t xml:space="preserve">. </w:t>
            </w:r>
            <w:r w:rsidRPr="000F6BEB">
              <w:rPr>
                <w:b/>
                <w:i/>
              </w:rPr>
              <w:t>Państwa członkowskie powinny również zadbać o to, by środki przyjęte w celu transpozycji niniejszej dyrektywy do prawa krajowego były zgodne z wytycznymi Grupy ds. Kodeksu Postępowania (opodatkowanie działalności gospodarczej).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lastRenderedPageBreak/>
              <w:t>_________________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_________________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rStyle w:val="Sup"/>
              </w:rPr>
              <w:t>15</w:t>
            </w:r>
            <w:r w:rsidRPr="000F6BEB">
              <w:t xml:space="preserve"> Dyrektywa Rady (UE) 2016/1164 z dnia 12 lipca 2016 r. ustanawiająca przepisy mające na celu przeciwdziałanie </w:t>
            </w:r>
            <w:r w:rsidRPr="000F6BEB">
              <w:lastRenderedPageBreak/>
              <w:t xml:space="preserve">praktykom unikania opodatkowania, które mają bezpośredni wpływ na funkcjonowanie rynku wewnętrznego (Dz.U. L 193 z 19.7.2016, </w:t>
            </w:r>
            <w:proofErr w:type="gramStart"/>
            <w:r w:rsidRPr="000F6BEB">
              <w:t>s</w:t>
            </w:r>
            <w:proofErr w:type="gramEnd"/>
            <w:r w:rsidRPr="000F6BEB">
              <w:t>. 1).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rStyle w:val="Sup"/>
              </w:rPr>
              <w:lastRenderedPageBreak/>
              <w:t>15</w:t>
            </w:r>
            <w:r w:rsidRPr="000F6BEB">
              <w:t xml:space="preserve"> Dyrektywa Rady (UE) 2016/1164 z dnia 12 lipca 2016 r. ustanawiająca przepisy mające na celu przeciwdziałanie </w:t>
            </w:r>
            <w:r w:rsidRPr="000F6BEB">
              <w:lastRenderedPageBreak/>
              <w:t xml:space="preserve">praktykom unikania opodatkowania, które mają bezpośredni wpływ na funkcjonowanie rynku wewnętrznego (Dz.U. L 193 z 19.7.2016, </w:t>
            </w:r>
            <w:proofErr w:type="gramStart"/>
            <w:r w:rsidRPr="000F6BEB">
              <w:t>s</w:t>
            </w:r>
            <w:proofErr w:type="gramEnd"/>
            <w:r w:rsidRPr="000F6BEB">
              <w:t>. 1).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8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6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i/>
                <w:szCs w:val="24"/>
              </w:rPr>
            </w:pPr>
            <w:r w:rsidRPr="000F6BEB">
              <w:rPr>
                <w:b/>
                <w:i/>
              </w:rPr>
              <w:t>(6a</w:t>
            </w:r>
            <w:proofErr w:type="gramStart"/>
            <w:r w:rsidRPr="000F6BEB">
              <w:rPr>
                <w:b/>
                <w:i/>
              </w:rPr>
              <w:t>)</w:t>
            </w:r>
            <w:r w:rsidRPr="000F6BEB">
              <w:rPr>
                <w:b/>
                <w:i/>
              </w:rPr>
              <w:tab/>
              <w:t>Możliwe</w:t>
            </w:r>
            <w:proofErr w:type="gramEnd"/>
            <w:r w:rsidRPr="000F6BEB">
              <w:rPr>
                <w:b/>
                <w:i/>
              </w:rPr>
              <w:t xml:space="preserve"> koszty budżetowe wynikające z wdrożenia niniejszej dyrektywy należy ocenić razem z korzyściami uzyskanymi dzięki zapewnieniu solidniejszej bazy finansowej dla przedsiębiorstw unijnych, co miałoby ogromne znaczenie w przypadku napięć finansowych.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9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7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(7)</w:t>
            </w:r>
            <w:r w:rsidRPr="000F6BEB">
              <w:tab/>
              <w:t>Aby</w:t>
            </w:r>
            <w:proofErr w:type="gramEnd"/>
            <w:r w:rsidRPr="000F6BEB">
              <w:t xml:space="preserve"> skutecznie rozwiązać problem zjawiska uprzywilejowania finansowania dłużnego w stosunku do kapitałowego, któremu sprzyja system podatkowy, w sposób zrównoważony dla finansów publicznych Unii, uldze dotyczącej finansowania kapitałowego </w:t>
            </w:r>
            <w:r w:rsidRPr="000F6BEB">
              <w:rPr>
                <w:b/>
                <w:i/>
              </w:rPr>
              <w:t>powinno</w:t>
            </w:r>
            <w:r w:rsidRPr="000F6BEB">
              <w:t xml:space="preserve"> towarzyszyć </w:t>
            </w:r>
            <w:r w:rsidRPr="000F6BEB">
              <w:rPr>
                <w:b/>
                <w:i/>
              </w:rPr>
              <w:t>ograniczenie</w:t>
            </w:r>
            <w:r w:rsidRPr="000F6BEB">
              <w:t xml:space="preserve"> możliwości odliczania kosztów finansowania </w:t>
            </w:r>
            <w:r w:rsidRPr="000F6BEB">
              <w:rPr>
                <w:b/>
                <w:i/>
              </w:rPr>
              <w:t>dłużnego</w:t>
            </w:r>
            <w:r w:rsidRPr="000F6BEB">
              <w:t xml:space="preserve"> od podstawy opodatkowania</w:t>
            </w:r>
            <w:r w:rsidRPr="000F6BEB">
              <w:rPr>
                <w:b/>
                <w:i/>
              </w:rPr>
              <w:t>.</w:t>
            </w:r>
            <w:r w:rsidRPr="000F6BEB">
              <w:t xml:space="preserve"> </w:t>
            </w:r>
            <w:r w:rsidRPr="000F6BEB">
              <w:rPr>
                <w:b/>
                <w:i/>
              </w:rPr>
              <w:t>Należy zatem przyjąć przepis ograniczający możliwość odliczania odsetek, który będzie stosowany niezależnie od ulgi i który wprowadzi limit nadwyżki kosztów finansowania zewnętrznego podlegającej odliczeniu od podstawy opodatkowania.</w:t>
            </w:r>
            <w:r w:rsidRPr="000F6BEB">
              <w:t xml:space="preserve"> Biorąc pod uwagę różne cele przyświecające takiemu przepisowi i istniejącemu przepisowi służącemu przeciwdziałaniu unikaniu opodatkowania poprzez ograniczanie </w:t>
            </w:r>
            <w:r w:rsidRPr="000F6BEB">
              <w:lastRenderedPageBreak/>
              <w:t>możliwość odliczania odsetek, tj. art. 4 dyrektywy (UE) 2016/1164, należy utrzymać obydwa te przepisy. Podatnicy powinni w pierwszej kolejności dokonywać obliczeń na potrzeby możliwości odliczenia nadwyżki kosztów finansowania zewnętrznego od podstawy opodatkowania zgodnie z przepisami niniejszej dyrektywy, a dopiero w dalszej kolejności zgodnie z przepisami ATAD. Jeżeli obliczenia przeprowadzone zgodnie z przepisami ATAD doprowadzą do uzyskania niższej kwoty nadwyżki kosztów finansowania zewnętrznego podlegającej odliczeniu od podstawy opodatkowania, podatnik powinien odliczyć taką niższą kwotę i przenieść wszelką różnicę między tymi dwiema kwotami na przyszłe lub poprzednie okresy zgodnie z art. 4 ATAD.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proofErr w:type="gramStart"/>
            <w:r w:rsidRPr="000F6BEB">
              <w:lastRenderedPageBreak/>
              <w:t>(7)</w:t>
            </w:r>
            <w:r w:rsidRPr="000F6BEB">
              <w:tab/>
              <w:t>Aby</w:t>
            </w:r>
            <w:proofErr w:type="gramEnd"/>
            <w:r w:rsidRPr="000F6BEB">
              <w:t xml:space="preserve"> skutecznie rozwiązać problem zjawiska uprzywilejowania finansowania dłużnego w stosunku do kapitałowego, któremu sprzyja system podatkowy, w sposób zrównoważony dla finansów publicznych Unii, uldze dotyczącej finansowania kapitałowego </w:t>
            </w:r>
            <w:r w:rsidRPr="000F6BEB">
              <w:rPr>
                <w:b/>
                <w:i/>
              </w:rPr>
              <w:t>powinna</w:t>
            </w:r>
            <w:r w:rsidRPr="000F6BEB">
              <w:t xml:space="preserve"> towarzyszyć </w:t>
            </w:r>
            <w:r w:rsidRPr="000F6BEB">
              <w:rPr>
                <w:b/>
                <w:i/>
              </w:rPr>
              <w:t>zasada ograniczania</w:t>
            </w:r>
            <w:r w:rsidRPr="000F6BEB">
              <w:t xml:space="preserve"> możliwości odliczania </w:t>
            </w:r>
            <w:r w:rsidRPr="000F6BEB">
              <w:rPr>
                <w:b/>
                <w:i/>
              </w:rPr>
              <w:t xml:space="preserve">nadwyżki </w:t>
            </w:r>
            <w:r w:rsidRPr="000F6BEB">
              <w:t xml:space="preserve">kosztów finansowania </w:t>
            </w:r>
            <w:r w:rsidRPr="000F6BEB">
              <w:rPr>
                <w:b/>
                <w:i/>
              </w:rPr>
              <w:t>zewnętrznego</w:t>
            </w:r>
            <w:r w:rsidRPr="000F6BEB">
              <w:t xml:space="preserve"> od podstawy opodatkowania</w:t>
            </w:r>
            <w:r w:rsidRPr="000F6BEB">
              <w:rPr>
                <w:b/>
                <w:i/>
              </w:rPr>
              <w:t xml:space="preserve"> w przypadku grup, które nie są średniej wielkości grupami, oraz przedsiębiorstw</w:t>
            </w:r>
            <w:r w:rsidRPr="000F6BEB">
              <w:t xml:space="preserve">, </w:t>
            </w:r>
            <w:r w:rsidRPr="000F6BEB">
              <w:rPr>
                <w:b/>
                <w:i/>
              </w:rPr>
              <w:t>które nie są MŚP.</w:t>
            </w:r>
            <w:r w:rsidRPr="000F6BEB">
              <w:t xml:space="preserve"> </w:t>
            </w:r>
            <w:r w:rsidRPr="000F6BEB">
              <w:rPr>
                <w:b/>
                <w:i/>
              </w:rPr>
              <w:t>Biorąc jednak pod uwagę niekorzystne warunki gospodarcze wynikające z kryzysu związanego z COVID-19</w:t>
            </w:r>
            <w:r w:rsidRPr="000F6BEB">
              <w:t xml:space="preserve"> i</w:t>
            </w:r>
            <w:r w:rsidRPr="000F6BEB">
              <w:rPr>
                <w:b/>
                <w:i/>
              </w:rPr>
              <w:t xml:space="preserve"> rosyjskiej wojny napastniczej przeciwko Ukrainie, tę zasadę ograniczenia należy wprowadzić dopiero</w:t>
            </w:r>
            <w:r w:rsidRPr="000F6BEB">
              <w:t xml:space="preserve"> od </w:t>
            </w:r>
            <w:r w:rsidRPr="000F6BEB">
              <w:rPr>
                <w:b/>
                <w:i/>
              </w:rPr>
              <w:t>2027 r</w:t>
            </w:r>
            <w:r w:rsidRPr="000F6BEB">
              <w:t xml:space="preserve">. Biorąc pod uwagę różne cele przyświecające takiemu </w:t>
            </w:r>
            <w:r w:rsidRPr="000F6BEB">
              <w:lastRenderedPageBreak/>
              <w:t>przepisowi i istniejącemu przepisowi służącemu przeciwdziałaniu unikaniu opodatkowania poprzez ograniczanie możliwość odliczania odsetek, tj. art. 4 dyrektywy (UE) 2016/1164, należy utrzymać obydwa te przepisy. Podatnicy powinni w pierwszej kolejności dokonywać obliczeń na potrzeby możliwości odliczenia nadwyżki kosztów finansowania zewnętrznego od podstawy opodatkowania zgodnie z przepisami niniejszej dyrektywy, a dopiero w dalszej kolejności zgodnie z przepisami ATAD. Jeżeli obliczenia przeprowadzone zgodnie z przepisami ATAD doprowadzą do uzyskania niższej kwoty nadwyżki kosztów finansowania zewnętrznego podlegającej odliczeniu od podstawy opodatkowania, podatnik powinien odliczyć taką niższą kwotę i przenieść wszelką różnicę między tymi dwiema kwotami na przyszłe lub poprzednie okresy zgodnie z art. 4 ATAD.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10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Motyw 9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proofErr w:type="gramStart"/>
            <w:r w:rsidRPr="000F6BEB">
              <w:t>(9)</w:t>
            </w:r>
            <w:r w:rsidRPr="000F6BEB">
              <w:tab/>
              <w:t>Aby</w:t>
            </w:r>
            <w:proofErr w:type="gramEnd"/>
            <w:r w:rsidRPr="000F6BEB">
              <w:t xml:space="preserve"> ocenić skuteczność niniejszej dyrektywy, Komisja powinna sporządzić i opublikować sprawozdanie oceniające na podstawie informacji przekazanych przez państwa członkowskie i innych dostępnych danych.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proofErr w:type="gramStart"/>
            <w:r w:rsidRPr="000F6BEB">
              <w:t>(9)</w:t>
            </w:r>
            <w:r w:rsidRPr="000F6BEB">
              <w:tab/>
              <w:t>Aby</w:t>
            </w:r>
            <w:proofErr w:type="gramEnd"/>
            <w:r w:rsidRPr="000F6BEB">
              <w:t xml:space="preserve"> ocenić skuteczność niniejszej dyrektywy</w:t>
            </w:r>
            <w:r w:rsidRPr="000F6BEB">
              <w:rPr>
                <w:b/>
                <w:i/>
              </w:rPr>
              <w:t xml:space="preserve"> oraz jej wpływ na MŚP i dochody podatkowe w państwach członkowskich</w:t>
            </w:r>
            <w:r w:rsidRPr="000F6BEB">
              <w:t xml:space="preserve">, Komisja powinna sporządzić i opublikować sprawozdanie oceniające na podstawie informacji przekazanych przez państwa członkowskie i innych dostępnych danych. </w:t>
            </w:r>
            <w:r w:rsidRPr="000F6BEB">
              <w:rPr>
                <w:b/>
                <w:i/>
              </w:rPr>
              <w:t xml:space="preserve">W sprawozdaniu tym należy poświęcić szczególną uwagę MŚP, a w szczególności ocenić, czy specjalne warunki, z których mogą korzystać MŚP, okazały się wystarczające, aby zwiększyć wśród nich atrakcyjność finansowania kapitałowego. Jeżeli zawarta w tym sprawozdaniu ocena będzie negatywna, Komisja powinna bez zbędnej zwłoki przedstawić Parlamentowi Europejskiemu i Radzie wniosek </w:t>
            </w:r>
            <w:r w:rsidRPr="000F6BEB">
              <w:rPr>
                <w:b/>
                <w:i/>
              </w:rPr>
              <w:lastRenderedPageBreak/>
              <w:t>ustawodawczy dotyczący tej kwestii. Sprawozdanie Komisji powinno zostać opublikowane.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11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3 – akapit 1 – ustęp 5 a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5a.</w:t>
            </w:r>
            <w:r w:rsidRPr="000F6BEB">
              <w:tab/>
            </w:r>
            <w:r w:rsidRPr="000F6BEB">
              <w:rPr>
                <w:b/>
                <w:i/>
              </w:rPr>
              <w:t>„</w:t>
            </w:r>
            <w:proofErr w:type="gramStart"/>
            <w:r w:rsidRPr="000F6BEB">
              <w:rPr>
                <w:b/>
                <w:i/>
              </w:rPr>
              <w:t>duża</w:t>
            </w:r>
            <w:proofErr w:type="gramEnd"/>
            <w:r w:rsidRPr="000F6BEB">
              <w:rPr>
                <w:b/>
                <w:i/>
              </w:rPr>
              <w:t xml:space="preserve"> jednostka” oznacza dużą jednostkę w rozumieniu art. 3 ust. 4 dyrektywy 2013/34/UE;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12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3 – akapit 1 – ustęp 5 b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5b.</w:t>
            </w:r>
            <w:r w:rsidRPr="000F6BEB">
              <w:tab/>
            </w:r>
            <w:r w:rsidRPr="000F6BEB">
              <w:rPr>
                <w:b/>
                <w:i/>
              </w:rPr>
              <w:t>»średniej wielkości grupa« oznacza średniej wielkości grupę w rozumieniu art. 3 pkt 6 dyrektywy 2013/34/UE;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13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3 – akapit 1 – ustęp 5 c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5c.</w:t>
            </w:r>
            <w:r w:rsidRPr="000F6BEB">
              <w:tab/>
            </w:r>
            <w:r w:rsidRPr="000F6BEB">
              <w:rPr>
                <w:b/>
                <w:i/>
              </w:rPr>
              <w:t>»</w:t>
            </w:r>
            <w:proofErr w:type="gramStart"/>
            <w:r w:rsidRPr="000F6BEB">
              <w:rPr>
                <w:b/>
                <w:i/>
              </w:rPr>
              <w:t>duża</w:t>
            </w:r>
            <w:proofErr w:type="gramEnd"/>
            <w:r w:rsidRPr="000F6BEB">
              <w:rPr>
                <w:b/>
                <w:i/>
              </w:rPr>
              <w:t xml:space="preserve"> grupa« oznacza dużą grupę w rozumieniu art. 3 pkt 7 dyrektywy 2013/34/UE;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14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1 – akapit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 xml:space="preserve">Ulga kapitałowa podlega odliczeniu od </w:t>
            </w:r>
            <w:r w:rsidRPr="000F6BEB">
              <w:lastRenderedPageBreak/>
              <w:t>podstawy opodatkowania</w:t>
            </w:r>
            <w:r w:rsidRPr="000F6BEB">
              <w:rPr>
                <w:b/>
                <w:i/>
              </w:rPr>
              <w:t xml:space="preserve"> podatnika uiszczającego podatek dochodowy od osób prawnych przez okres 10 kolejnych okresów rozliczeniowych do wysokości 30 % wyniku finansowego przed odsetkami, opodatkowaniem, deprecjacją i amortyzacją („EBITDA”) tego podatnika.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lastRenderedPageBreak/>
              <w:t xml:space="preserve">Ulga kapitałowa podlega odliczeniu od </w:t>
            </w:r>
            <w:r w:rsidRPr="000F6BEB">
              <w:lastRenderedPageBreak/>
              <w:t>podstawy opodatkowania</w:t>
            </w:r>
            <w:r w:rsidRPr="000F6BEB">
              <w:rPr>
                <w:b/>
                <w:i/>
              </w:rPr>
              <w:t>: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–</w:t>
            </w:r>
            <w:r w:rsidRPr="000F6BEB">
              <w:tab/>
            </w:r>
            <w:r w:rsidRPr="000F6BEB">
              <w:rPr>
                <w:b/>
                <w:i/>
              </w:rPr>
              <w:t>MŚP lub średniej wielkości grupy uiszczających podatek dochodowy od osób prawnych przez okres 10 kolejnych okresów rozliczeniowych do wysokości 30 % wyniku finansowego przed odsetkami, opodatkowaniem, deprecjacją i amortyzacją („EBITDA”) tego podatnika;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AF5DB2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–</w:t>
            </w:r>
            <w:r w:rsidRPr="000F6BEB">
              <w:rPr>
                <w:b/>
                <w:i/>
              </w:rPr>
              <w:tab/>
              <w:t>każdej dużej jednostki lub dużej grupy uiszczających podatek dochodowy od osób prawnych przez okres 7 kolejnych okresów rozliczeniowych do wysokości 30 % wyniku finansowego przed EBITDA tego podatnika.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15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1 – akapit 1 a (nowy)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rPr>
                <w:b/>
                <w:bCs/>
                <w:i/>
                <w:iCs/>
              </w:rPr>
              <w:t>Państwa członkowskie zapewniają podatnikom możliwość przeniesienia części ulgi kapitałowej przekraczającej wartość procentową EBITDA w danym okresie rozliczeniowym określonym w akapicie pierwszym na przyszłe okresy przez maksymalnie 3 okresy rozliczeniowe.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16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1 – akapit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 xml:space="preserve">Jeżeli podlegająca odliczeniu ulga </w:t>
            </w:r>
            <w:r w:rsidRPr="000F6BEB">
              <w:lastRenderedPageBreak/>
              <w:t xml:space="preserve">kapitałowa, o której mowa w akapicie pierwszym, jest wyższa niż podlegający opodatkowaniu dochód netto podatnika w danym okresie rozliczeniowym, państwa członkowskie zapewniają podatnikowi możliwość przeniesienia nadwyżki ulgi dotyczącej kapitału własnego </w:t>
            </w:r>
            <w:r w:rsidRPr="000F6BEB">
              <w:rPr>
                <w:b/>
                <w:i/>
              </w:rPr>
              <w:t>na przyszłe okresy bez ograniczeń czasowych.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lastRenderedPageBreak/>
              <w:t xml:space="preserve">Jeżeli podlegająca odliczeniu ulga </w:t>
            </w:r>
            <w:r w:rsidRPr="000F6BEB">
              <w:lastRenderedPageBreak/>
              <w:t xml:space="preserve">kapitałowa, o której mowa w akapicie pierwszym, jest wyższa niż podlegający opodatkowaniu dochód netto podatnika w danym okresie rozliczeniowym, państwa członkowskie zapewniają podatnikowi możliwość przeniesienia nadwyżki ulgi dotyczącej kapitału własnego </w:t>
            </w:r>
            <w:r w:rsidRPr="000F6BEB">
              <w:rPr>
                <w:b/>
                <w:i/>
              </w:rPr>
              <w:t>w następujący sposób: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rPr>
                <w:b/>
                <w:i/>
              </w:rPr>
              <w:t>-</w:t>
            </w:r>
            <w:r w:rsidRPr="000F6BEB">
              <w:rPr>
                <w:b/>
                <w:i/>
              </w:rPr>
              <w:tab/>
              <w:t>przez maksymalnie trzy okresy rozliczeniowe w przypadku gdy podatnikiem jest duża jednostka lub duża grupa;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rPr>
                <w:b/>
                <w:i/>
              </w:rPr>
              <w:t>-</w:t>
            </w:r>
            <w:r w:rsidRPr="000F6BEB">
              <w:rPr>
                <w:b/>
                <w:i/>
              </w:rPr>
              <w:tab/>
              <w:t>bez ograniczeń czasowych w przypadku gdy podatnikiem jest MŚP lub średniej wielkości grupa.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17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1 – akapit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Państwa członkowskie zapewniają podatnikom możliwość przeniesienia części ulgi kapitałowej przekraczającej 30 % EBITDA w danym okresie rozliczeniowym na przyszłe okresy przez maksymalnie 5 okresów rozliczeniowych.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  <w:szCs w:val="24"/>
              </w:rPr>
            </w:pPr>
            <w:proofErr w:type="gramStart"/>
            <w:r w:rsidRPr="000F6BEB">
              <w:rPr>
                <w:b/>
                <w:i/>
              </w:rPr>
              <w:t>skreśla</w:t>
            </w:r>
            <w:proofErr w:type="gramEnd"/>
            <w:r w:rsidRPr="000F6BEB">
              <w:rPr>
                <w:b/>
                <w:i/>
              </w:rPr>
              <w:t xml:space="preserve"> się 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18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4 – ustęp 2 – akapit 1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Z zastrzeżeniem przepisów art. 5, podstawę ulgi kapitałowej oblicza się jako różnicę między poziomem kapitału własnego netto na koniec danego okresu rozliczeniowego a poziomem kapitału własnego netto na koniec poprzedniego okresu rozliczeniowego.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Z zastrzeżeniem przepisów art. 5, podstawę ulgi kapitałowej oblicza się jako różnicę między poziomem kapitału własnego netto na koniec danego okresu rozliczeniowego a poziomem kapitału własnego netto na koniec poprzedniego okresu rozliczeniowego</w:t>
            </w:r>
            <w:r w:rsidRPr="000F6BEB">
              <w:rPr>
                <w:b/>
                <w:i/>
              </w:rPr>
              <w:t>, czyli innymi słowy jest to wzrost kapitału własnego netto rok do roku</w:t>
            </w:r>
            <w:r w:rsidRPr="000F6BEB">
              <w:t>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lastRenderedPageBreak/>
        <w:t>Poprawka</w:t>
      </w:r>
      <w:r w:rsidRPr="000F6BEB">
        <w:tab/>
      </w:r>
      <w:r w:rsidRPr="000F6BEB">
        <w:tab/>
        <w:t>19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2 – akapit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Wysokość ulgi kapitałowej odpowiada podstawie ulgi pomnożonej przez dziesięcioletnią stopę procentową wolną od ryzyka ustaloną dla odpowiedniej waluty, którą powiększa się następnie o premię z tytułu ryzyka w wysokości 1 %</w:t>
            </w:r>
            <w:r w:rsidRPr="000F6BEB">
              <w:rPr>
                <w:b/>
                <w:i/>
              </w:rPr>
              <w:t>, lub – jeżeli podatnik jest MŚP– o premię z tytułu ryzyka w wysokości 1,5 %.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t>Wysokość ulgi kapitałowej odpowiada podstawie ulgi pomnożonej przez dziesięcioletnią stopę procentową wolną od ryzyka ustaloną dla odpowiedniej waluty, którą powiększa się następnie o premię z tytułu ryzyka w wysokości 1 %</w:t>
            </w:r>
            <w:r w:rsidRPr="000F6BEB">
              <w:rPr>
                <w:b/>
                <w:i/>
              </w:rPr>
              <w:t xml:space="preserve"> dla MŚP.</w:t>
            </w:r>
            <w:r w:rsidRPr="000F6BEB">
              <w:t xml:space="preserve"> 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20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4 – ustęp 3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3.</w:t>
            </w:r>
            <w:r w:rsidRPr="000F6BEB">
              <w:tab/>
              <w:t>Jeżeli po przyznaniu ulgi kapitałowej podstawa tej ulgi przyjmie wartość ujemną w okresie rozliczeniowym, kwota stanowiąca równowartość ujemnej ulgi dotyczącej kapitału własnego będzie podlegała opodatkowaniu przez 10 kolejnych okresów rozliczeniowych, aż do osiągnięcia wzrostu całkowitego kapitału własnego netto zgodnie z niniejszą dyrektywą, chyba że podatnik przedstawi wystarczające dowody świadczące o tym, że sytuacja ta wynika ze strat poniesionych w danym okresie rozliczeniowym lub ze spoczywającego na nim zobowiązania prawnego do obniżenia poziomu kapitału.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szCs w:val="24"/>
              </w:rPr>
            </w:pPr>
            <w:r w:rsidRPr="000F6BEB">
              <w:t>3.</w:t>
            </w:r>
            <w:r w:rsidRPr="000F6BEB">
              <w:tab/>
              <w:t>Jeżeli po przyznaniu ulgi kapitałowej podstawa tej ulgi przyjmie wartość ujemną w okresie rozliczeniowym, kwota stanowiąca równowartość ujemnej ulgi dotyczącej kapitału własnego będzie podlegała opodatkowaniu przez 10 kolejnych okresów rozliczeniowych</w:t>
            </w:r>
            <w:r w:rsidRPr="000F6BEB">
              <w:rPr>
                <w:b/>
                <w:i/>
              </w:rPr>
              <w:t xml:space="preserve"> w przypadku MŚP lub średniej wielkości grup oraz przez 7 kolejnych okresów rozliczeniowych dla każdego podatnika innego niż MŚP lub średniej wielkości grupa</w:t>
            </w:r>
            <w:r w:rsidRPr="000F6BEB">
              <w:t>, aż do osiągnięcia wzrostu całkowitego kapitału własnego netto zgodnie z niniejszą dyrektywą, chyba że podatnik przedstawi wystarczające dowody świadczące o tym, że sytuacja ta wynika ze strat poniesionych w danym okresie rozliczeniowym lub ze spoczywającego na nim zobowiązania prawnego do obniżenia poziomu kapitału.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21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5 – ustęp 3 a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3a.</w:t>
            </w:r>
            <w:r w:rsidRPr="000F6BEB">
              <w:tab/>
            </w:r>
            <w:r w:rsidRPr="000F6BEB">
              <w:rPr>
                <w:b/>
                <w:i/>
              </w:rPr>
              <w:t>Państwa członkowskie dbają o to, by środki przyjęte w celu transpozycji niniejszego artykułu do prawa krajowego były zgodne z wytycznymi Grupy ds. Kodeksu Postępowania (opodatkowanie działalności gospodarczej) w sprawie systemów odliczania odsetek nominalnych.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22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6 – ustęp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t>1.</w:t>
            </w:r>
            <w:r w:rsidRPr="000F6BEB">
              <w:tab/>
              <w:t>Państwa członkowskie zapewniają podatnikowi możliwość odliczenia od jego podstawy opodatkowania do celów podatku dochodowego od osób prawnych nadwyżki kosztów finansowania zewnętrznego zdefiniowanych w art. 2 pkt 1 dyrektywy Rady (UE) 2016/1164</w:t>
            </w:r>
            <w:r w:rsidRPr="000F6BEB">
              <w:rPr>
                <w:vertAlign w:val="superscript"/>
              </w:rPr>
              <w:t>35</w:t>
            </w:r>
            <w:r w:rsidRPr="000F6BEB">
              <w:t xml:space="preserve"> do maksymalnej kwoty (a) odpowiadającej 85 % takich kosztów poniesionych w danym okresie rozliczeniowym. Jeżeli wspomniana kwota jest wyższa niż kwota (b) obliczona zgodnie z art. 4 dyrektywy (UE) 2016/1164, państwa członkowskie zapewniają, aby podatnik był uprawniony do odliczenia wyłącznie niższej z tych dwóch kwot w danym okresie rozliczeniowym. Różnica między dwiema kwotami (a) i (b) podlega przeniesieniu na przyszłe lub poprzednie okresy zgodnie z art. 4 dyrektywy (UE) 2016/1164. 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1.</w:t>
            </w:r>
            <w:r w:rsidRPr="000F6BEB">
              <w:tab/>
              <w:t xml:space="preserve">Państwa członkowskie zapewniają podatnikowi </w:t>
            </w:r>
            <w:r w:rsidRPr="000F6BEB">
              <w:rPr>
                <w:b/>
                <w:i/>
              </w:rPr>
              <w:t xml:space="preserve">innemu niż MŚP lub średniej wielkości grupa </w:t>
            </w:r>
            <w:r w:rsidRPr="000F6BEB">
              <w:t>możliwość odliczenia od jego podstawy opodatkowania do celów podatku dochodowego od osób prawnych nadwyżki kosztów finansowania zewnętrznego zdefiniowanych w art. 2 pkt 1 dyrektywy Rady (UE) 2016/1164</w:t>
            </w:r>
            <w:r w:rsidRPr="000F6BEB">
              <w:rPr>
                <w:vertAlign w:val="superscript"/>
              </w:rPr>
              <w:t>35</w:t>
            </w:r>
            <w:r w:rsidRPr="000F6BEB">
              <w:t xml:space="preserve"> do maksymalnej kwoty (a) odpowiadającej 85 % takich kosztów poniesionych w danym okresie rozliczeniowym. Jeżeli wspomniana kwota jest wyższa niż kwota (b) obliczona zgodnie z art. 4 dyrektywy (UE) 2016/1164, państwa członkowskie zapewniają, aby podatnik był uprawniony do odliczenia wyłącznie niższej z tych dwóch kwot w danym okresie rozliczeniowym. Różnica między dwiema kwotami (a) i (b) podlega przeniesieniu na przyszłe lub poprzednie okresy zgodnie z art. 4 dyrektywy (UE) 2016/1164.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_______________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_______________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vertAlign w:val="superscript"/>
              </w:rPr>
              <w:t>35</w:t>
            </w:r>
            <w:r w:rsidRPr="000F6BEB">
              <w:t xml:space="preserve"> Dyrektywa Rady (UE) 2016/1164 z dnia 12 lipca 2016 r. ustanawiająca przepisy mające na celu przeciwdziałanie praktykom unikania opodatkowania, które mają bezpośredni wpływ na funkcjonowanie rynku wewnętrznego (Dz.U. L 193 z 19.7.2016, </w:t>
            </w:r>
            <w:proofErr w:type="gramStart"/>
            <w:r w:rsidRPr="000F6BEB">
              <w:t>s</w:t>
            </w:r>
            <w:proofErr w:type="gramEnd"/>
            <w:r w:rsidRPr="000F6BEB">
              <w:t>. 1).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vertAlign w:val="superscript"/>
              </w:rPr>
              <w:t>35</w:t>
            </w:r>
            <w:r w:rsidRPr="000F6BEB">
              <w:t xml:space="preserve"> Dyrektywa Rady (UE) 2016/1164 z dnia 12 lipca 2016 r. ustanawiająca przepisy mające na celu przeciwdziałanie praktykom unikania opodatkowania, które mają bezpośredni wpływ na funkcjonowanie rynku wewnętrznego (Dz.U. L 193 z 19.7.2016, </w:t>
            </w:r>
            <w:proofErr w:type="gramStart"/>
            <w:r w:rsidRPr="000F6BEB">
              <w:t>s</w:t>
            </w:r>
            <w:proofErr w:type="gramEnd"/>
            <w:r w:rsidRPr="000F6BEB">
              <w:t>. 1).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23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6 – ustęp 2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2.</w:t>
            </w:r>
            <w:r w:rsidRPr="000F6BEB">
              <w:tab/>
              <w:t xml:space="preserve">Przepisy ust. 1 mają zastosowanie do nadwyżki kosztów finansowania zewnętrznego poniesionych od </w:t>
            </w:r>
            <w:r w:rsidRPr="000F6BEB">
              <w:rPr>
                <w:b/>
                <w:i/>
              </w:rPr>
              <w:t>[UP: proszę wprowadzić datę wejścia w życie niniejszej dyrektywy]</w:t>
            </w:r>
            <w:r w:rsidRPr="000F6BEB">
              <w:t xml:space="preserve">. 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2.</w:t>
            </w:r>
            <w:r w:rsidRPr="000F6BEB">
              <w:tab/>
              <w:t xml:space="preserve">Przepisy ust. 1 mają zastosowanie do nadwyżki kosztów finansowania zewnętrznego poniesionych od </w:t>
            </w:r>
            <w:r w:rsidRPr="000F6BEB">
              <w:rPr>
                <w:b/>
                <w:i/>
              </w:rPr>
              <w:t>dnia 1 stycznia 2027 r</w:t>
            </w:r>
            <w:r w:rsidRPr="000F6BEB">
              <w:t>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24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7 – akapit 1 – litera b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b</w:t>
            </w:r>
            <w:proofErr w:type="gramStart"/>
            <w:r w:rsidRPr="000F6BEB">
              <w:t>)</w:t>
            </w:r>
            <w:r w:rsidRPr="000F6BEB">
              <w:tab/>
              <w:t>liczbę</w:t>
            </w:r>
            <w:proofErr w:type="gramEnd"/>
            <w:r w:rsidRPr="000F6BEB">
              <w:t xml:space="preserve"> MŚP, które skorzystały z ulgi w danym okresie rozliczeniowym, wyrażoną również jako odsetek łącznej liczby MŚP objętych zakresem niniejszej dyrektywy, oraz liczbę MŚP, które skorzystały z ulgi i które wchodzą w skład dużych grup w rozumieniu art. 3 ust. 7 dyrektywy 2013/34/UE;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b</w:t>
            </w:r>
            <w:proofErr w:type="gramStart"/>
            <w:r w:rsidRPr="000F6BEB">
              <w:t>)</w:t>
            </w:r>
            <w:r w:rsidRPr="000F6BEB">
              <w:tab/>
              <w:t>liczbę</w:t>
            </w:r>
            <w:proofErr w:type="gramEnd"/>
            <w:r w:rsidRPr="000F6BEB">
              <w:t xml:space="preserve"> MŚP</w:t>
            </w:r>
            <w:r w:rsidRPr="000F6BEB">
              <w:rPr>
                <w:b/>
                <w:i/>
              </w:rPr>
              <w:t xml:space="preserve"> i średniej wielkości grup</w:t>
            </w:r>
            <w:r w:rsidRPr="000F6BEB">
              <w:t>, które skorzystały z ulgi w danym okresie rozliczeniowym, wyrażoną również jako odsetek łącznej liczby MŚP</w:t>
            </w:r>
            <w:r w:rsidRPr="000F6BEB">
              <w:rPr>
                <w:b/>
                <w:i/>
              </w:rPr>
              <w:t xml:space="preserve"> i średniej wielkości grup</w:t>
            </w:r>
            <w:r w:rsidRPr="000F6BEB">
              <w:t xml:space="preserve"> objętych zakresem niniejszej dyrektywy, oraz liczbę MŚP, które skorzystały z ulgi i które wchodzą w skład dużych grup w rozumieniu art. 3 ust. 7 dyrektywy 2013/34/UE;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t>Poprawka</w:t>
      </w:r>
      <w:r w:rsidRPr="000F6BEB">
        <w:tab/>
      </w:r>
      <w:r w:rsidRPr="000F6BEB">
        <w:tab/>
        <w:t>25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8 – nagłówek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Sprawozdania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t xml:space="preserve">Sprawozdania </w:t>
            </w:r>
            <w:r w:rsidRPr="000F6BEB">
              <w:rPr>
                <w:b/>
                <w:bCs/>
                <w:i/>
                <w:iCs/>
              </w:rPr>
              <w:t>i przegląd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  <w:keepNext/>
      </w:pPr>
      <w:r w:rsidRPr="000F6BEB">
        <w:lastRenderedPageBreak/>
        <w:t>Poprawka</w:t>
      </w:r>
      <w:r w:rsidRPr="000F6BEB">
        <w:tab/>
      </w:r>
      <w:r w:rsidRPr="000F6BEB">
        <w:tab/>
        <w:t>26</w:t>
      </w:r>
    </w:p>
    <w:p w:rsidR="00CE40CA" w:rsidRPr="000F6BEB" w:rsidRDefault="00CE40CA" w:rsidP="00CE40CA">
      <w:pPr>
        <w:pStyle w:val="NormalBold12b"/>
        <w:keepNext/>
      </w:pPr>
      <w:r w:rsidRPr="000F6BEB">
        <w:t>Wniosek dotyczący dyrektywy</w:t>
      </w:r>
    </w:p>
    <w:p w:rsidR="00CE40CA" w:rsidRPr="000F6BEB" w:rsidRDefault="00CE40CA" w:rsidP="00CE40CA">
      <w:pPr>
        <w:pStyle w:val="NormalBold"/>
        <w:keepNext/>
      </w:pPr>
      <w:r w:rsidRPr="000F6BEB">
        <w:t>Artykuł 8 – ustęp 1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 w:firstRow="0" w:lastRow="0" w:firstColumn="0" w:lastColumn="0" w:noHBand="0" w:noVBand="0"/>
      </w:tblPr>
      <w:tblGrid>
        <w:gridCol w:w="4876"/>
        <w:gridCol w:w="4876"/>
      </w:tblGrid>
      <w:tr w:rsidR="00CE40CA" w:rsidRPr="000F6BEB" w:rsidTr="006F0E06">
        <w:trPr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>
            <w:pPr>
              <w:keepNext/>
            </w:pP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  <w:keepNext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1.</w:t>
            </w:r>
            <w:r w:rsidRPr="000F6BEB">
              <w:tab/>
              <w:t xml:space="preserve">Do 31 grudnia </w:t>
            </w:r>
            <w:r w:rsidRPr="000F6BEB">
              <w:rPr>
                <w:b/>
                <w:i/>
              </w:rPr>
              <w:t>2027</w:t>
            </w:r>
            <w:r w:rsidRPr="000F6BEB">
              <w:t> r. Komisja przedkłada Parlamentowi Europejskiemu i Radzie sprawozdanie z wdrożenia niniejszej dyrektywy.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t>1.</w:t>
            </w:r>
            <w:r w:rsidRPr="000F6BEB">
              <w:tab/>
              <w:t xml:space="preserve">Do 31 grudnia </w:t>
            </w:r>
            <w:r w:rsidRPr="000F6BEB">
              <w:rPr>
                <w:b/>
                <w:i/>
              </w:rPr>
              <w:t>2028</w:t>
            </w:r>
            <w:r w:rsidRPr="000F6BEB">
              <w:t> r. Komisja przedkłada Parlamentowi Europejskiemu i Radzie sprawozdanie z wdrożenia</w:t>
            </w:r>
            <w:r w:rsidRPr="000F6BEB">
              <w:rPr>
                <w:b/>
                <w:i/>
              </w:rPr>
              <w:t xml:space="preserve"> i skutków niniejszej dyrektywy, w stosownych przypadkach wraz z wnioskiem ustawodawczym dotyczącym zmiany</w:t>
            </w:r>
            <w:r w:rsidRPr="000F6BEB">
              <w:t xml:space="preserve"> niniejszej dyrektywy.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r w:rsidRPr="000F6BEB">
              <w:rPr>
                <w:b/>
                <w:i/>
              </w:rPr>
              <w:t>Sprawozdanie to zawiera ocenę skutków niniejszej dyrektywy, ze szczególnym uwzględnieniem: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proofErr w:type="gramStart"/>
            <w:r w:rsidRPr="000F6BEB">
              <w:rPr>
                <w:b/>
                <w:i/>
              </w:rPr>
              <w:t>a</w:t>
            </w:r>
            <w:proofErr w:type="gramEnd"/>
            <w:r w:rsidRPr="000F6BEB">
              <w:rPr>
                <w:b/>
                <w:i/>
              </w:rPr>
              <w:t xml:space="preserve">) </w:t>
            </w:r>
            <w:r w:rsidRPr="000F6BEB">
              <w:tab/>
            </w:r>
            <w:r w:rsidRPr="000F6BEB">
              <w:rPr>
                <w:b/>
                <w:i/>
              </w:rPr>
              <w:t xml:space="preserve">MŚP, a w szczególności ocenia się w nim, czy specjalne warunki, z których mogą korzystać MŚP, okazały się wystarczające, aby zwiększyć atrakcyjność finansowania kapitałowego wśród tych przedsiębiorstw; 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proofErr w:type="gramStart"/>
            <w:r w:rsidRPr="000F6BEB">
              <w:rPr>
                <w:b/>
                <w:i/>
              </w:rPr>
              <w:t>b</w:t>
            </w:r>
            <w:proofErr w:type="gramEnd"/>
            <w:r w:rsidRPr="000F6BEB">
              <w:rPr>
                <w:b/>
                <w:i/>
              </w:rPr>
              <w:t xml:space="preserve">) </w:t>
            </w:r>
            <w:r w:rsidRPr="000F6BEB">
              <w:tab/>
            </w:r>
            <w:r w:rsidRPr="000F6BEB">
              <w:rPr>
                <w:b/>
                <w:i/>
              </w:rPr>
              <w:t>ograniczenia możliwości odliczania odsetek, w szczególności jeżeli chodzi o wpływ kwoty (a), o której mowa w art. 6 ust. 1, na dochody podatkowe państw członkowskich;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  <w:rPr>
                <w:b/>
                <w:i/>
              </w:rPr>
            </w:pPr>
            <w:proofErr w:type="gramStart"/>
            <w:r w:rsidRPr="000F6BEB">
              <w:rPr>
                <w:b/>
                <w:i/>
              </w:rPr>
              <w:t>c</w:t>
            </w:r>
            <w:proofErr w:type="gramEnd"/>
            <w:r w:rsidRPr="000F6BEB">
              <w:rPr>
                <w:b/>
                <w:i/>
              </w:rPr>
              <w:t xml:space="preserve">) </w:t>
            </w:r>
            <w:r w:rsidRPr="000F6BEB">
              <w:tab/>
            </w:r>
            <w:r w:rsidRPr="000F6BEB">
              <w:rPr>
                <w:b/>
                <w:i/>
              </w:rPr>
              <w:t>powiązania z aktami ustawodawczymi w dziedzinie podatku od osób prawnych, a mianowicie dyrektywą zapewniającą minimalną efektywną stawkę podatkową w odniesieniu do globalnej działalności dużych grup wielonarodowych oraz dyrektywą w sprawie ram opodatkowania dochodu w Europie (BEFIT).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27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11 – ustęp 2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t>2.</w:t>
            </w:r>
            <w:r w:rsidRPr="000F6BEB">
              <w:tab/>
              <w:t xml:space="preserve">Państwa członkowskie mogą odroczyć rozpoczęcie stosowania przepisów niniejszej dyrektywy </w:t>
            </w:r>
            <w:r w:rsidRPr="000F6BEB">
              <w:lastRenderedPageBreak/>
              <w:t xml:space="preserve">w odniesieniu do podatników, którzy według stanu na dzień [1 stycznia 2024 r.] będą korzystali z ulgi kapitałowej przyznanej na mocy przepisów krajowych, na okres wynoszący maksymalnie </w:t>
            </w:r>
            <w:r w:rsidRPr="000F6BEB">
              <w:rPr>
                <w:b/>
                <w:i/>
              </w:rPr>
              <w:t>10</w:t>
            </w:r>
            <w:r w:rsidRPr="000F6BEB">
              <w:t xml:space="preserve"> lat, ale w żadnym wypadku na nie dłużej niż do chwili wygaśnięcia takiej ulgi zgodnie z przepisami prawa krajowego.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lastRenderedPageBreak/>
              <w:t>2.</w:t>
            </w:r>
            <w:r w:rsidRPr="000F6BEB">
              <w:tab/>
              <w:t xml:space="preserve">Państwa członkowskie mogą odroczyć rozpoczęcie stosowania przepisów niniejszej dyrektywy </w:t>
            </w:r>
            <w:r w:rsidRPr="000F6BEB">
              <w:lastRenderedPageBreak/>
              <w:t xml:space="preserve">w odniesieniu do podatników, którzy według stanu na dzień [1 stycznia 2024 r.] będą korzystali z ulgi kapitałowej przyznanej na mocy przepisów krajowych, na okres wynoszący maksymalnie </w:t>
            </w:r>
            <w:r w:rsidRPr="000F6BEB">
              <w:rPr>
                <w:b/>
                <w:i/>
              </w:rPr>
              <w:t>pięć</w:t>
            </w:r>
            <w:r w:rsidRPr="000F6BEB">
              <w:t xml:space="preserve"> lat, ale w żadnym wypadku na nie dłużej niż do chwili wygaśnięcia takiej ulgi zgodnie z przepisami prawa krajowego.</w:t>
            </w:r>
          </w:p>
        </w:tc>
      </w:tr>
    </w:tbl>
    <w:p w:rsidR="00CE40CA" w:rsidRPr="000F6BEB" w:rsidRDefault="00CE40CA" w:rsidP="00CE40CA"/>
    <w:p w:rsidR="00CE40CA" w:rsidRPr="000F6BEB" w:rsidRDefault="00CE40CA" w:rsidP="00CE40CA">
      <w:pPr>
        <w:pStyle w:val="AmNumberTabs"/>
      </w:pPr>
      <w:r w:rsidRPr="000F6BEB">
        <w:t>Poprawka</w:t>
      </w:r>
      <w:r w:rsidRPr="000F6BEB">
        <w:tab/>
      </w:r>
      <w:r w:rsidRPr="000F6BEB">
        <w:tab/>
        <w:t>28</w:t>
      </w:r>
    </w:p>
    <w:p w:rsidR="00CE40CA" w:rsidRPr="000F6BEB" w:rsidRDefault="00CE40CA" w:rsidP="00CE40CA">
      <w:pPr>
        <w:pStyle w:val="NormalBold12b"/>
      </w:pPr>
      <w:r w:rsidRPr="000F6BEB">
        <w:t>Wniosek dotyczący dyrektywy</w:t>
      </w:r>
    </w:p>
    <w:p w:rsidR="00CE40CA" w:rsidRPr="000F6BEB" w:rsidRDefault="00CE40CA" w:rsidP="00CE40CA">
      <w:pPr>
        <w:pStyle w:val="NormalBold"/>
      </w:pPr>
      <w:r w:rsidRPr="000F6BEB">
        <w:t>Artykuł 11 – ustęp 3 a (nowy)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E40CA" w:rsidRPr="000F6BEB" w:rsidTr="006F0E06">
        <w:trPr>
          <w:trHeight w:hRule="exact" w:val="240"/>
          <w:jc w:val="center"/>
        </w:trPr>
        <w:tc>
          <w:tcPr>
            <w:tcW w:w="9752" w:type="dxa"/>
            <w:gridSpan w:val="2"/>
          </w:tcPr>
          <w:p w:rsidR="00CE40CA" w:rsidRPr="000F6BEB" w:rsidRDefault="00CE40CA" w:rsidP="006F0E06"/>
        </w:tc>
      </w:tr>
      <w:tr w:rsidR="00CE40CA" w:rsidRPr="000F6BEB" w:rsidTr="006F0E06">
        <w:trPr>
          <w:trHeight w:val="240"/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Tekst proponowany przez Komisję</w:t>
            </w: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AmColumnHeading"/>
            </w:pPr>
            <w:r w:rsidRPr="000F6BEB">
              <w:t>Poprawka</w:t>
            </w:r>
          </w:p>
        </w:tc>
      </w:tr>
      <w:tr w:rsidR="00CE40CA" w:rsidRPr="000F6BEB" w:rsidTr="006F0E06">
        <w:trPr>
          <w:jc w:val="center"/>
        </w:trPr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</w:p>
        </w:tc>
        <w:tc>
          <w:tcPr>
            <w:tcW w:w="4876" w:type="dxa"/>
          </w:tcPr>
          <w:p w:rsidR="00CE40CA" w:rsidRPr="000F6BEB" w:rsidRDefault="00CE40CA" w:rsidP="006F0E06">
            <w:pPr>
              <w:pStyle w:val="Normal6a"/>
            </w:pPr>
            <w:r w:rsidRPr="000F6BEB">
              <w:rPr>
                <w:b/>
                <w:i/>
              </w:rPr>
              <w:t>3a.</w:t>
            </w:r>
            <w:r w:rsidRPr="000F6BEB">
              <w:rPr>
                <w:b/>
                <w:i/>
              </w:rPr>
              <w:tab/>
              <w:t>Przed transpozycją niniejszej dyrektywy do prawa krajowego każde państwo członkowskie podaje do wiadomości publicznej ocenę szacunkowych kosztów fiskalnych środków, które mają zostać przyjęte, oraz wynikającego z tego obniżenia efektywnej stawki podatkowej dla przedsiębiorstw, a w razie potrzeby podejmuje odpowiednie środki w celu ochrony dochodów podatkowych.</w:t>
            </w:r>
          </w:p>
        </w:tc>
      </w:tr>
    </w:tbl>
    <w:p w:rsidR="00CE40CA" w:rsidRPr="000F6BEB" w:rsidRDefault="00CE40CA" w:rsidP="00CE40CA"/>
    <w:p w:rsidR="00E365E1" w:rsidRPr="000F6BEB" w:rsidRDefault="00E365E1" w:rsidP="00893BF6">
      <w:bookmarkStart w:id="8" w:name="TextBodyEnd"/>
      <w:bookmarkEnd w:id="8"/>
    </w:p>
    <w:sectPr w:rsidR="00E365E1" w:rsidRPr="000F6BEB" w:rsidSect="000F6BE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BF6" w:rsidRPr="000F6BEB" w:rsidRDefault="00893BF6">
      <w:r w:rsidRPr="000F6BEB">
        <w:separator/>
      </w:r>
    </w:p>
  </w:endnote>
  <w:endnote w:type="continuationSeparator" w:id="0">
    <w:p w:rsidR="00893BF6" w:rsidRPr="000F6BEB" w:rsidRDefault="00893BF6">
      <w:r w:rsidRPr="000F6B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BF6" w:rsidRPr="000F6BEB" w:rsidRDefault="00893BF6">
      <w:r w:rsidRPr="000F6BEB">
        <w:separator/>
      </w:r>
    </w:p>
  </w:footnote>
  <w:footnote w:type="continuationSeparator" w:id="0">
    <w:p w:rsidR="00893BF6" w:rsidRPr="000F6BEB" w:rsidRDefault="00893BF6">
      <w:r w:rsidRPr="000F6BE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F6B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7/2023"/>
    <w:docVar w:name="dvlangue" w:val="PL"/>
    <w:docVar w:name="dvnumam" w:val="28"/>
    <w:docVar w:name="dvpe" w:val="738.463"/>
    <w:docVar w:name="dvrapporteur" w:val="Sprawozdawca: "/>
    <w:docVar w:name="dvstar" w:val="*"/>
    <w:docVar w:name="dvtitre" w:val="Rezolucja ustawodawcza Parlamentu Europejskiego z dnia  2024 r. w sprawie wniosku dotyczącego dyrektywy Rady w sprawie ustanowienia przepisów dotyczących ulgi służącej przeciwdziałaniu zjawisku uprzywilejowania finansowania dłużnego w stosunku do kapitałowego oraz w sprawie ograniczenia możliwości odliczania odsetek do celów związanych z podatkiem dochodowym od osób prawnych(COM(2022)0216 – C9-0197/2022 – 2022/0154(CNS))"/>
  </w:docVars>
  <w:rsids>
    <w:rsidRoot w:val="00893BF6"/>
    <w:rsid w:val="00002272"/>
    <w:rsid w:val="00064002"/>
    <w:rsid w:val="000677B9"/>
    <w:rsid w:val="000831BA"/>
    <w:rsid w:val="000A42CC"/>
    <w:rsid w:val="000E7DD9"/>
    <w:rsid w:val="000F6BEB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25F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1E3"/>
    <w:rsid w:val="00881A7B"/>
    <w:rsid w:val="008840E5"/>
    <w:rsid w:val="00887B3E"/>
    <w:rsid w:val="00893BF6"/>
    <w:rsid w:val="008C2AC6"/>
    <w:rsid w:val="00930C23"/>
    <w:rsid w:val="0093193B"/>
    <w:rsid w:val="009509D8"/>
    <w:rsid w:val="00950B64"/>
    <w:rsid w:val="00981893"/>
    <w:rsid w:val="00A05CAF"/>
    <w:rsid w:val="00A1687D"/>
    <w:rsid w:val="00A43E52"/>
    <w:rsid w:val="00A4678D"/>
    <w:rsid w:val="00A778C7"/>
    <w:rsid w:val="00AB441E"/>
    <w:rsid w:val="00AB6293"/>
    <w:rsid w:val="00AE0928"/>
    <w:rsid w:val="00AF3B82"/>
    <w:rsid w:val="00AF5DB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40C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1219"/>
    <w:rsid w:val="00F04346"/>
    <w:rsid w:val="00F075DC"/>
    <w:rsid w:val="00F149E9"/>
    <w:rsid w:val="00F217F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6A0A9"/>
  <w15:chartTrackingRefBased/>
  <w15:docId w15:val="{536141B4-E290-404F-AEFC-6653AB116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E40CA"/>
    <w:pPr>
      <w:spacing w:before="480" w:after="240"/>
    </w:pPr>
  </w:style>
  <w:style w:type="paragraph" w:customStyle="1" w:styleId="Normal6a">
    <w:name w:val="Normal6a"/>
    <w:basedOn w:val="Normal"/>
    <w:rsid w:val="00CE40CA"/>
    <w:pPr>
      <w:spacing w:after="120"/>
    </w:pPr>
  </w:style>
  <w:style w:type="paragraph" w:customStyle="1" w:styleId="NormalBold">
    <w:name w:val="NormalBold"/>
    <w:basedOn w:val="Normal"/>
    <w:rsid w:val="00CE40CA"/>
    <w:rPr>
      <w:b/>
    </w:rPr>
  </w:style>
  <w:style w:type="paragraph" w:customStyle="1" w:styleId="NormalHanging12a">
    <w:name w:val="NormalHanging12a"/>
    <w:basedOn w:val="Normal"/>
    <w:rsid w:val="00CE40CA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E40CA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E40C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E40CA"/>
    <w:pPr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CE40CA"/>
    <w:rPr>
      <w:color w:val="0563C1" w:themeColor="hyperlink"/>
      <w:u w:val="single"/>
    </w:rPr>
  </w:style>
  <w:style w:type="character" w:customStyle="1" w:styleId="Sup">
    <w:name w:val="Sup"/>
    <w:uiPriority w:val="1"/>
    <w:qFormat/>
    <w:rsid w:val="00CE40CA"/>
    <w:rPr>
      <w:vertAlign w:val="superscript"/>
    </w:rPr>
  </w:style>
  <w:style w:type="paragraph" w:styleId="BalloonText">
    <w:name w:val="Balloon Text"/>
    <w:basedOn w:val="Normal"/>
    <w:link w:val="BalloonTextChar"/>
    <w:rsid w:val="00AF5D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F5DB2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eur-lex.europa.eu/resource.html?uri=cellar:61042990-fe46-11ea-b44f-01aa75ed71a1.0001.02/DOC_1&amp;format=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-lex.europa.eu/resource.html?uri=cellar:61042990-fe46-11ea-b44f-01aa75ed71a1.0001.02/DOC_1&amp;format=PDF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4CB1C4-FFBC-48DC-8D08-4368F132C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4871</Words>
  <Characters>34131</Characters>
  <Application>Microsoft Office Word</Application>
  <DocSecurity>0</DocSecurity>
  <Lines>284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ZALESKI Tomasz</cp:lastModifiedBy>
  <cp:revision>2</cp:revision>
  <cp:lastPrinted>2004-11-19T15:42:00Z</cp:lastPrinted>
  <dcterms:created xsi:type="dcterms:W3CDTF">2024-05-29T09:23:00Z</dcterms:created>
  <dcterms:modified xsi:type="dcterms:W3CDTF">2024-05-29T09:23:00Z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P9_TA(2024)0006_</vt:lpwstr>
  </property>
  <property fmtid="{D5CDD505-2E9C-101B-9397-08002B2CF9AE}" pid="4" name="&lt;Type&gt;">
    <vt:lpwstr>RR</vt:lpwstr>
  </property>
</Properties>
</file>