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trPr>
          <w:trHeight w:hRule="exact" w:val="1418"/>
        </w:trPr>
        <w:tc>
          <w:tcPr>
            <w:tcW w:w="6804" w:type="dxa"/>
            <w:shd w:val="clear" w:color="auto" w:fill="auto"/>
            <w:vAlign w:val="center"/>
          </w:tcPr>
          <w:p>
            <w:pPr>
              <w:pStyle w:val="EPName"/>
            </w:pPr>
            <w:r>
              <w:t>Európsky parlament</w:t>
            </w:r>
          </w:p>
          <w:p>
            <w:pPr>
              <w:pStyle w:val="EPTerm"/>
              <w:rPr>
                <w:rStyle w:val="HideTWBExt"/>
                <w:noProof w:val="0"/>
                <w:vanish w:val="0"/>
                <w:color w:val="auto"/>
              </w:rPr>
            </w:pPr>
            <w:r>
              <w:t>2019-2024</w:t>
            </w:r>
          </w:p>
        </w:tc>
        <w:tc>
          <w:tcPr>
            <w:tcW w:w="2268" w:type="dxa"/>
            <w:shd w:val="clear" w:color="auto" w:fill="auto"/>
          </w:tcPr>
          <w:p>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pPr>
        <w:pStyle w:val="LineTop"/>
      </w:pPr>
    </w:p>
    <w:p>
      <w:pPr>
        <w:pStyle w:val="EPBodyTA1"/>
      </w:pPr>
      <w:r>
        <w:t>PRIJATÉ TEXTY</w:t>
      </w:r>
    </w:p>
    <w:p>
      <w:pPr>
        <w:pStyle w:val="LineBottom"/>
      </w:pPr>
    </w:p>
    <w:p>
      <w:pPr>
        <w:pStyle w:val="ATHeading1"/>
      </w:pPr>
      <w:bookmarkStart w:id="0" w:name="TANumber"/>
      <w:r>
        <w:t>P9_TA(2024)0</w:t>
      </w:r>
      <w:bookmarkEnd w:id="0"/>
      <w:r>
        <w:t>006</w:t>
      </w:r>
    </w:p>
    <w:p>
      <w:pPr>
        <w:pStyle w:val="ATHeading2"/>
      </w:pPr>
      <w:bookmarkStart w:id="1" w:name="title"/>
      <w:r>
        <w:t xml:space="preserve">Úľava na zníženie zvýhodňovania dlhu voči vlastnému imaniu a obmedzenie </w:t>
      </w:r>
      <w:proofErr w:type="spellStart"/>
      <w:r>
        <w:t>odpočítateľnosti</w:t>
      </w:r>
      <w:proofErr w:type="spellEnd"/>
      <w:r>
        <w:t xml:space="preserve"> úrokov na účely dane z príjmov právnických osôb</w:t>
      </w:r>
      <w:bookmarkEnd w:id="1"/>
    </w:p>
    <w:p>
      <w:pPr>
        <w:rPr>
          <w:i/>
          <w:vanish/>
        </w:rPr>
      </w:pPr>
      <w:r>
        <w:rPr>
          <w:i/>
        </w:rPr>
        <w:fldChar w:fldCharType="begin"/>
      </w:r>
      <w:r>
        <w:rPr>
          <w:i/>
        </w:rPr>
        <w:instrText xml:space="preserve"> TC"(</w:instrText>
      </w:r>
      <w:bookmarkStart w:id="2" w:name="DocNumber"/>
      <w:r>
        <w:rPr>
          <w:i/>
        </w:rPr>
        <w:instrText>A9-0387/2023</w:instrText>
      </w:r>
      <w:bookmarkEnd w:id="2"/>
      <w:r>
        <w:rPr>
          <w:i/>
        </w:rPr>
        <w:instrText xml:space="preserve"> - Spravodajca: Luděk Niedermayer)"\l3 \n&gt; \* MERGEFORMAT </w:instrText>
      </w:r>
      <w:r>
        <w:rPr>
          <w:i/>
        </w:rPr>
        <w:fldChar w:fldCharType="end"/>
      </w:r>
    </w:p>
    <w:p>
      <w:pPr>
        <w:rPr>
          <w:vanish/>
        </w:rPr>
      </w:pPr>
      <w:bookmarkStart w:id="3" w:name="Commission"/>
      <w:r>
        <w:rPr>
          <w:vanish/>
        </w:rPr>
        <w:t>Výbor pre hospodárske a menové veci</w:t>
      </w:r>
      <w:bookmarkEnd w:id="3"/>
    </w:p>
    <w:p>
      <w:pPr>
        <w:rPr>
          <w:vanish/>
        </w:rPr>
      </w:pPr>
      <w:bookmarkStart w:id="4" w:name="PE"/>
      <w:r>
        <w:rPr>
          <w:vanish/>
        </w:rPr>
        <w:t>PE738.463</w:t>
      </w:r>
      <w:bookmarkEnd w:id="4"/>
    </w:p>
    <w:p>
      <w:pPr>
        <w:pStyle w:val="ATHeading3"/>
      </w:pPr>
      <w:bookmarkStart w:id="5" w:name="Sujet"/>
      <w:r>
        <w:t xml:space="preserve">Legislatívne uznesenie Európskeho parlamentu zo 16. januára 2024 o návrhu smernice Rady o stanovení pravidiel týkajúcich sa úľavy na zníženie zvýhodňovania dlhu voči vlastnému imaniu a obmedzenia </w:t>
      </w:r>
      <w:proofErr w:type="spellStart"/>
      <w:r>
        <w:t>odpočítateľnosti</w:t>
      </w:r>
      <w:proofErr w:type="spellEnd"/>
      <w:r>
        <w:t xml:space="preserve"> úrokov na účely dane z príjmov právnických osôb</w:t>
      </w:r>
      <w:bookmarkEnd w:id="5"/>
      <w:r>
        <w:t xml:space="preserve"> </w:t>
      </w:r>
      <w:bookmarkStart w:id="6" w:name="References"/>
      <w:r>
        <w:t>(COM(2022)0216 – C9-0197/2022 – 2022/0154(CNS))</w:t>
      </w:r>
      <w:bookmarkEnd w:id="6"/>
    </w:p>
    <w:p/>
    <w:p>
      <w:pPr>
        <w:pStyle w:val="NormalBold"/>
      </w:pPr>
      <w:bookmarkStart w:id="7" w:name="TextBodyBegin"/>
      <w:bookmarkEnd w:id="7"/>
      <w:r>
        <w:t>(Mimoriadny legislatívny postup – konzultácia)</w:t>
      </w:r>
    </w:p>
    <w:p>
      <w:pPr>
        <w:pStyle w:val="EPComma"/>
      </w:pPr>
      <w:r>
        <w:rPr>
          <w:i/>
          <w:iCs/>
        </w:rPr>
        <w:t>Európsky parlament</w:t>
      </w:r>
      <w:r>
        <w:t>,</w:t>
      </w:r>
    </w:p>
    <w:p>
      <w:pPr>
        <w:pStyle w:val="NormalHanging12a"/>
      </w:pPr>
      <w:r>
        <w:t>–</w:t>
      </w:r>
      <w:r>
        <w:tab/>
        <w:t>so zreteľom na návrh Komisie pre Radu (COM(2022)0216),</w:t>
      </w:r>
    </w:p>
    <w:p>
      <w:pPr>
        <w:pStyle w:val="NormalHanging12a"/>
      </w:pPr>
      <w:r>
        <w:t>–</w:t>
      </w:r>
      <w:r>
        <w:tab/>
        <w:t>so zreteľom na článok 115 Zmluvy o fungovaní Európskej únie, v súlade s ktorým Rada konzultovala s Európskym parlamentom (C9</w:t>
      </w:r>
      <w:r>
        <w:noBreakHyphen/>
        <w:t>0197/2022),</w:t>
      </w:r>
    </w:p>
    <w:p>
      <w:pPr>
        <w:pStyle w:val="NormalHanging12a"/>
      </w:pPr>
      <w:r>
        <w:t>–</w:t>
      </w:r>
      <w:r>
        <w:tab/>
        <w:t>so zreteľom na odôvodnené stanovisko predložené na základe Protokolu č. 2 o uplatňovaní zásad subsidiarity a proporcionality švédskym Parlamentom, v ktorom sa tvrdí, že návrh legislatívneho aktu nie je v súlade so zásadou subsidiarity,</w:t>
      </w:r>
    </w:p>
    <w:p>
      <w:pPr>
        <w:pStyle w:val="NormalHanging12a"/>
      </w:pPr>
      <w:r>
        <w:t>–</w:t>
      </w:r>
      <w:r>
        <w:tab/>
        <w:t>so zreteľom na článok 82 rokovacieho poriadku,</w:t>
      </w:r>
    </w:p>
    <w:p>
      <w:pPr>
        <w:pStyle w:val="NormalHanging12a"/>
      </w:pPr>
      <w:r>
        <w:t>–</w:t>
      </w:r>
      <w:r>
        <w:tab/>
        <w:t>so zreteľom na správu Výboru pre hospodárske a menové veci (A9-0387/2023),</w:t>
      </w:r>
    </w:p>
    <w:p>
      <w:pPr>
        <w:pStyle w:val="NormalHanging12a"/>
      </w:pPr>
      <w:r>
        <w:t>1.</w:t>
      </w:r>
      <w:r>
        <w:tab/>
        <w:t>schvaľuje zmenený návrh Komisie;</w:t>
      </w:r>
    </w:p>
    <w:p>
      <w:pPr>
        <w:pStyle w:val="NormalHanging12a"/>
      </w:pPr>
      <w:r>
        <w:t>2.</w:t>
      </w:r>
      <w:r>
        <w:tab/>
        <w:t>vyzýva Komisiu, aby zmenila svoj návrh v súlade s článkom 293 ods. 2 Zmluvy o fungovaní Európskej únie;</w:t>
      </w:r>
    </w:p>
    <w:p>
      <w:pPr>
        <w:pStyle w:val="NormalHanging12a"/>
      </w:pPr>
      <w:r>
        <w:t>3.</w:t>
      </w:r>
      <w:r>
        <w:tab/>
        <w:t>vyzýva Radu, aby oznámila Európskemu parlamentu, ak má v úmysle odchýliť sa od ním schváleného textu;</w:t>
      </w:r>
    </w:p>
    <w:p>
      <w:pPr>
        <w:pStyle w:val="NormalHanging12a"/>
      </w:pPr>
      <w:r>
        <w:t>4.</w:t>
      </w:r>
      <w:r>
        <w:tab/>
        <w:t>žiada Radu o opätovnú konzultáciu, ak má v úmysle podstatne zmeniť návrh Komisie;</w:t>
      </w:r>
    </w:p>
    <w:p>
      <w:pPr>
        <w:pStyle w:val="NormalHanging12a"/>
      </w:pPr>
      <w:r>
        <w:lastRenderedPageBreak/>
        <w:t>5.</w:t>
      </w:r>
      <w:r>
        <w:tab/>
        <w:t>poveruje svoju predsedníčku, aby postúpila túto pozíciu Rade, Komisii a národným parlamentom.</w:t>
      </w:r>
    </w:p>
    <w:p>
      <w:pPr>
        <w:widowControl/>
      </w:pPr>
      <w:r>
        <w:br w:type="page"/>
      </w:r>
    </w:p>
    <w:p>
      <w:pPr>
        <w:pStyle w:val="AmNumberTabs"/>
        <w:keepNext/>
      </w:pPr>
      <w:r>
        <w:lastRenderedPageBreak/>
        <w:t>Pozmeňujúci návrh</w:t>
      </w:r>
      <w:r>
        <w:tab/>
      </w:r>
      <w:r>
        <w:tab/>
        <w:t>1</w:t>
      </w:r>
    </w:p>
    <w:p>
      <w:pPr>
        <w:pStyle w:val="NormalBold12b"/>
        <w:keepNext/>
      </w:pPr>
      <w:r>
        <w:t>Návrh smernice</w:t>
      </w:r>
    </w:p>
    <w:p>
      <w:pPr>
        <w:pStyle w:val="NormalBold"/>
        <w:keepNext/>
      </w:pPr>
      <w:r>
        <w:t>Odôvodnenie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(1)</w:t>
            </w:r>
            <w:r>
              <w:tab/>
              <w:t>Presadzovanie spravodlivého a udržateľného podnikateľského prostredia, a to aj prostredníctvom cielených daňových opatrení, ktoré stimulujú investície a rast, je dôležitou politickou prioritou Únie. V záujme podpory udržateľného a dlhodobého financovania podnikov by mal daňový systém minimalizovať neúmyselné narúšanie obchodných rozhodnutí, napríklad v prospech dlhového namiesto kapitálového financovania. Hoci akčný plán Komisie na vybudovanie únie kapitálových trhov z roku 2020</w:t>
            </w:r>
            <w:r>
              <w:rPr>
                <w:vertAlign w:val="superscript"/>
              </w:rPr>
              <w:t>14</w:t>
            </w:r>
            <w:r>
              <w:t xml:space="preserve"> obsahuje dôležité opatrenia na podporu takéhoto financovania, napríklad opatrenie 4 – Podpora </w:t>
            </w:r>
            <w:proofErr w:type="spellStart"/>
            <w:r>
              <w:t>dlhodobejšieho</w:t>
            </w:r>
            <w:proofErr w:type="spellEnd"/>
            <w:r>
              <w:t xml:space="preserve"> a kapitálového financovania od inštitucionálnych investorov, na posilnenie takýchto opatrení by sa mali prijať cielené daňové opatrenia. Takéto opatrenia by mali prihliadať na aspekty fiškálnej udržateľnosti.</w:t>
            </w:r>
          </w:p>
        </w:tc>
        <w:tc>
          <w:tcPr>
            <w:tcW w:w="4876" w:type="dxa"/>
          </w:tcPr>
          <w:p>
            <w:pPr>
              <w:pStyle w:val="Normal6a"/>
              <w:rPr>
                <w:szCs w:val="24"/>
              </w:rPr>
            </w:pPr>
            <w:r>
              <w:t>(1)</w:t>
            </w:r>
            <w:r>
              <w:tab/>
              <w:t xml:space="preserve">Presadzovanie spravodlivého a udržateľného podnikateľského prostredia </w:t>
            </w:r>
            <w:r>
              <w:rPr>
                <w:b/>
                <w:bCs/>
                <w:i/>
                <w:iCs/>
              </w:rPr>
              <w:t>a zlepšenie systému dane z príjmov právnických osôb</w:t>
            </w:r>
            <w:r>
              <w:t>, a to aj prostredníctvom cielených daňových opatrení, ktoré stimulujú investície a rast, je dôležitou politickou prioritou Únie. V záujme podpory udržateľného</w:t>
            </w:r>
            <w:r>
              <w:rPr>
                <w:b/>
                <w:bCs/>
                <w:i/>
                <w:iCs/>
              </w:rPr>
              <w:t xml:space="preserve">, spoľahlivého </w:t>
            </w:r>
            <w:r>
              <w:t>a dlhodobého financovania podnikov,</w:t>
            </w:r>
            <w:r>
              <w:rPr>
                <w:b/>
                <w:bCs/>
                <w:i/>
                <w:iCs/>
              </w:rPr>
              <w:t xml:space="preserve"> najmä po troch hospodárskych krízach od roku 2008, keď mnohé podniky musia siahať po dlhovom financovaní na krytie hospodárskych strát,</w:t>
            </w:r>
            <w:r>
              <w:t xml:space="preserve"> by mal daňový systém minimalizovať neúmyselné narúšanie obchodných rozhodnutí, napríklad v prospech dlhového namiesto kapitálového financovania. Hoci akčný plán Komisie na vybudovanie únie kapitálových trhov z roku 2020</w:t>
            </w:r>
            <w:r>
              <w:rPr>
                <w:vertAlign w:val="superscript"/>
              </w:rPr>
              <w:t>14</w:t>
            </w:r>
            <w:r>
              <w:t xml:space="preserve"> obsahuje dôležité opatrenia na podporu takéhoto financovania, napríklad opatrenie 4 – Podpora </w:t>
            </w:r>
            <w:proofErr w:type="spellStart"/>
            <w:r>
              <w:t>dlhodobejšieho</w:t>
            </w:r>
            <w:proofErr w:type="spellEnd"/>
            <w:r>
              <w:t xml:space="preserve"> a kapitálového financovania od inštitucionálnych investorov, na posilnenie takýchto opatrení by sa mali prijať cielené daňové opatrenia. Takéto opatrenia by mali prihliadať na aspekty fiškálnej udržateľnosti.</w:t>
            </w:r>
          </w:p>
        </w:tc>
      </w:tr>
      <w:tr>
        <w:trPr>
          <w:jc w:val="center"/>
        </w:trPr>
        <w:tc>
          <w:tcPr>
            <w:tcW w:w="4876" w:type="dxa"/>
          </w:tcPr>
          <w:p>
            <w:pPr>
              <w:pStyle w:val="Normal6a"/>
            </w:pPr>
            <w:r>
              <w:t>__________________</w:t>
            </w:r>
          </w:p>
        </w:tc>
        <w:tc>
          <w:tcPr>
            <w:tcW w:w="4876" w:type="dxa"/>
          </w:tcPr>
          <w:p>
            <w:pPr>
              <w:pStyle w:val="Normal6a"/>
            </w:pPr>
            <w:r>
              <w:t>__________________</w:t>
            </w:r>
          </w:p>
        </w:tc>
      </w:tr>
      <w:tr>
        <w:trPr>
          <w:jc w:val="center"/>
        </w:trPr>
        <w:tc>
          <w:tcPr>
            <w:tcW w:w="4876" w:type="dxa"/>
          </w:tcPr>
          <w:p>
            <w:pPr>
              <w:pStyle w:val="Normal6a"/>
            </w:pPr>
            <w:r>
              <w:rPr>
                <w:vertAlign w:val="superscript"/>
              </w:rPr>
              <w:t>14</w:t>
            </w:r>
            <w:r>
              <w:t xml:space="preserve"> Oznámenie Komisie Európskemu parlamentu, Rade, Európskemu hospodárskemu a sociálnemu výboru a Výboru regiónov „Únia kapitálových trhov pre ľudí a podniky – nový akčný plán“, COM(2020)0590 </w:t>
            </w:r>
            <w:proofErr w:type="spellStart"/>
            <w:r>
              <w:t>final</w:t>
            </w:r>
            <w:proofErr w:type="spellEnd"/>
            <w:r>
              <w:t xml:space="preserve"> (</w:t>
            </w:r>
            <w:hyperlink r:id="rId9" w:history="1">
              <w:r>
                <w:rPr>
                  <w:rStyle w:val="Hyperlink"/>
                  <w:color w:val="auto"/>
                  <w:u w:val="none"/>
                </w:rPr>
                <w:t>https://eur-lex.europa.eu/resource.html?uri=cellar:61042990-fe46-11ea-b44f-01aa75ed71a1.0001.02/DOC_1&amp;format=PDF</w:t>
              </w:r>
            </w:hyperlink>
            <w:r>
              <w:t>).</w:t>
            </w:r>
          </w:p>
        </w:tc>
        <w:tc>
          <w:tcPr>
            <w:tcW w:w="4876" w:type="dxa"/>
          </w:tcPr>
          <w:p>
            <w:pPr>
              <w:pStyle w:val="Normal6a"/>
            </w:pPr>
            <w:r>
              <w:rPr>
                <w:vertAlign w:val="superscript"/>
              </w:rPr>
              <w:t>14</w:t>
            </w:r>
            <w:r>
              <w:t xml:space="preserve"> Oznámenie Komisie Európskemu parlamentu, Rade, Európskemu hospodárskemu a sociálnemu výboru a Výboru regiónov „Únia kapitálových trhov pre ľudí a podniky – nový akčný plán“, COM(2020)0</w:t>
            </w:r>
            <w:bookmarkStart w:id="8" w:name="_GoBack"/>
            <w:bookmarkEnd w:id="8"/>
            <w:r>
              <w:t>590 </w:t>
            </w:r>
            <w:proofErr w:type="spellStart"/>
            <w:r>
              <w:t>final</w:t>
            </w:r>
            <w:proofErr w:type="spellEnd"/>
            <w:r>
              <w:t xml:space="preserve"> (</w:t>
            </w:r>
            <w:hyperlink r:id="rId10" w:history="1">
              <w:r>
                <w:rPr>
                  <w:rStyle w:val="Hyperlink"/>
                  <w:color w:val="auto"/>
                  <w:u w:val="none"/>
                </w:rPr>
                <w:t>https://eur-lex.europa.eu/resource.html?uri=cellar:61042990-fe46-11ea-b44f-01aa75ed71a1.0001.02/DOC_1&amp;format=PDF</w:t>
              </w:r>
            </w:hyperlink>
            <w:r>
              <w:t>).</w:t>
            </w:r>
          </w:p>
        </w:tc>
      </w:tr>
    </w:tbl>
    <w:p/>
    <w:p>
      <w:pPr>
        <w:pStyle w:val="AmNumberTabs"/>
        <w:keepNext/>
      </w:pPr>
      <w:r>
        <w:lastRenderedPageBreak/>
        <w:t>Pozmeňujúci návrh</w:t>
      </w:r>
      <w:r>
        <w:tab/>
      </w:r>
      <w:r>
        <w:tab/>
        <w:t>2</w:t>
      </w:r>
    </w:p>
    <w:p>
      <w:pPr>
        <w:pStyle w:val="NormalBold12b"/>
        <w:keepNext/>
      </w:pPr>
      <w:r>
        <w:t>Návrh smernice</w:t>
      </w:r>
    </w:p>
    <w:p>
      <w:pPr>
        <w:pStyle w:val="NormalBold"/>
        <w:keepNext/>
      </w:pPr>
      <w:r>
        <w:t>Odôvodnenie 1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p>
        </w:tc>
        <w:tc>
          <w:tcPr>
            <w:tcW w:w="4876" w:type="dxa"/>
          </w:tcPr>
          <w:p>
            <w:pPr>
              <w:pStyle w:val="Normal6a"/>
              <w:rPr>
                <w:b/>
                <w:i/>
              </w:rPr>
            </w:pPr>
            <w:r>
              <w:rPr>
                <w:b/>
                <w:i/>
              </w:rPr>
              <w:t>(1a)</w:t>
            </w:r>
            <w:r>
              <w:rPr>
                <w:b/>
                <w:i/>
              </w:rPr>
              <w:tab/>
              <w:t>Podpora konkurencieschopnej a odolnej únie kapitálových trhov so silným akciovým trhom je potrebná na podporu pracovných príležitostí, hospodárskeho rastu a investícií. Kľúčom k riešeniu budúcich hospodárskych výziev je viac súkromných investícií z vlastného kapitálu. Preto sa dôrazne odporúča vytvoriť právny nástroj na harmonizáciu súčasných legislatívnych ustanovení, aby daňovníci pri rozhodovaní o investíciách nedávali prednosť dlhu bez toho, aby bolo dotknuté legitímne a účinné využívanie dlhových nástrojov.</w:t>
            </w:r>
          </w:p>
        </w:tc>
      </w:tr>
    </w:tbl>
    <w:p/>
    <w:p>
      <w:pPr>
        <w:pStyle w:val="AmNumberTabs"/>
        <w:keepNext/>
      </w:pPr>
      <w:r>
        <w:t>Pozmeňujúci návrh</w:t>
      </w:r>
      <w:r>
        <w:tab/>
      </w:r>
      <w:r>
        <w:tab/>
        <w:t>3</w:t>
      </w:r>
    </w:p>
    <w:p>
      <w:pPr>
        <w:pStyle w:val="NormalBold12b"/>
        <w:keepNext/>
      </w:pPr>
      <w:r>
        <w:t>Návrh smernice</w:t>
      </w:r>
    </w:p>
    <w:p>
      <w:pPr>
        <w:pStyle w:val="NormalBold"/>
        <w:keepNext/>
      </w:pPr>
      <w:r>
        <w:t>Odôvodnenie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(2)</w:t>
            </w:r>
            <w:r>
              <w:tab/>
              <w:t>Daňové systémy členských štátov umožňujú daňovníkom odpočítať si úrokové platby z dlhového financovania, a tým si znížiť daňovú povinnosť k dani z príjmov právnických osôb, zatiaľ čo náklady súvisiace s kapitálovým financovaním vo väčšine členských štátov nie sú daňovo uznateľné. Toto asymetrické daňové zaobchádzanie s dlhovým a kapitálovým financovaním v celej Únii vedie pri investičných rozhodnutiach k zvýhodňovaniu dlhu voči vlastnému imaniu. Okrem toho v prípadoch, keď členské štáty vo svojich vnútroštátnych právnych predpisoch stanovujú daňovú odpočítateľnú položku na kapitálové financovanie, podoba takýchto vnútroštátnych opatrení sa z hľadiska koncepcie politiky výrazne líši.</w:t>
            </w:r>
          </w:p>
        </w:tc>
        <w:tc>
          <w:tcPr>
            <w:tcW w:w="4876" w:type="dxa"/>
          </w:tcPr>
          <w:p>
            <w:pPr>
              <w:pStyle w:val="Normal6a"/>
              <w:rPr>
                <w:b/>
                <w:i/>
              </w:rPr>
            </w:pPr>
            <w:r>
              <w:t>(2)</w:t>
            </w:r>
            <w:r>
              <w:tab/>
              <w:t xml:space="preserve">Daňové systémy členských štátov umožňujú daňovníkom odpočítať si úrokové platby z dlhového financovania, a tým si znížiť daňovú povinnosť k dani z príjmov právnických osôb, zatiaľ čo náklady súvisiace s kapitálovým financovaním vo väčšine členských štátov nie sú daňovo uznateľné. Toto asymetrické daňové zaobchádzanie s dlhovým a kapitálovým financovaním v celej Únii vedie pri investičných rozhodnutiach k zvýhodňovaniu dlhu voči vlastnému imaniu. </w:t>
            </w:r>
            <w:r>
              <w:rPr>
                <w:b/>
                <w:i/>
              </w:rPr>
              <w:t xml:space="preserve">Nedávne krízy spojené so zadlženosťou podnikov na vnútornom trhu ukázali, že je potrebná reforma, ktorá postaví vlastný kapitál a dlh na rovnakú úroveň a výhodu dlhového financovania odstráni. Táto smernica je odpoveďou na početné výzvy Parlamentu, aby sa riešilo daňové zvýhodňovanie dlhu </w:t>
            </w:r>
            <w:r>
              <w:rPr>
                <w:b/>
                <w:i/>
              </w:rPr>
              <w:lastRenderedPageBreak/>
              <w:t>oproti vlastnému imaniu</w:t>
            </w:r>
            <w:r>
              <w:rPr>
                <w:b/>
                <w:i/>
                <w:vertAlign w:val="superscript"/>
              </w:rPr>
              <w:t>1a</w:t>
            </w:r>
            <w:r>
              <w:rPr>
                <w:b/>
                <w:i/>
              </w:rPr>
              <w:t xml:space="preserve">. </w:t>
            </w:r>
            <w:r>
              <w:t xml:space="preserve">Okrem toho v prípadoch, keď členské štáty vo svojich vnútroštátnych právnych predpisoch stanovujú daňovú odpočítateľnú položku na kapitálové financovanie, podoba takýchto vnútroštátnych opatrení sa z hľadiska koncepcie politiky výrazne líši. </w:t>
            </w:r>
            <w:r>
              <w:rPr>
                <w:b/>
                <w:i/>
              </w:rPr>
              <w:t>Je preto nevyhnutné zabezpečiť rovnaké podmienky riešenia z vlastného kapitálu a dlhové nástroje so zreteľom na potrebu zaručiť minimálne úrovne systémovej súdržnosti medzi vnútroštátnymi daňovými rámcami, a to na úrovni daňových výhod.</w:t>
            </w:r>
          </w:p>
        </w:tc>
      </w:tr>
      <w:tr>
        <w:trPr>
          <w:jc w:val="center"/>
        </w:trPr>
        <w:tc>
          <w:tcPr>
            <w:tcW w:w="4876" w:type="dxa"/>
          </w:tcPr>
          <w:p>
            <w:pPr>
              <w:pStyle w:val="Normal6a"/>
            </w:pPr>
          </w:p>
        </w:tc>
        <w:tc>
          <w:tcPr>
            <w:tcW w:w="4876" w:type="dxa"/>
          </w:tcPr>
          <w:p>
            <w:pPr>
              <w:pStyle w:val="Normal6a"/>
            </w:pPr>
            <w:r>
              <w:t>__________________</w:t>
            </w:r>
          </w:p>
        </w:tc>
      </w:tr>
      <w:tr>
        <w:trPr>
          <w:jc w:val="center"/>
        </w:trPr>
        <w:tc>
          <w:tcPr>
            <w:tcW w:w="4876" w:type="dxa"/>
          </w:tcPr>
          <w:p>
            <w:pPr>
              <w:pStyle w:val="Normal6a"/>
            </w:pPr>
          </w:p>
        </w:tc>
        <w:tc>
          <w:tcPr>
            <w:tcW w:w="4876" w:type="dxa"/>
          </w:tcPr>
          <w:p>
            <w:pPr>
              <w:pStyle w:val="Normal6a"/>
              <w:rPr>
                <w:b/>
                <w:i/>
              </w:rPr>
            </w:pPr>
            <w:r>
              <w:rPr>
                <w:b/>
                <w:i/>
                <w:vertAlign w:val="superscript"/>
              </w:rPr>
              <w:t>1a</w:t>
            </w:r>
            <w:r>
              <w:rPr>
                <w:b/>
                <w:i/>
              </w:rPr>
              <w:t xml:space="preserve"> Pozri:</w:t>
            </w:r>
          </w:p>
        </w:tc>
      </w:tr>
      <w:tr>
        <w:trPr>
          <w:jc w:val="center"/>
        </w:trPr>
        <w:tc>
          <w:tcPr>
            <w:tcW w:w="4876" w:type="dxa"/>
          </w:tcPr>
          <w:p>
            <w:pPr>
              <w:pStyle w:val="Normal6a"/>
            </w:pPr>
          </w:p>
        </w:tc>
        <w:tc>
          <w:tcPr>
            <w:tcW w:w="4876" w:type="dxa"/>
          </w:tcPr>
          <w:p>
            <w:pPr>
              <w:pStyle w:val="Normal6a"/>
              <w:rPr>
                <w:b/>
                <w:i/>
                <w:vertAlign w:val="superscript"/>
              </w:rPr>
            </w:pPr>
            <w:r>
              <w:rPr>
                <w:b/>
                <w:i/>
              </w:rPr>
              <w:t>–</w:t>
            </w:r>
            <w:r>
              <w:rPr>
                <w:b/>
                <w:i/>
              </w:rPr>
              <w:tab/>
              <w:t xml:space="preserve">uznesenie Európskeho parlamentu z 8. októbra 2020 o ďalšom budovaní únie kapitálových trhov: zlepšenie prístupu k financovaniu na kapitálovom trhu, najmä pre MSP, a ďalšia podpora účasti </w:t>
            </w:r>
            <w:proofErr w:type="spellStart"/>
            <w:r>
              <w:rPr>
                <w:b/>
                <w:i/>
              </w:rPr>
              <w:t>retailových</w:t>
            </w:r>
            <w:proofErr w:type="spellEnd"/>
            <w:r>
              <w:rPr>
                <w:b/>
                <w:i/>
              </w:rPr>
              <w:t xml:space="preserve"> investorov (2020/2036(INI)) (Ú. v. EÚ C 395, 29.9.2021, s. 89); </w:t>
            </w:r>
          </w:p>
        </w:tc>
      </w:tr>
      <w:tr>
        <w:trPr>
          <w:jc w:val="center"/>
        </w:trPr>
        <w:tc>
          <w:tcPr>
            <w:tcW w:w="4876" w:type="dxa"/>
          </w:tcPr>
          <w:p>
            <w:pPr>
              <w:pStyle w:val="Normal6a"/>
            </w:pPr>
          </w:p>
        </w:tc>
        <w:tc>
          <w:tcPr>
            <w:tcW w:w="4876" w:type="dxa"/>
          </w:tcPr>
          <w:p>
            <w:pPr>
              <w:pStyle w:val="Normal6a"/>
              <w:rPr>
                <w:b/>
                <w:i/>
                <w:vertAlign w:val="superscript"/>
              </w:rPr>
            </w:pPr>
            <w:r>
              <w:rPr>
                <w:b/>
                <w:i/>
              </w:rPr>
              <w:t>–</w:t>
            </w:r>
            <w:r>
              <w:rPr>
                <w:b/>
                <w:i/>
              </w:rPr>
              <w:tab/>
              <w:t>legislatívne uznesenie Európskeho parlamentu z 15. marca 2018 o návrhu smernice Rady o spoločnom základe dane z príjmov právnických osôb (2016/0337(CNS)) (Ú. v. EÚ C 162, 10.5.2019, s. 181);</w:t>
            </w:r>
          </w:p>
        </w:tc>
      </w:tr>
      <w:tr>
        <w:trPr>
          <w:jc w:val="center"/>
        </w:trPr>
        <w:tc>
          <w:tcPr>
            <w:tcW w:w="4876" w:type="dxa"/>
          </w:tcPr>
          <w:p>
            <w:pPr>
              <w:pStyle w:val="Normal6a"/>
            </w:pPr>
          </w:p>
        </w:tc>
        <w:tc>
          <w:tcPr>
            <w:tcW w:w="4876" w:type="dxa"/>
          </w:tcPr>
          <w:p>
            <w:pPr>
              <w:pStyle w:val="Normal6a"/>
              <w:rPr>
                <w:b/>
                <w:i/>
              </w:rPr>
            </w:pPr>
            <w:r>
              <w:rPr>
                <w:b/>
                <w:i/>
              </w:rPr>
              <w:t>–</w:t>
            </w:r>
            <w:r>
              <w:rPr>
                <w:b/>
                <w:i/>
              </w:rPr>
              <w:tab/>
              <w:t>uznesenie Európskeho parlamentu z 10. marca 2022 s odporúčaniami pre Komisiu o spravodlivom a jednoduchom zdaňovaní na podporu stratégie obnovy [nadviazanie EP na júlový akčný plán Komisie a jej 25 iniciatív v oblasti DPH, zdaňovania podnikov a fyzických osôb) (2020/2254(INL)) (Ú. v. EÚ C 347, 9.9.2022, s. 211);</w:t>
            </w:r>
          </w:p>
        </w:tc>
      </w:tr>
      <w:tr>
        <w:trPr>
          <w:jc w:val="center"/>
        </w:trPr>
        <w:tc>
          <w:tcPr>
            <w:tcW w:w="4876" w:type="dxa"/>
          </w:tcPr>
          <w:p>
            <w:pPr>
              <w:pStyle w:val="Normal6a"/>
            </w:pPr>
          </w:p>
        </w:tc>
        <w:tc>
          <w:tcPr>
            <w:tcW w:w="4876" w:type="dxa"/>
          </w:tcPr>
          <w:p>
            <w:pPr>
              <w:pStyle w:val="Normal6a"/>
              <w:rPr>
                <w:b/>
                <w:i/>
              </w:rPr>
            </w:pPr>
            <w:r>
              <w:rPr>
                <w:b/>
                <w:i/>
              </w:rPr>
              <w:t>–</w:t>
            </w:r>
            <w:r>
              <w:rPr>
                <w:b/>
                <w:i/>
              </w:rPr>
              <w:tab/>
            </w:r>
            <w:r>
              <w:rPr>
                <w:b/>
                <w:bCs/>
                <w:i/>
                <w:iCs/>
              </w:rPr>
              <w:t>uznesenie Európskeho parlamentu z 15. februára 2022 o vplyve vnútroštátnych daňových reforiem na hospodárstvo EÚ (</w:t>
            </w:r>
            <w:r>
              <w:t>2021/2074(INI)</w:t>
            </w:r>
            <w:r>
              <w:rPr>
                <w:b/>
                <w:bCs/>
                <w:i/>
                <w:iCs/>
              </w:rPr>
              <w:t>) (Ú. v. EÚ C 342, 6.9.2022, s. 14).</w:t>
            </w:r>
          </w:p>
        </w:tc>
      </w:tr>
    </w:tbl>
    <w:p/>
    <w:p>
      <w:pPr>
        <w:pStyle w:val="AmNumberTabs"/>
        <w:keepNext/>
      </w:pPr>
      <w:r>
        <w:lastRenderedPageBreak/>
        <w:t>Pozmeňujúci návrh</w:t>
      </w:r>
      <w:r>
        <w:tab/>
      </w:r>
      <w:r>
        <w:tab/>
        <w:t>4</w:t>
      </w:r>
    </w:p>
    <w:p>
      <w:pPr>
        <w:pStyle w:val="NormalBold12b"/>
        <w:keepNext/>
      </w:pPr>
      <w:r>
        <w:t>Návrh smernice</w:t>
      </w:r>
    </w:p>
    <w:p>
      <w:pPr>
        <w:pStyle w:val="NormalBold"/>
        <w:keepNext/>
      </w:pPr>
      <w:r>
        <w:t>Odôvodnenie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(3)</w:t>
            </w:r>
            <w:r>
              <w:tab/>
              <w:t xml:space="preserve">S cieľom odstrániť možné daňové deformácie medzi členskými štátmi je potrebné stanoviť spoločný rámec pravidiel, ktoré by koordinovane riešili daňové zvýhodňovanie dlhu voči vlastnému imaniu v celej Únii. Takýmito pravidlami by sa malo zabezpečiť, aby sa na celom jednotnom trhu s kapitálovým a dlhovým financovaním zaobchádzalo na daňové účely podobným spôsobom. Spoločný legislatívny rámec Únie by zároveň mal byť udržateľný pre rozpočty členských štátov aj v krátkodobom horizonte. Takýto rámec by preto mal zahŕňať na jednej strane pravidlá pre daňovú </w:t>
            </w:r>
            <w:proofErr w:type="spellStart"/>
            <w:r>
              <w:t>uznateľnosť</w:t>
            </w:r>
            <w:proofErr w:type="spellEnd"/>
            <w:r>
              <w:t xml:space="preserve"> nákladov na kapitálové financovanie a na druhej strane pravidlá pre obmedzenie daňovej </w:t>
            </w:r>
            <w:proofErr w:type="spellStart"/>
            <w:r>
              <w:t>uznateľnosti</w:t>
            </w:r>
            <w:proofErr w:type="spellEnd"/>
            <w:r>
              <w:t xml:space="preserve"> nákladov na dlhové financovanie.</w:t>
            </w:r>
          </w:p>
          <w:p>
            <w:pPr>
              <w:pStyle w:val="Normal6a"/>
            </w:pPr>
          </w:p>
        </w:tc>
        <w:tc>
          <w:tcPr>
            <w:tcW w:w="4876" w:type="dxa"/>
          </w:tcPr>
          <w:p>
            <w:pPr>
              <w:pStyle w:val="Normal6a"/>
              <w:rPr>
                <w:b/>
                <w:i/>
              </w:rPr>
            </w:pPr>
            <w:r>
              <w:t>(3)</w:t>
            </w:r>
            <w:r>
              <w:tab/>
              <w:t xml:space="preserve">S cieľom odstrániť možné deformácie medzi členskými štátmi súvisiace s daňami je potrebné stanoviť spoločný rámec pravidiel na koordinované riešenie daňového zvýhodňovania dlhu voči vlastnému imaniu v celej Únii </w:t>
            </w:r>
            <w:r>
              <w:rPr>
                <w:b/>
                <w:bCs/>
                <w:i/>
                <w:iCs/>
              </w:rPr>
              <w:t>pri plnom rešpektovaní inštitucionálneho rámca Únie v daňových otázkach tak, ako je stanovené v zmluvách</w:t>
            </w:r>
            <w:r>
              <w:t xml:space="preserve">. Takýmito pravidlami by sa malo zabezpečiť, aby sa na celom jednotnom trhu s kapitálovým a dlhovým financovaním zaobchádzalo na daňové účely podobným spôsobom. </w:t>
            </w:r>
            <w:r>
              <w:rPr>
                <w:b/>
                <w:bCs/>
                <w:i/>
                <w:iCs/>
              </w:rPr>
              <w:t xml:space="preserve">Vzhľadom na rozsiahlu daňovú </w:t>
            </w:r>
            <w:proofErr w:type="spellStart"/>
            <w:r>
              <w:rPr>
                <w:b/>
                <w:bCs/>
                <w:i/>
                <w:iCs/>
              </w:rPr>
              <w:t>odpočítateľnosť</w:t>
            </w:r>
            <w:proofErr w:type="spellEnd"/>
            <w:r>
              <w:rPr>
                <w:b/>
                <w:bCs/>
                <w:i/>
                <w:iCs/>
              </w:rPr>
              <w:t xml:space="preserve"> dlhu a skutočnosť, že vytvorenie odpočítateľnej položky na zvýšenie vlastného imania by mohlo mať priamy vplyv na verejné príjmy, </w:t>
            </w:r>
            <w:r>
              <w:t xml:space="preserve">by spoločný legislatívny rámec Únie mal byť z krátkodobého hľadiska udržateľný aj pre rozpočty členských štátov. Takýto rámec by preto mal zahŕňať na jednej strane pravidlá pre daňovú </w:t>
            </w:r>
            <w:proofErr w:type="spellStart"/>
            <w:r>
              <w:t>uznateľnosť</w:t>
            </w:r>
            <w:proofErr w:type="spellEnd"/>
            <w:r>
              <w:t xml:space="preserve"> nákladov na kapitálové financovanie a na druhej strane pravidlá pre obmedzenie daňovej </w:t>
            </w:r>
            <w:proofErr w:type="spellStart"/>
            <w:r>
              <w:t>uznateľnosti</w:t>
            </w:r>
            <w:proofErr w:type="spellEnd"/>
            <w:r>
              <w:t xml:space="preserve"> nákladov na dlhové financovanie. </w:t>
            </w:r>
            <w:r>
              <w:rPr>
                <w:b/>
                <w:i/>
              </w:rPr>
              <w:t>Cieľom tejto smernice je dosiahnuť lepšiu krátkodobú rovnováhu jednotlivých aspektov udržateľnosti verejných financií členských štátov a pritom predísť značným stratám členských štátov na príjmoch, ako aj zamerať sa na zlepšenie finančnej stability podnikov.</w:t>
            </w:r>
          </w:p>
        </w:tc>
      </w:tr>
    </w:tbl>
    <w:p/>
    <w:p>
      <w:pPr>
        <w:pStyle w:val="AmNumberTabs"/>
        <w:keepNext/>
      </w:pPr>
      <w:r>
        <w:lastRenderedPageBreak/>
        <w:t>Pozmeňujúci návrh</w:t>
      </w:r>
      <w:r>
        <w:tab/>
      </w:r>
      <w:r>
        <w:tab/>
        <w:t>5</w:t>
      </w:r>
    </w:p>
    <w:p>
      <w:pPr>
        <w:pStyle w:val="NormalBold12b"/>
        <w:keepNext/>
      </w:pPr>
      <w:r>
        <w:t>Návrh smernice</w:t>
      </w:r>
    </w:p>
    <w:p>
      <w:pPr>
        <w:pStyle w:val="NormalBold"/>
        <w:keepNext/>
      </w:pPr>
      <w:r>
        <w:t>Odôvodnenie 3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p>
        </w:tc>
        <w:tc>
          <w:tcPr>
            <w:tcW w:w="4876" w:type="dxa"/>
          </w:tcPr>
          <w:p>
            <w:pPr>
              <w:pStyle w:val="Normal6a"/>
              <w:rPr>
                <w:b/>
                <w:i/>
              </w:rPr>
            </w:pPr>
            <w:r>
              <w:rPr>
                <w:b/>
                <w:i/>
              </w:rPr>
              <w:t>(3a)</w:t>
            </w:r>
            <w:r>
              <w:rPr>
                <w:b/>
                <w:i/>
              </w:rPr>
              <w:tab/>
              <w:t xml:space="preserve">V záujme ďalšieho rozvoja európskej únie kapitálových trhov sa táto smernica usiluje o diverzifikáciu zdrojov financovania pre podniky Únie, najmä pre MSP. Preto by sa malo zamedziť tvorbe nových nákladov a prekážok prístupu k financovaniu pre tie podniky, ktorých prístup na kapitálové trhy nie je jednoduchý. Obmedzenie </w:t>
            </w:r>
            <w:proofErr w:type="spellStart"/>
            <w:r>
              <w:rPr>
                <w:b/>
                <w:i/>
              </w:rPr>
              <w:t>odpočítateľnosti</w:t>
            </w:r>
            <w:proofErr w:type="spellEnd"/>
            <w:r>
              <w:rPr>
                <w:b/>
                <w:i/>
              </w:rPr>
              <w:t xml:space="preserve"> úrokových nákladov týchto podnikov by mohlo brániť investíciám v celej Únii, a preto by sa odpočet úrokov nemal obmedzovať na MSP a skupiny strednej veľkosti.</w:t>
            </w:r>
          </w:p>
        </w:tc>
      </w:tr>
    </w:tbl>
    <w:p/>
    <w:p>
      <w:pPr>
        <w:pStyle w:val="AmNumberTabs"/>
        <w:keepNext/>
      </w:pPr>
      <w:r>
        <w:t>Pozmeňujúci návrh</w:t>
      </w:r>
      <w:r>
        <w:tab/>
      </w:r>
      <w:r>
        <w:tab/>
        <w:t>6</w:t>
      </w:r>
    </w:p>
    <w:p>
      <w:pPr>
        <w:pStyle w:val="NormalBold12b"/>
        <w:keepNext/>
      </w:pPr>
      <w:r>
        <w:t>Návrh smernice</w:t>
      </w:r>
    </w:p>
    <w:p>
      <w:pPr>
        <w:pStyle w:val="NormalBold"/>
        <w:keepNext/>
      </w:pPr>
      <w:r>
        <w:t>Odôvodnenie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(5)</w:t>
            </w:r>
            <w:r>
              <w:tab/>
              <w:t xml:space="preserve">S cieľom vyrovnať znevýhodnenie kapitálového financovania oproti dlhovému financovaniu by sa mala stanoviť odpočítateľná položka, na základe ktorej by zvýšenie vlastného imania daňovníka medzi dvoma bezprostredne po sebe nasledujúcimi zdaňovacími obdobiami bolo za určitých podmienok odpočítateľné od jeho základu dane. Odpočítateľná položka by sa mala vypočítať vynásobením zvýšenia vlastného imania hypotetickou úrokovou mierou založenou na bezrizikovej úrokovej miere, ako sa stanovuje vo vykonávacích aktoch prijatých podľa článku 77e ods. 2 smernice 2009/138/ES. Takéto bezrizikové úrokové miery už sú súčasťou práva EÚ a ako také sa v praxi účinne uplatňujú. Akákoľvek časť tejto odpočítateľnej položky, ktorú nemožno odpočítať v zdaňovacom období </w:t>
            </w:r>
            <w:r>
              <w:lastRenderedPageBreak/>
              <w:t>z dôvodu nedostatočne vysokých zdaniteľných ziskov, by sa mohla preniesť do budúcich období. Vzhľadom na osobitné výzvy, ktorým čelia malé a stredné podniky (MSP) pri prístupe na kapitálové trhy, by sa pre daňovníkov, ktorí sú MSP, mala stanoviť vyššia odpočítateľná položka na vlastné imanie. Aby bol odpočet odpočítateľnej položky na vlastné imanie udržateľný pre verejné financie krátkodobom horizonte, mal by byť časovo obmedzený. Na ochranu systému pred zneužívaním je potrebné vylúčiť z výpočtu zmien vlastného imania daňovú hodnotu vlastných akcií daňovníka, ako aj daňovú hodnotu jeho účasti v prepojených podnikoch. V rovnakom duchu je potrebné stanoviť zdanenie zníženia vlastného imania daňovníka medzi jedným zdaňovacím obdobím a nasledujúcim zdaňovacím obdobím, aby sa zabránilo zvyšovaniu vlastného imania nenáležitým spôsobom. Takéto pravidlo by taktiež podporovalo zachovanie určitej úrovne vlastného imania. Uplatňovalo by sa tak, že ak dôjde k zníženiu vlastného imania daňovníka, ktorý využil odpočítateľnú položku pri zvýšení vlastného imania, suma vypočítaná rovnakým spôsobom ako táto odpočítateľná položka by sa stala zdaniteľnou počas desiatich zdaňovacích období, pokiaľ daňovník neposkytne dôkaz, že k tomuto zníženiu došlo výlučne v dôsledku strát, ktoré vznikli počas daného zdaňovacieho obdobia, alebo v dôsledku právnej povinnosti.</w:t>
            </w:r>
          </w:p>
        </w:tc>
        <w:tc>
          <w:tcPr>
            <w:tcW w:w="4876" w:type="dxa"/>
          </w:tcPr>
          <w:p>
            <w:pPr>
              <w:pStyle w:val="Normal6a"/>
            </w:pPr>
            <w:r>
              <w:lastRenderedPageBreak/>
              <w:t>(5)</w:t>
            </w:r>
            <w:r>
              <w:tab/>
              <w:t xml:space="preserve">S cieľom vyrovnať znevýhodnenie kapitálového financovania oproti dlhovému financovaniu by sa mala stanoviť odpočítateľná položka, na základe ktorej by zvýšenie vlastného imania daňovníka medzi dvoma bezprostredne po sebe nasledujúcimi zdaňovacími obdobiami bolo za určitých podmienok odpočítateľné od jeho základu dane. Odpočítateľná položka by sa mala vypočítať vynásobením zvýšenia vlastného imania hypotetickou úrokovou mierou založenou na bezrizikovej úrokovej miere, ako sa stanovuje vo vykonávacích aktoch prijatých podľa článku 77e ods. 2 smernice 2009/138/ES. Takéto bezrizikové úrokové miery už sú súčasťou práva EÚ a ako také sa v praxi účinne uplatňujú. Akákoľvek časť tejto odpočítateľnej položky, ktorú nemožno odpočítať v zdaňovacom období </w:t>
            </w:r>
            <w:r>
              <w:lastRenderedPageBreak/>
              <w:t xml:space="preserve">z dôvodu nedostatočne vysokých zdaniteľných ziskov, by sa mohla preniesť do budúcich období. Vzhľadom na osobitné výzvy, ktorým čelia malé a stredné podniky (MSP) </w:t>
            </w:r>
            <w:r>
              <w:rPr>
                <w:b/>
                <w:bCs/>
                <w:i/>
                <w:iCs/>
              </w:rPr>
              <w:t xml:space="preserve">a skupiny strednej veľkosti </w:t>
            </w:r>
            <w:r>
              <w:t>pri prístupe na kapitálové trhy</w:t>
            </w:r>
            <w:r>
              <w:rPr>
                <w:b/>
                <w:bCs/>
                <w:i/>
                <w:iCs/>
              </w:rPr>
              <w:t>, ich vyššie náklady na financovanie, nižšiu dostupnosť kapitálu</w:t>
            </w:r>
            <w:r>
              <w:t xml:space="preserve"> </w:t>
            </w:r>
            <w:r>
              <w:rPr>
                <w:b/>
                <w:bCs/>
                <w:i/>
                <w:iCs/>
              </w:rPr>
              <w:t>a vyššiu pravdepodobnosť, že budú čeliť dlhším obdobiam strát</w:t>
            </w:r>
            <w:r>
              <w:t xml:space="preserve">, by sa pre daňovníkov, ktorí sú MSP </w:t>
            </w:r>
            <w:r>
              <w:rPr>
                <w:b/>
                <w:bCs/>
                <w:i/>
                <w:iCs/>
              </w:rPr>
              <w:t>alebo skupiny strednej veľkosti</w:t>
            </w:r>
            <w:r>
              <w:t xml:space="preserve">, mala stanoviť vyššia odpočítateľná položka na vlastné imanie, </w:t>
            </w:r>
            <w:r>
              <w:rPr>
                <w:b/>
                <w:bCs/>
                <w:i/>
                <w:iCs/>
              </w:rPr>
              <w:t xml:space="preserve">ako aj dlhšie obdobie daňovej </w:t>
            </w:r>
            <w:proofErr w:type="spellStart"/>
            <w:r>
              <w:rPr>
                <w:b/>
                <w:bCs/>
                <w:i/>
                <w:iCs/>
              </w:rPr>
              <w:t>odpočítateľnosti</w:t>
            </w:r>
            <w:proofErr w:type="spellEnd"/>
            <w:r>
              <w:t xml:space="preserve">. Aby bol odpočet odpočítateľnej položky na vlastné imanie udržateľný pre verejné financie krátkodobom horizonte, mal by byť </w:t>
            </w:r>
            <w:r>
              <w:rPr>
                <w:b/>
                <w:bCs/>
                <w:i/>
                <w:iCs/>
              </w:rPr>
              <w:t>riadne a úmerne</w:t>
            </w:r>
            <w:r>
              <w:t xml:space="preserve"> časovo obmedzený. Na ochranu systému pred zneužívaním je potrebné vylúčiť z výpočtu zmien vlastného imania daňovú hodnotu vlastných akcií daňovníka, ako aj daňovú hodnotu jeho účasti v prepojených podnikoch. V rovnakom duchu je potrebné stanoviť zdanenie zníženia vlastného imania daňovníka medzi jedným zdaňovacím obdobím a nasledujúcim zdaňovacím obdobím, aby sa zabránilo zvyšovaniu vlastného imania nenáležitým spôsobom. Takéto pravidlo by taktiež podporovalo zachovanie určitej úrovne vlastného imania. Uplatňovalo by sa tak, že ak dôjde k zníženiu vlastného imania daňovníka, ktorý využil odpočítateľnú položku pri zvýšení vlastného imania, suma vypočítaná rovnakým spôsobom ako táto odpočítateľná položka by bola zdaniteľnou počas desiatich zdaňovacích období </w:t>
            </w:r>
            <w:r>
              <w:rPr>
                <w:b/>
                <w:bCs/>
                <w:i/>
                <w:iCs/>
              </w:rPr>
              <w:t>pre MSP a skupiny strednej veľkosti a počas siedmich za sebou nasledujúcich daňových období pre každého daňovníka, ktorý nie je MSP alebo skupinou strednej veľkosti,</w:t>
            </w:r>
            <w:r>
              <w:t xml:space="preserve"> pokiaľ daňovník neposkytne dôkaz, že k tomuto zníženiu došlo výlučne v dôsledku strát, ktoré vznikli počas daného zdaňovacieho obdobia, alebo v dôsledku právnej povinnosti. </w:t>
            </w:r>
            <w:r>
              <w:rPr>
                <w:b/>
                <w:i/>
              </w:rPr>
              <w:t xml:space="preserve">Komisia a členské štáty by mali vykonávať informačné a komunikačné opatrenia v </w:t>
            </w:r>
            <w:r>
              <w:rPr>
                <w:b/>
                <w:i/>
              </w:rPr>
              <w:lastRenderedPageBreak/>
              <w:t>súvislosti s touto smernicou, najmä vzhľadom na jej možnosti a prínosy pre MSP.</w:t>
            </w:r>
          </w:p>
        </w:tc>
      </w:tr>
    </w:tbl>
    <w:p/>
    <w:p>
      <w:pPr>
        <w:pStyle w:val="AmNumberTabs"/>
      </w:pPr>
      <w:r>
        <w:t>Pozmeňujúci návrh</w:t>
      </w:r>
      <w:r>
        <w:tab/>
      </w:r>
      <w:r>
        <w:tab/>
        <w:t>7</w:t>
      </w:r>
    </w:p>
    <w:p>
      <w:pPr>
        <w:pStyle w:val="NormalBold12b"/>
      </w:pPr>
      <w:r>
        <w:t>Návrh smernice</w:t>
      </w:r>
    </w:p>
    <w:p>
      <w:pPr>
        <w:pStyle w:val="NormalBold"/>
      </w:pPr>
      <w:r>
        <w:t>Odôvodnenie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trPr>
          <w:trHeight w:hRule="exact" w:val="240"/>
          <w:jc w:val="center"/>
        </w:trPr>
        <w:tc>
          <w:tcPr>
            <w:tcW w:w="9752" w:type="dxa"/>
            <w:gridSpan w:val="2"/>
          </w:tcPr>
          <w:p/>
        </w:tc>
      </w:tr>
      <w:tr>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rPr>
          <w:jc w:val="center"/>
        </w:trPr>
        <w:tc>
          <w:tcPr>
            <w:tcW w:w="4876" w:type="dxa"/>
          </w:tcPr>
          <w:p>
            <w:pPr>
              <w:pStyle w:val="Normal6a"/>
            </w:pPr>
            <w:r>
              <w:t>(6)</w:t>
            </w:r>
            <w:r>
              <w:tab/>
              <w:t xml:space="preserve">Aby sa zabránilo zneužívaniu odpočítavania odpočítateľnej položky na vlastné imanie, je potrebné stanoviť osobitné pravidlá proti vyhýbaniu sa daňovým povinnostiam. Takéto pravidlá by sa mali zameriavať najmä na schémy zavedené s cieľom obísť podmienky, za ktorých zvýšenie vlastného imania zakladá právo na odpočítateľnú položku podľa tejto smernice, napríklad prostredníctvom </w:t>
            </w:r>
            <w:proofErr w:type="spellStart"/>
            <w:r>
              <w:t>vnútroskupinového</w:t>
            </w:r>
            <w:proofErr w:type="spellEnd"/>
            <w:r>
              <w:t xml:space="preserve"> prevodu účastí v prepojených podnikoch. Takéto pravidlá by mali cieliť aj na schémy zavedené s úmyslom uplatniť si odpočítateľnú položku, aj keď nedôjde k žiadnemu zvýšeniu vlastného imania na úrovni skupiny. Na tieto účely by sa mohli využívať napríklad </w:t>
            </w:r>
            <w:proofErr w:type="spellStart"/>
            <w:r>
              <w:t>vnútroskupinové</w:t>
            </w:r>
            <w:proofErr w:type="spellEnd"/>
            <w:r>
              <w:t xml:space="preserve"> dlhové financovanie alebo peňažné príspevky. Osobitné pravidlá proti vyhýbaniu sa daňovým povinnostiam by mali zabrániť aj tomu, aby sa zaviedli schémy s cieľom nárokovať si, že zvýšenie vlastného imania a zodpovedajúca odpočítateľná položka sú vyššie než v skutočnosti, napríklad zvýšením pohľadávok dlhového financovania alebo nadhodnotením aktív. Okrem toho sa na zneužívanie, na ktoré sa nevzťahuje osobitný rámec proti vyhýbaniu sa daňovým povinnostiam tejto smernice, vzťahuje všeobecné pravidlo proti zneužívaniu v článku 6 smernice Rady (EÚ) 2016/1164</w:t>
            </w:r>
            <w:r>
              <w:rPr>
                <w:rStyle w:val="Sup"/>
              </w:rPr>
              <w:t>15</w:t>
            </w:r>
            <w:r>
              <w:t>.</w:t>
            </w:r>
          </w:p>
        </w:tc>
        <w:tc>
          <w:tcPr>
            <w:tcW w:w="4876" w:type="dxa"/>
          </w:tcPr>
          <w:p>
            <w:pPr>
              <w:pStyle w:val="Normal6a"/>
            </w:pPr>
            <w:r>
              <w:t>(6)</w:t>
            </w:r>
            <w:r>
              <w:tab/>
              <w:t xml:space="preserve">Aby sa zabránilo zneužívaniu odpočítavania odpočítateľnej položky na vlastné imanie, je potrebné stanoviť osobitné pravidlá proti vyhýbaniu sa daňovým povinnostiam. Takéto pravidlá by sa mali zameriavať najmä na schémy zavedené s cieľom obísť podmienky, za ktorých zvýšenie vlastného imania zakladá právo na odpočítateľnú položku podľa tejto smernice, napríklad prostredníctvom </w:t>
            </w:r>
            <w:proofErr w:type="spellStart"/>
            <w:r>
              <w:t>vnútroskupinového</w:t>
            </w:r>
            <w:proofErr w:type="spellEnd"/>
            <w:r>
              <w:t xml:space="preserve"> prevodu účastí v prepojených podnikoch. Takéto pravidlá by mali cieliť aj na schémy zavedené s úmyslom uplatniť si odpočítateľnú položku, aj keď nedôjde k žiadnemu zvýšeniu vlastného imania na úrovni skupiny. Na tieto účely by sa mohli využívať napríklad </w:t>
            </w:r>
            <w:proofErr w:type="spellStart"/>
            <w:r>
              <w:t>vnútroskupinové</w:t>
            </w:r>
            <w:proofErr w:type="spellEnd"/>
            <w:r>
              <w:t xml:space="preserve"> dlhové financovanie alebo peňažné príspevky. Osobitné pravidlá proti vyhýbaniu sa daňovým povinnostiam by mali zabrániť aj tomu, aby sa zaviedli schémy s cieľom nárokovať si, že zvýšenie vlastného imania a zodpovedajúca odpočítateľná položka sú vyššie než v skutočnosti, napríklad zvýšením pohľadávok dlhového financovania alebo nadhodnotením aktív. Okrem toho sa na zneužívanie, na ktoré sa nevzťahuje osobitný rámec proti vyhýbaniu sa daňovým povinnostiam tejto smernice, vzťahuje všeobecné pravidlo proti zneužívaniu v článku 6 smernice Rady (EÚ) 2016/1164</w:t>
            </w:r>
            <w:r>
              <w:rPr>
                <w:rStyle w:val="Sup"/>
              </w:rPr>
              <w:t>15</w:t>
            </w:r>
            <w:r>
              <w:t xml:space="preserve">. </w:t>
            </w:r>
            <w:r>
              <w:rPr>
                <w:b/>
                <w:i/>
              </w:rPr>
              <w:t xml:space="preserve">Členské štáty by mali takisto zabezpečiť, aby opatrenia, ktoré prijmú na transpozíciu tejto smernice do vnútroštátneho práva, boli v súlade s usmerneniami skupiny pre kódex </w:t>
            </w:r>
            <w:r>
              <w:rPr>
                <w:b/>
                <w:i/>
              </w:rPr>
              <w:lastRenderedPageBreak/>
              <w:t>správania (zdaňovanie podnikov).</w:t>
            </w:r>
          </w:p>
        </w:tc>
      </w:tr>
      <w:tr>
        <w:trPr>
          <w:jc w:val="center"/>
        </w:trPr>
        <w:tc>
          <w:tcPr>
            <w:tcW w:w="4876" w:type="dxa"/>
          </w:tcPr>
          <w:p>
            <w:pPr>
              <w:pStyle w:val="Normal6a"/>
            </w:pPr>
            <w:r>
              <w:rPr>
                <w:b/>
                <w:i/>
              </w:rPr>
              <w:lastRenderedPageBreak/>
              <w:t>_________________</w:t>
            </w:r>
          </w:p>
        </w:tc>
        <w:tc>
          <w:tcPr>
            <w:tcW w:w="4876" w:type="dxa"/>
          </w:tcPr>
          <w:p>
            <w:pPr>
              <w:pStyle w:val="Normal6a"/>
            </w:pPr>
            <w:r>
              <w:rPr>
                <w:b/>
                <w:i/>
              </w:rPr>
              <w:t>_________________</w:t>
            </w:r>
          </w:p>
        </w:tc>
      </w:tr>
      <w:tr>
        <w:trPr>
          <w:jc w:val="center"/>
        </w:trPr>
        <w:tc>
          <w:tcPr>
            <w:tcW w:w="4876" w:type="dxa"/>
          </w:tcPr>
          <w:p>
            <w:pPr>
              <w:pStyle w:val="Normal6a"/>
            </w:pPr>
            <w:r>
              <w:rPr>
                <w:rStyle w:val="Sup"/>
              </w:rPr>
              <w:t>15</w:t>
            </w:r>
            <w:r>
              <w:t xml:space="preserve"> Smernica Rady (EÚ) 2016/1164 z 12. júla 2016, ktorou sa stanovujú pravidlá proti praktikám vyhýbania sa daňovým povinnostiam, ktoré majú priamy vplyv na fungovanie vnútorného trhu (Ú. v. EÚ L 193, 19.7.2016, s. 1).</w:t>
            </w:r>
          </w:p>
        </w:tc>
        <w:tc>
          <w:tcPr>
            <w:tcW w:w="4876" w:type="dxa"/>
          </w:tcPr>
          <w:p>
            <w:pPr>
              <w:pStyle w:val="Normal6a"/>
            </w:pPr>
            <w:r>
              <w:rPr>
                <w:rStyle w:val="Sup"/>
              </w:rPr>
              <w:t>15</w:t>
            </w:r>
            <w:r>
              <w:t xml:space="preserve"> Smernica Rady (EÚ) 2016/1164 z 12. júla 2016, ktorou sa stanovujú pravidlá proti praktikám vyhýbania sa daňovým povinnostiam, ktoré majú priamy vplyv na fungovanie vnútorného trhu (Ú. v. EÚ L 193, 19.7.2016, s. 1).</w:t>
            </w:r>
          </w:p>
        </w:tc>
      </w:tr>
    </w:tbl>
    <w:p/>
    <w:p>
      <w:pPr>
        <w:pStyle w:val="AmNumberTabs"/>
        <w:keepNext/>
      </w:pPr>
      <w:r>
        <w:t>Pozmeňujúci návrh</w:t>
      </w:r>
      <w:r>
        <w:tab/>
      </w:r>
      <w:r>
        <w:tab/>
        <w:t>8</w:t>
      </w:r>
    </w:p>
    <w:p>
      <w:pPr>
        <w:pStyle w:val="NormalBold12b"/>
        <w:keepNext/>
      </w:pPr>
      <w:r>
        <w:t>Návrh smernice</w:t>
      </w:r>
    </w:p>
    <w:p>
      <w:pPr>
        <w:pStyle w:val="NormalBold"/>
        <w:keepNext/>
      </w:pPr>
      <w:r>
        <w:t>Odôvodnenie 6 a (nové)</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rPr>
                <w:b/>
                <w:i/>
              </w:rPr>
            </w:pPr>
          </w:p>
        </w:tc>
        <w:tc>
          <w:tcPr>
            <w:tcW w:w="4876" w:type="dxa"/>
          </w:tcPr>
          <w:p>
            <w:pPr>
              <w:pStyle w:val="Normal6a"/>
              <w:rPr>
                <w:i/>
                <w:szCs w:val="24"/>
              </w:rPr>
            </w:pPr>
            <w:r>
              <w:rPr>
                <w:b/>
                <w:i/>
              </w:rPr>
              <w:t>(6a)</w:t>
            </w:r>
            <w:r>
              <w:rPr>
                <w:b/>
                <w:i/>
              </w:rPr>
              <w:tab/>
              <w:t>Prípadné fiškálne náklady vyplývajúce z vykonávania tejto smernice by sa mali posudzovať spolu s prínosmi zabezpečenia pevnejšej základne financovania pre podniky z Únie, ktorá bude v prípadoch finančného stresu mimoriadne dôležitá.</w:t>
            </w:r>
          </w:p>
        </w:tc>
      </w:tr>
    </w:tbl>
    <w:p/>
    <w:p>
      <w:pPr>
        <w:pStyle w:val="AmNumberTabs"/>
        <w:keepNext/>
      </w:pPr>
      <w:r>
        <w:t>Pozmeňujúci návrh</w:t>
      </w:r>
      <w:r>
        <w:tab/>
      </w:r>
      <w:r>
        <w:tab/>
        <w:t>9</w:t>
      </w:r>
    </w:p>
    <w:p>
      <w:pPr>
        <w:pStyle w:val="NormalBold12b"/>
        <w:keepNext/>
      </w:pPr>
      <w:r>
        <w:t>Návrh smernice</w:t>
      </w:r>
    </w:p>
    <w:p>
      <w:pPr>
        <w:pStyle w:val="NormalBold"/>
        <w:keepNext/>
      </w:pPr>
      <w:r>
        <w:t>Odôvodnenie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(7)</w:t>
            </w:r>
            <w:r>
              <w:tab/>
              <w:t xml:space="preserve">V záujme účinného riešenia daňového zvýhodňovania dlhu, ktoré by bolo udržateľné pre verejné financie Únie, by odpočítateľnú položku na kapitálové financovanie malo sprevádzať </w:t>
            </w:r>
            <w:r>
              <w:rPr>
                <w:b/>
                <w:bCs/>
                <w:i/>
                <w:iCs/>
              </w:rPr>
              <w:t>obmedzenie</w:t>
            </w:r>
            <w:r>
              <w:t xml:space="preserve"> </w:t>
            </w:r>
            <w:proofErr w:type="spellStart"/>
            <w:r>
              <w:t>uznateľnosti</w:t>
            </w:r>
            <w:proofErr w:type="spellEnd"/>
            <w:r>
              <w:t xml:space="preserve"> nákladov na </w:t>
            </w:r>
            <w:r>
              <w:rPr>
                <w:b/>
                <w:bCs/>
                <w:i/>
                <w:iCs/>
              </w:rPr>
              <w:t>dlhové financovanie</w:t>
            </w:r>
            <w:r>
              <w:t xml:space="preserve">. </w:t>
            </w:r>
            <w:proofErr w:type="spellStart"/>
            <w:r>
              <w:rPr>
                <w:b/>
                <w:i/>
              </w:rPr>
              <w:t>Uznateľnosť</w:t>
            </w:r>
            <w:proofErr w:type="spellEnd"/>
            <w:r>
              <w:rPr>
                <w:b/>
                <w:i/>
              </w:rPr>
              <w:t xml:space="preserve"> presahujúcich nákladov na prijaté úvery a pôžičky by sa preto mala obmedziť pravidlom o obmedzení zahrnutia úrokov, ktoré by sa malo uplatňovať nezávisle od danej odpočítateľnej položky.</w:t>
            </w:r>
            <w:r>
              <w:t xml:space="preserve"> Keďže ciele takéhoto pravidla a existujúceho pravidla proti vyhýbaniu sa daňovým povinnostiam o obmedzení zahrnutia úrokov podľa článku 4 smernice (EÚ) 2016/1164 sú </w:t>
            </w:r>
            <w:r>
              <w:lastRenderedPageBreak/>
              <w:t>odlišné, mali by sa zachovať obe pravidlá. Daňovníci by mali najprv vypočítať uznateľné presahujúce náklady na prijaté úvery a pôžičky podľa tejto smernice a potom podľa smernice ATAD. Ak je výsledkom druhého výpočtu nižšia suma uznateľných presahujúcich nákladov na prijaté úvery a pôžičky, daňovník by si mal odpočítať túto nižšiu sumu a prípadný rozdiel medzi týmito dvoma sumami preniesť do budúcich období alebo si ho uplatniť v predchádzajúcich obdobiach v súlade s článkom 4 smernice ATAD.</w:t>
            </w:r>
          </w:p>
        </w:tc>
        <w:tc>
          <w:tcPr>
            <w:tcW w:w="4876" w:type="dxa"/>
          </w:tcPr>
          <w:p>
            <w:pPr>
              <w:pStyle w:val="Normal6a"/>
              <w:rPr>
                <w:szCs w:val="24"/>
              </w:rPr>
            </w:pPr>
            <w:r>
              <w:lastRenderedPageBreak/>
              <w:t>(7)</w:t>
            </w:r>
            <w:r>
              <w:tab/>
              <w:t xml:space="preserve">V záujme účinného riešenia daňového zvýhodňovania dlhu, ktoré by bolo udržateľné pre verejné financie Únie, by odpočítateľnú položku na kapitálové financovanie malo sprevádzať </w:t>
            </w:r>
            <w:r>
              <w:rPr>
                <w:b/>
                <w:bCs/>
                <w:i/>
                <w:iCs/>
              </w:rPr>
              <w:t>pravidlo na obmedzenie</w:t>
            </w:r>
            <w:r>
              <w:t xml:space="preserve"> </w:t>
            </w:r>
            <w:proofErr w:type="spellStart"/>
            <w:r>
              <w:t>uznateľnosti</w:t>
            </w:r>
            <w:proofErr w:type="spellEnd"/>
            <w:r>
              <w:t xml:space="preserve"> nákladov </w:t>
            </w:r>
            <w:r>
              <w:rPr>
                <w:b/>
                <w:bCs/>
                <w:i/>
                <w:iCs/>
              </w:rPr>
              <w:t>presahujúcich</w:t>
            </w:r>
            <w:r>
              <w:rPr>
                <w:b/>
                <w:bCs/>
              </w:rPr>
              <w:t xml:space="preserve"> </w:t>
            </w:r>
            <w:r>
              <w:t xml:space="preserve">náklady </w:t>
            </w:r>
            <w:r>
              <w:rPr>
                <w:b/>
                <w:bCs/>
                <w:i/>
                <w:iCs/>
              </w:rPr>
              <w:t>na dlhové financovanie pre skupiny, ktoré nie sú skupinami strednej veľkosti, a podniky, ktoré nie sú MSP</w:t>
            </w:r>
            <w:r>
              <w:t xml:space="preserve">. </w:t>
            </w:r>
            <w:r>
              <w:rPr>
                <w:b/>
                <w:bCs/>
                <w:i/>
                <w:iCs/>
              </w:rPr>
              <w:t>Vzhľadom na nepriaznivé hospodárske pomery vyplývajúce z krízy COVID-19 a útočnej vojny Ruska proti Ukrajine by sa však uvedené obmedzujúce pravidlo malo zaviesť až od roku 2027.</w:t>
            </w:r>
            <w:r>
              <w:t xml:space="preserve"> Keďže ciele takéhoto pravidla a existujúceho pravidla </w:t>
            </w:r>
            <w:r>
              <w:lastRenderedPageBreak/>
              <w:t>proti vyhýbaniu sa daňovým povinnostiam o obmedzení zahrnutia úrokov podľa článku 4 smernice (EÚ) 2016/1164 sú odlišné, mali by sa zachovať obe pravidlá. Daňovníci by mali najprv vypočítať uznateľné presahujúce náklady na prijaté úvery a pôžičky podľa tejto smernice a potom podľa smernice ATAD. Ak je výsledkom druhého výpočtu nižšia suma uznateľných presahujúcich nákladov na prijaté úvery a pôžičky, daňovník by si mal odpočítať túto nižšiu sumu a prípadný rozdiel medzi týmito dvoma sumami preniesť do budúcich období alebo si ho uplatniť v predchádzajúcich obdobiach v súlade s článkom 4 smernice ATAD.</w:t>
            </w:r>
          </w:p>
        </w:tc>
      </w:tr>
    </w:tbl>
    <w:p/>
    <w:p>
      <w:pPr>
        <w:pStyle w:val="AmNumberTabs"/>
        <w:keepNext/>
      </w:pPr>
      <w:r>
        <w:t>Pozmeňujúci návrh</w:t>
      </w:r>
      <w:r>
        <w:tab/>
      </w:r>
      <w:r>
        <w:tab/>
        <w:t>10</w:t>
      </w:r>
    </w:p>
    <w:p>
      <w:pPr>
        <w:pStyle w:val="NormalBold12b"/>
        <w:keepNext/>
      </w:pPr>
      <w:r>
        <w:t>Návrh smernice</w:t>
      </w:r>
    </w:p>
    <w:p>
      <w:pPr>
        <w:pStyle w:val="NormalBold"/>
        <w:keepNext/>
      </w:pPr>
      <w:r>
        <w:t>Odôvodnenie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(9)</w:t>
            </w:r>
            <w:r>
              <w:tab/>
              <w:t>S cieľom vyhodnotiť účinnosť tejto smernice by Komisia mala na základe informácií poskytnutých členskými štátmi a ďalších dostupných údajov vypracovať a uverejniť hodnotiacu správu.</w:t>
            </w:r>
          </w:p>
        </w:tc>
        <w:tc>
          <w:tcPr>
            <w:tcW w:w="4876" w:type="dxa"/>
          </w:tcPr>
          <w:p>
            <w:pPr>
              <w:pStyle w:val="Normal6a"/>
              <w:rPr>
                <w:szCs w:val="24"/>
              </w:rPr>
            </w:pPr>
            <w:r>
              <w:t>(9)</w:t>
            </w:r>
            <w:r>
              <w:tab/>
              <w:t>S cieľom vyhodnotiť účinnosť tejto smernice</w:t>
            </w:r>
            <w:r>
              <w:rPr>
                <w:b/>
                <w:bCs/>
                <w:i/>
                <w:iCs/>
              </w:rPr>
              <w:t>, ako aj jej vplyvu na MSP a daňové príjmy členských štátov,</w:t>
            </w:r>
            <w:r>
              <w:t xml:space="preserve"> by Komisia mala na základe informácií poskytnutých členskými štátmi a ďalších dostupných údajov vypracovať a uverejniť hodnotiacu správu. </w:t>
            </w:r>
            <w:r>
              <w:rPr>
                <w:b/>
                <w:i/>
              </w:rPr>
              <w:t>V tejto správe by sa osobitná pozornosť mala venovať MSP a posúdiť najmä to, či sa osobitné podmienky pre MSP javia ako dostatočné na zvýšenie atraktívnosti ich kapitálového financovania. V prípade negatívneho posúdenia v uvedenej správe by Komisia mala bezodkladne predložiť Európskemu parlamentu a Rade legislatívny návrh na riešenie tejto otázky. Správa Komisie by sa mala zverejniť.</w:t>
            </w:r>
          </w:p>
        </w:tc>
      </w:tr>
    </w:tbl>
    <w:p/>
    <w:p>
      <w:pPr>
        <w:pStyle w:val="AmNumberTabs"/>
      </w:pPr>
      <w:r>
        <w:t>Pozmeňujúci návrh</w:t>
      </w:r>
      <w:r>
        <w:tab/>
      </w:r>
      <w:r>
        <w:tab/>
        <w:t>11</w:t>
      </w:r>
    </w:p>
    <w:p>
      <w:pPr>
        <w:pStyle w:val="NormalBold12b"/>
      </w:pPr>
      <w:r>
        <w:t>Návrh smernice</w:t>
      </w:r>
    </w:p>
    <w:p>
      <w:pPr>
        <w:pStyle w:val="NormalBold"/>
      </w:pPr>
      <w:r>
        <w:t>Článok 3 – odsek 1 – bod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trPr>
          <w:trHeight w:hRule="exact" w:val="240"/>
          <w:jc w:val="center"/>
        </w:trPr>
        <w:tc>
          <w:tcPr>
            <w:tcW w:w="9752" w:type="dxa"/>
            <w:gridSpan w:val="2"/>
          </w:tcPr>
          <w:p/>
        </w:tc>
      </w:tr>
      <w:tr>
        <w:trPr>
          <w:trHeight w:val="240"/>
          <w:jc w:val="center"/>
        </w:trPr>
        <w:tc>
          <w:tcPr>
            <w:tcW w:w="4876" w:type="dxa"/>
          </w:tcPr>
          <w:p>
            <w:pPr>
              <w:pStyle w:val="AmColumnHeading"/>
            </w:pPr>
            <w:r>
              <w:lastRenderedPageBreak/>
              <w:t>Text predložený Komisiou</w:t>
            </w:r>
          </w:p>
        </w:tc>
        <w:tc>
          <w:tcPr>
            <w:tcW w:w="4876" w:type="dxa"/>
          </w:tcPr>
          <w:p>
            <w:pPr>
              <w:pStyle w:val="AmColumnHeading"/>
            </w:pPr>
            <w:r>
              <w:t>Pozmeňujúci návrh</w:t>
            </w:r>
          </w:p>
        </w:tc>
      </w:tr>
      <w:tr>
        <w:trPr>
          <w:jc w:val="center"/>
        </w:trPr>
        <w:tc>
          <w:tcPr>
            <w:tcW w:w="4876" w:type="dxa"/>
          </w:tcPr>
          <w:p>
            <w:pPr>
              <w:pStyle w:val="Normal6a"/>
            </w:pPr>
          </w:p>
        </w:tc>
        <w:tc>
          <w:tcPr>
            <w:tcW w:w="4876" w:type="dxa"/>
          </w:tcPr>
          <w:p>
            <w:pPr>
              <w:pStyle w:val="Normal6a"/>
            </w:pPr>
            <w:r>
              <w:rPr>
                <w:b/>
                <w:i/>
              </w:rPr>
              <w:t>(5a)</w:t>
            </w:r>
            <w:r>
              <w:tab/>
            </w:r>
            <w:r>
              <w:rPr>
                <w:b/>
                <w:i/>
              </w:rPr>
              <w:t>„veľký podnik“ je veľký podnik v zmysle článku 3 ods. 4 smernice 2013/34/EÚ;</w:t>
            </w:r>
          </w:p>
        </w:tc>
      </w:tr>
    </w:tbl>
    <w:p/>
    <w:p>
      <w:pPr>
        <w:pStyle w:val="AmNumberTabs"/>
      </w:pPr>
      <w:r>
        <w:t>Pozmeňujúci návrh</w:t>
      </w:r>
      <w:r>
        <w:tab/>
      </w:r>
      <w:r>
        <w:tab/>
        <w:t>12</w:t>
      </w:r>
    </w:p>
    <w:p>
      <w:pPr>
        <w:pStyle w:val="NormalBold12b"/>
      </w:pPr>
      <w:r>
        <w:t>Návrh smernice</w:t>
      </w:r>
    </w:p>
    <w:p>
      <w:pPr>
        <w:pStyle w:val="NormalBold"/>
      </w:pPr>
      <w:r>
        <w:t>Článok 3 – odsek 1 – bod 5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trPr>
          <w:trHeight w:hRule="exact" w:val="240"/>
          <w:jc w:val="center"/>
        </w:trPr>
        <w:tc>
          <w:tcPr>
            <w:tcW w:w="9752" w:type="dxa"/>
            <w:gridSpan w:val="2"/>
          </w:tcPr>
          <w:p/>
        </w:tc>
      </w:tr>
      <w:tr>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rPr>
          <w:jc w:val="center"/>
        </w:trPr>
        <w:tc>
          <w:tcPr>
            <w:tcW w:w="4876" w:type="dxa"/>
          </w:tcPr>
          <w:p>
            <w:pPr>
              <w:pStyle w:val="Normal6a"/>
            </w:pPr>
          </w:p>
        </w:tc>
        <w:tc>
          <w:tcPr>
            <w:tcW w:w="4876" w:type="dxa"/>
          </w:tcPr>
          <w:p>
            <w:pPr>
              <w:pStyle w:val="Normal6a"/>
            </w:pPr>
            <w:r>
              <w:rPr>
                <w:b/>
                <w:i/>
              </w:rPr>
              <w:t>(5b)</w:t>
            </w:r>
            <w:r>
              <w:tab/>
            </w:r>
            <w:r>
              <w:rPr>
                <w:b/>
                <w:i/>
              </w:rPr>
              <w:t>„skupina strednej veľkosti“ je skupina strednej veľkosti v zmysle článku 3 ods. 6 smernice 2013/34/EÚ;</w:t>
            </w:r>
          </w:p>
        </w:tc>
      </w:tr>
    </w:tbl>
    <w:p/>
    <w:p>
      <w:pPr>
        <w:pStyle w:val="AmNumberTabs"/>
      </w:pPr>
      <w:r>
        <w:t>Pozmeňujúci návrh</w:t>
      </w:r>
      <w:r>
        <w:tab/>
      </w:r>
      <w:r>
        <w:tab/>
        <w:t>13</w:t>
      </w:r>
    </w:p>
    <w:p>
      <w:pPr>
        <w:pStyle w:val="NormalBold12b"/>
      </w:pPr>
      <w:r>
        <w:t>Návrh smernice</w:t>
      </w:r>
    </w:p>
    <w:p>
      <w:pPr>
        <w:pStyle w:val="NormalBold"/>
      </w:pPr>
      <w:r>
        <w:t>Článok 3 – odsek 1 – bod 5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trPr>
          <w:trHeight w:hRule="exact" w:val="240"/>
          <w:jc w:val="center"/>
        </w:trPr>
        <w:tc>
          <w:tcPr>
            <w:tcW w:w="9752" w:type="dxa"/>
            <w:gridSpan w:val="2"/>
          </w:tcPr>
          <w:p/>
        </w:tc>
      </w:tr>
      <w:tr>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rPr>
          <w:jc w:val="center"/>
        </w:trPr>
        <w:tc>
          <w:tcPr>
            <w:tcW w:w="4876" w:type="dxa"/>
          </w:tcPr>
          <w:p>
            <w:pPr>
              <w:pStyle w:val="Normal6a"/>
            </w:pPr>
          </w:p>
        </w:tc>
        <w:tc>
          <w:tcPr>
            <w:tcW w:w="4876" w:type="dxa"/>
          </w:tcPr>
          <w:p>
            <w:pPr>
              <w:pStyle w:val="Normal6a"/>
            </w:pPr>
            <w:r>
              <w:rPr>
                <w:b/>
                <w:i/>
              </w:rPr>
              <w:t>(5c)</w:t>
            </w:r>
            <w:r>
              <w:tab/>
            </w:r>
            <w:r>
              <w:rPr>
                <w:b/>
                <w:i/>
              </w:rPr>
              <w:t>„veľká skupina“ je veľká skupina v zmysle článku 3 ods. 7 smernice 2013/34/EÚ;</w:t>
            </w:r>
          </w:p>
        </w:tc>
      </w:tr>
    </w:tbl>
    <w:p/>
    <w:p>
      <w:pPr>
        <w:pStyle w:val="AmNumberTabs"/>
        <w:keepNext/>
      </w:pPr>
      <w:r>
        <w:t>Pozmeňujúci návrh</w:t>
      </w:r>
      <w:r>
        <w:tab/>
      </w:r>
      <w:r>
        <w:tab/>
        <w:t>14</w:t>
      </w:r>
    </w:p>
    <w:p>
      <w:pPr>
        <w:pStyle w:val="NormalBold12b"/>
        <w:keepNext/>
      </w:pPr>
      <w:r>
        <w:t>Návrh smernice</w:t>
      </w:r>
    </w:p>
    <w:p>
      <w:pPr>
        <w:pStyle w:val="NormalBold"/>
        <w:keepNext/>
      </w:pPr>
      <w:r>
        <w:t xml:space="preserve">Článok 4 – odsek 1 – </w:t>
      </w:r>
      <w:proofErr w:type="spellStart"/>
      <w:r>
        <w:t>pododsek</w:t>
      </w:r>
      <w:proofErr w:type="spellEnd"/>
      <w:r>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 xml:space="preserve">Odpočítateľná položka na vlastné imanie zo základu dane </w:t>
            </w:r>
            <w:r>
              <w:rPr>
                <w:b/>
                <w:bCs/>
                <w:i/>
                <w:iCs/>
              </w:rPr>
              <w:t>daňovníka</w:t>
            </w:r>
            <w:r>
              <w:t xml:space="preserve"> na účely dane z príjmov právnických osôb je uplatniteľná počas desiatich po sebe nasledujúcich zdaňovacích období až do výšky 30 % príjmov daňovníka pred započítaním úrokov, daní, odpisov a amortizácie (ďalej aj „EBITDA“).</w:t>
            </w:r>
          </w:p>
        </w:tc>
        <w:tc>
          <w:tcPr>
            <w:tcW w:w="4876" w:type="dxa"/>
          </w:tcPr>
          <w:p>
            <w:pPr>
              <w:pStyle w:val="Normal6a"/>
              <w:rPr>
                <w:szCs w:val="24"/>
              </w:rPr>
            </w:pPr>
            <w:r>
              <w:t>Odpočítateľná položka na vlastné imanie je uplatniteľná počas:</w:t>
            </w:r>
          </w:p>
        </w:tc>
      </w:tr>
      <w:tr>
        <w:trPr>
          <w:jc w:val="center"/>
        </w:trPr>
        <w:tc>
          <w:tcPr>
            <w:tcW w:w="4876" w:type="dxa"/>
          </w:tcPr>
          <w:p>
            <w:pPr>
              <w:pStyle w:val="Normal6a"/>
            </w:pPr>
          </w:p>
        </w:tc>
        <w:tc>
          <w:tcPr>
            <w:tcW w:w="4876" w:type="dxa"/>
          </w:tcPr>
          <w:p>
            <w:pPr>
              <w:pStyle w:val="Normal6a"/>
            </w:pPr>
            <w:r>
              <w:t>–</w:t>
            </w:r>
            <w:r>
              <w:tab/>
              <w:t xml:space="preserve">desiatich po sebe nasledujúcich zdaňovacích období zo základu dane </w:t>
            </w:r>
            <w:r>
              <w:rPr>
                <w:b/>
                <w:bCs/>
                <w:i/>
                <w:iCs/>
              </w:rPr>
              <w:t>MSP alebo skupiny strednej veľkosti</w:t>
            </w:r>
            <w:r>
              <w:t xml:space="preserve"> na účely dane z príjmov právnických osôb až do </w:t>
            </w:r>
            <w:r>
              <w:lastRenderedPageBreak/>
              <w:t>výšky 30 % príjmov daňovníka pred započítaním úrokov, daní, odpisov a amortizácie (ďalej aj „EBITDA“).</w:t>
            </w:r>
          </w:p>
        </w:tc>
      </w:tr>
      <w:tr>
        <w:trPr>
          <w:jc w:val="center"/>
        </w:trPr>
        <w:tc>
          <w:tcPr>
            <w:tcW w:w="4876" w:type="dxa"/>
          </w:tcPr>
          <w:p>
            <w:pPr>
              <w:pStyle w:val="Normal6a"/>
            </w:pPr>
          </w:p>
        </w:tc>
        <w:tc>
          <w:tcPr>
            <w:tcW w:w="4876" w:type="dxa"/>
          </w:tcPr>
          <w:p>
            <w:pPr>
              <w:pStyle w:val="Normal6a"/>
              <w:rPr>
                <w:b/>
                <w:i/>
              </w:rPr>
            </w:pPr>
            <w:r>
              <w:rPr>
                <w:b/>
                <w:i/>
              </w:rPr>
              <w:t>–</w:t>
            </w:r>
            <w:r>
              <w:rPr>
                <w:b/>
                <w:i/>
              </w:rPr>
              <w:tab/>
              <w:t>siedmich po sebe nasledujúcich zdaňovacích období zo základu dane veľkého podniku alebo veľkej skupiny na účely dane z príjmov právnických osôb až do výšky 30 % príjmov daňovníka EBITDA.</w:t>
            </w:r>
          </w:p>
        </w:tc>
      </w:tr>
    </w:tbl>
    <w:p/>
    <w:p>
      <w:pPr>
        <w:pStyle w:val="AmNumberTabs"/>
        <w:keepNext/>
      </w:pPr>
      <w:r>
        <w:t>Pozmeňujúci návrh</w:t>
      </w:r>
      <w:r>
        <w:tab/>
      </w:r>
      <w:r>
        <w:tab/>
        <w:t>15</w:t>
      </w:r>
    </w:p>
    <w:p>
      <w:pPr>
        <w:pStyle w:val="NormalBold12b"/>
        <w:keepNext/>
      </w:pPr>
      <w:r>
        <w:t>Návrh smernice</w:t>
      </w:r>
    </w:p>
    <w:p>
      <w:pPr>
        <w:pStyle w:val="NormalBold"/>
        <w:keepNext/>
      </w:pPr>
      <w:r>
        <w:t xml:space="preserve">Článok 4 – odsek 1 – </w:t>
      </w:r>
      <w:proofErr w:type="spellStart"/>
      <w:r>
        <w:t>pododsek</w:t>
      </w:r>
      <w:proofErr w:type="spellEnd"/>
      <w:r>
        <w:t xml:space="preserve">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p>
        </w:tc>
        <w:tc>
          <w:tcPr>
            <w:tcW w:w="4876" w:type="dxa"/>
          </w:tcPr>
          <w:p>
            <w:pPr>
              <w:pStyle w:val="Normal6a"/>
              <w:rPr>
                <w:szCs w:val="24"/>
              </w:rPr>
            </w:pPr>
            <w:r>
              <w:rPr>
                <w:b/>
                <w:bCs/>
                <w:i/>
                <w:iCs/>
              </w:rPr>
              <w:t>Členské štáty zabezpečia, aby daňovníci boli schopní počas najviac troch zdaňovacích období preniesť tú časť odpočítateľnej položky na vlastné imanie, ktorá v určitom zdaňovacom období presahuje percentuálny podiel EBITDA, do budúcich období stanovených v prvom odseku.</w:t>
            </w:r>
          </w:p>
        </w:tc>
      </w:tr>
    </w:tbl>
    <w:p/>
    <w:p>
      <w:pPr>
        <w:pStyle w:val="AmNumberTabs"/>
        <w:keepNext/>
      </w:pPr>
      <w:r>
        <w:t>Pozmeňujúci návrh</w:t>
      </w:r>
      <w:r>
        <w:tab/>
      </w:r>
      <w:r>
        <w:tab/>
        <w:t>16</w:t>
      </w:r>
    </w:p>
    <w:p>
      <w:pPr>
        <w:pStyle w:val="NormalBold12b"/>
        <w:keepNext/>
      </w:pPr>
      <w:r>
        <w:t>Návrh smernice</w:t>
      </w:r>
    </w:p>
    <w:p>
      <w:pPr>
        <w:pStyle w:val="NormalBold"/>
        <w:keepNext/>
      </w:pPr>
      <w:r>
        <w:t xml:space="preserve">Článok 4 – odsek 1 – </w:t>
      </w:r>
      <w:proofErr w:type="spellStart"/>
      <w:r>
        <w:t>pododsek</w:t>
      </w:r>
      <w:proofErr w:type="spellEnd"/>
      <w:r>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 xml:space="preserve">Ak je uznateľná odpočítateľná položka na vlastné imanie v súlade s prvým </w:t>
            </w:r>
            <w:proofErr w:type="spellStart"/>
            <w:r>
              <w:t>pododsekom</w:t>
            </w:r>
            <w:proofErr w:type="spellEnd"/>
            <w:r>
              <w:t xml:space="preserve"> vyššia ako čistý zdaniteľný príjem daňovníka v zdaňovacom období, členské štáty zabezpečia, aby daňovník mohol prevyšujúcu časť odpočítateľnej položky na vlastné imanie preniesť </w:t>
            </w:r>
            <w:r>
              <w:rPr>
                <w:b/>
                <w:bCs/>
                <w:i/>
                <w:iCs/>
              </w:rPr>
              <w:t>bez časového obmedzenia do budúcich období</w:t>
            </w:r>
            <w:r>
              <w:t>.</w:t>
            </w:r>
          </w:p>
        </w:tc>
        <w:tc>
          <w:tcPr>
            <w:tcW w:w="4876" w:type="dxa"/>
          </w:tcPr>
          <w:p>
            <w:pPr>
              <w:pStyle w:val="Normal6a"/>
              <w:rPr>
                <w:szCs w:val="24"/>
              </w:rPr>
            </w:pPr>
            <w:r>
              <w:t xml:space="preserve">Ak je uznateľná odpočítateľná položka na vlastné imanie v súlade s prvým </w:t>
            </w:r>
            <w:proofErr w:type="spellStart"/>
            <w:r>
              <w:t>pododsekom</w:t>
            </w:r>
            <w:proofErr w:type="spellEnd"/>
            <w:r>
              <w:t xml:space="preserve"> vyššia ako čistý zdaniteľný príjem daňovníka v zdaňovacom období, členské štáty zabezpečia, aby daňovník mohol prevyšujúcu časť odpočítateľnej položky na vlastné imanie preniesť </w:t>
            </w:r>
            <w:r>
              <w:rPr>
                <w:b/>
                <w:bCs/>
                <w:i/>
                <w:iCs/>
              </w:rPr>
              <w:t>takto:</w:t>
            </w:r>
          </w:p>
        </w:tc>
      </w:tr>
      <w:tr>
        <w:trPr>
          <w:jc w:val="center"/>
        </w:trPr>
        <w:tc>
          <w:tcPr>
            <w:tcW w:w="4876" w:type="dxa"/>
          </w:tcPr>
          <w:p>
            <w:pPr>
              <w:pStyle w:val="Normal6a"/>
            </w:pPr>
          </w:p>
        </w:tc>
        <w:tc>
          <w:tcPr>
            <w:tcW w:w="4876" w:type="dxa"/>
          </w:tcPr>
          <w:p>
            <w:pPr>
              <w:pStyle w:val="Normal6a"/>
              <w:rPr>
                <w:szCs w:val="24"/>
              </w:rPr>
            </w:pPr>
            <w:r>
              <w:rPr>
                <w:b/>
                <w:i/>
              </w:rPr>
              <w:t>-</w:t>
            </w:r>
            <w:r>
              <w:rPr>
                <w:b/>
                <w:i/>
              </w:rPr>
              <w:tab/>
              <w:t>najviac na tri zdaňovacie obdobia, ak je daňovník veľkým podnikom alebo veľkou skupinou;</w:t>
            </w:r>
          </w:p>
        </w:tc>
      </w:tr>
      <w:tr>
        <w:trPr>
          <w:jc w:val="center"/>
        </w:trPr>
        <w:tc>
          <w:tcPr>
            <w:tcW w:w="4876" w:type="dxa"/>
          </w:tcPr>
          <w:p>
            <w:pPr>
              <w:pStyle w:val="Normal6a"/>
            </w:pPr>
          </w:p>
        </w:tc>
        <w:tc>
          <w:tcPr>
            <w:tcW w:w="4876" w:type="dxa"/>
          </w:tcPr>
          <w:p>
            <w:pPr>
              <w:pStyle w:val="Normal6a"/>
              <w:rPr>
                <w:szCs w:val="24"/>
              </w:rPr>
            </w:pPr>
            <w:r>
              <w:rPr>
                <w:b/>
                <w:i/>
              </w:rPr>
              <w:t>-</w:t>
            </w:r>
            <w:r>
              <w:rPr>
                <w:b/>
                <w:i/>
              </w:rPr>
              <w:tab/>
              <w:t xml:space="preserve">bez časového obmedzenia, ak je daňovník MSP alebo skupinou strednej </w:t>
            </w:r>
            <w:r>
              <w:rPr>
                <w:b/>
                <w:i/>
              </w:rPr>
              <w:lastRenderedPageBreak/>
              <w:t>veľkosti.</w:t>
            </w:r>
          </w:p>
        </w:tc>
      </w:tr>
    </w:tbl>
    <w:p/>
    <w:p>
      <w:pPr>
        <w:pStyle w:val="AmNumberTabs"/>
        <w:keepNext/>
      </w:pPr>
      <w:r>
        <w:t>Pozmeňujúci návrh</w:t>
      </w:r>
      <w:r>
        <w:tab/>
      </w:r>
      <w:r>
        <w:tab/>
        <w:t>17</w:t>
      </w:r>
    </w:p>
    <w:p>
      <w:pPr>
        <w:pStyle w:val="NormalBold12b"/>
        <w:keepNext/>
      </w:pPr>
      <w:r>
        <w:t>Návrh smernice</w:t>
      </w:r>
    </w:p>
    <w:p>
      <w:pPr>
        <w:pStyle w:val="NormalBold"/>
        <w:keepNext/>
      </w:pPr>
      <w:r>
        <w:t xml:space="preserve">Článok 4 – odsek 1 – </w:t>
      </w:r>
      <w:proofErr w:type="spellStart"/>
      <w:r>
        <w:t>pododsek</w:t>
      </w:r>
      <w:proofErr w:type="spellEnd"/>
      <w:r>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rPr>
                <w:b/>
                <w:i/>
              </w:rPr>
            </w:pPr>
            <w:r>
              <w:rPr>
                <w:b/>
                <w:i/>
              </w:rPr>
              <w:t>Členské štáty zabezpečia, aby daňovníci mohli počas najviac piatich zdaňovacích období preniesť tú časť odpočítateľnej položky na vlastné imanie, ktorá v určitom zdaňovacom období presahuje 30 % EBITDA, do budúcich období.</w:t>
            </w:r>
          </w:p>
        </w:tc>
        <w:tc>
          <w:tcPr>
            <w:tcW w:w="4876" w:type="dxa"/>
          </w:tcPr>
          <w:p>
            <w:pPr>
              <w:pStyle w:val="Normal6a"/>
              <w:rPr>
                <w:b/>
                <w:i/>
                <w:szCs w:val="24"/>
              </w:rPr>
            </w:pPr>
            <w:r>
              <w:rPr>
                <w:b/>
                <w:i/>
              </w:rPr>
              <w:t xml:space="preserve">vypúšťa sa </w:t>
            </w:r>
          </w:p>
        </w:tc>
      </w:tr>
    </w:tbl>
    <w:p/>
    <w:p>
      <w:pPr>
        <w:pStyle w:val="AmNumberTabs"/>
      </w:pPr>
      <w:r>
        <w:t>Pozmeňujúci návrh</w:t>
      </w:r>
      <w:r>
        <w:tab/>
      </w:r>
      <w:r>
        <w:tab/>
        <w:t>18</w:t>
      </w:r>
    </w:p>
    <w:p>
      <w:pPr>
        <w:pStyle w:val="NormalBold12b"/>
      </w:pPr>
      <w:r>
        <w:t>Návrh smernice</w:t>
      </w:r>
    </w:p>
    <w:p>
      <w:pPr>
        <w:pStyle w:val="NormalBold"/>
      </w:pPr>
      <w:r>
        <w:t xml:space="preserve">Článok 4 – odsek 2 – </w:t>
      </w:r>
      <w:proofErr w:type="spellStart"/>
      <w:r>
        <w:t>pododsek</w:t>
      </w:r>
      <w:proofErr w:type="spellEnd"/>
      <w:r>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trPr>
          <w:trHeight w:hRule="exact" w:val="240"/>
          <w:jc w:val="center"/>
        </w:trPr>
        <w:tc>
          <w:tcPr>
            <w:tcW w:w="9752" w:type="dxa"/>
            <w:gridSpan w:val="2"/>
          </w:tcPr>
          <w:p/>
        </w:tc>
      </w:tr>
      <w:tr>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rPr>
          <w:jc w:val="center"/>
        </w:trPr>
        <w:tc>
          <w:tcPr>
            <w:tcW w:w="4876" w:type="dxa"/>
          </w:tcPr>
          <w:p>
            <w:pPr>
              <w:pStyle w:val="Normal6a"/>
            </w:pPr>
            <w:r>
              <w:t>S výhradou článku 5 sa základ odpočítateľnej položky na vlastné imanie vypočítava ako rozdiel medzi úrovňou čistého vlastného imania na konci zdaňovacieho obdobia a úrovňou čistého vlastného imania na konci predchádzajúceho zdaňovacieho obdobia.</w:t>
            </w:r>
          </w:p>
        </w:tc>
        <w:tc>
          <w:tcPr>
            <w:tcW w:w="4876" w:type="dxa"/>
          </w:tcPr>
          <w:p>
            <w:pPr>
              <w:pStyle w:val="Normal6a"/>
            </w:pPr>
            <w:r>
              <w:t>S výhradou článku 5 sa základ odpočítateľnej položky na vlastné imanie vypočíta ako rozdiel medzi úrovňou čistého vlastného imania na konci zdaňovacieho obdobia a úrovňou čistého vlastného imania na konci predchádzajúceho zdaňovacieho obdobia</w:t>
            </w:r>
            <w:r>
              <w:rPr>
                <w:b/>
                <w:bCs/>
                <w:i/>
                <w:iCs/>
              </w:rPr>
              <w:t>, inými slovami medziročným zvýšením vlastných zdrojov</w:t>
            </w:r>
            <w:r>
              <w:t>.</w:t>
            </w:r>
          </w:p>
        </w:tc>
      </w:tr>
    </w:tbl>
    <w:p/>
    <w:p>
      <w:pPr>
        <w:pStyle w:val="AmNumberTabs"/>
        <w:keepNext/>
      </w:pPr>
      <w:r>
        <w:t>Pozmeňujúci návrh</w:t>
      </w:r>
      <w:r>
        <w:tab/>
      </w:r>
      <w:r>
        <w:tab/>
        <w:t>19</w:t>
      </w:r>
    </w:p>
    <w:p>
      <w:pPr>
        <w:pStyle w:val="NormalBold12b"/>
        <w:keepNext/>
      </w:pPr>
      <w:r>
        <w:t>Návrh smernice</w:t>
      </w:r>
    </w:p>
    <w:p>
      <w:pPr>
        <w:pStyle w:val="NormalBold"/>
        <w:keepNext/>
      </w:pPr>
      <w:r>
        <w:t xml:space="preserve">Článok 4 – odsek 2 – </w:t>
      </w:r>
      <w:proofErr w:type="spellStart"/>
      <w:r>
        <w:t>pododsek</w:t>
      </w:r>
      <w:proofErr w:type="spellEnd"/>
      <w:r>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 xml:space="preserve">Odpočítateľná položka na vlastné imanie sa rovná základu odpočítateľnej položky vynásobenému 10-ročnou bezrizikovou úrokovou mierou pre príslušnú menu </w:t>
            </w:r>
            <w:r>
              <w:rPr>
                <w:b/>
                <w:bCs/>
                <w:i/>
                <w:iCs/>
              </w:rPr>
              <w:t>a </w:t>
            </w:r>
            <w:r>
              <w:t>zvýšenou o rizikovú prirážku vo výške 1 %</w:t>
            </w:r>
            <w:r>
              <w:rPr>
                <w:b/>
                <w:bCs/>
                <w:i/>
                <w:iCs/>
              </w:rPr>
              <w:t xml:space="preserve"> alebo, ak je daňovníkom MSP, o rizikovú prirážku vo výške 1,5 %</w:t>
            </w:r>
            <w:r>
              <w:t>.</w:t>
            </w:r>
          </w:p>
        </w:tc>
        <w:tc>
          <w:tcPr>
            <w:tcW w:w="4876" w:type="dxa"/>
          </w:tcPr>
          <w:p>
            <w:pPr>
              <w:pStyle w:val="Normal6a"/>
              <w:rPr>
                <w:szCs w:val="24"/>
              </w:rPr>
            </w:pPr>
            <w:r>
              <w:t>Odpočítateľná položka na vlastné imanie sa rovná základu odpočítateľnej položky vynásobenému 10-ročnou bezrizikovou úrokovou sadzbou pre príslušnú menu</w:t>
            </w:r>
            <w:r>
              <w:rPr>
                <w:b/>
                <w:i/>
              </w:rPr>
              <w:t>,</w:t>
            </w:r>
            <w:r>
              <w:t xml:space="preserve"> zvýšenou o rizikovú prirážku vo výške 1 % </w:t>
            </w:r>
            <w:r>
              <w:rPr>
                <w:b/>
                <w:bCs/>
                <w:i/>
                <w:iCs/>
              </w:rPr>
              <w:t>pre MSP</w:t>
            </w:r>
            <w:r>
              <w:t xml:space="preserve">. </w:t>
            </w:r>
          </w:p>
        </w:tc>
      </w:tr>
    </w:tbl>
    <w:p/>
    <w:p>
      <w:pPr>
        <w:pStyle w:val="AmNumberTabs"/>
        <w:keepNext/>
      </w:pPr>
      <w:r>
        <w:t>Pozmeňujúci návrh</w:t>
      </w:r>
      <w:r>
        <w:tab/>
      </w:r>
      <w:r>
        <w:tab/>
        <w:t>20</w:t>
      </w:r>
    </w:p>
    <w:p>
      <w:pPr>
        <w:pStyle w:val="NormalBold12b"/>
        <w:keepNext/>
      </w:pPr>
      <w:r>
        <w:t>Návrh smernice</w:t>
      </w:r>
    </w:p>
    <w:p>
      <w:pPr>
        <w:pStyle w:val="NormalBold"/>
        <w:keepNext/>
      </w:pPr>
      <w:r>
        <w:t>Článok 4 – odsek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3.</w:t>
            </w:r>
            <w:r>
              <w:tab/>
              <w:t>Ak je po získaní odpočítateľnej položky na vlastné imanie základ tejto odpočítateľnej položky v zdaňovacom období záporný, suma rovnajúca sa zápornej odpočítateľnej položke na vlastné imanie bude zdaniteľná počas desiatich po sebe nasledujúcich zdaňovacích období až do úhrnného zvýšenia čistého vlastného imania, na ktoré sa táto odpočítateľná položka získala podľa tejto smernice, pokiaľ daňovník neposkytne dostatočné dôkazy o tom, že ide o dôsledok účtovných strát vzniknutých počas zdaňovacieho obdobia alebo dôsledok právnej povinnosti znížiť kapitál.</w:t>
            </w:r>
          </w:p>
        </w:tc>
        <w:tc>
          <w:tcPr>
            <w:tcW w:w="4876" w:type="dxa"/>
          </w:tcPr>
          <w:p>
            <w:pPr>
              <w:pStyle w:val="Normal6a"/>
              <w:rPr>
                <w:szCs w:val="24"/>
              </w:rPr>
            </w:pPr>
            <w:r>
              <w:t>3.</w:t>
            </w:r>
            <w:r>
              <w:tab/>
              <w:t xml:space="preserve">Ak je po získaní odpočítateľnej položky na vlastné imanie základ tejto odpočítateľnej položky v zdaňovacom období záporný, suma rovnajúca sa zápornej odpočítateľnej položke na vlastné imanie bude zdaniteľná počas desiatich po sebe nasledujúcich zdaňovacích období </w:t>
            </w:r>
            <w:r>
              <w:rPr>
                <w:b/>
                <w:bCs/>
                <w:i/>
                <w:iCs/>
              </w:rPr>
              <w:t>pre MSP alebo skupiny strednej veľkosti alebo siedmich po sebe nasledujúcich zdaňovacích období pre všetkých daňovníkov, ktorí nie sú MSP alebo skupinou strednej veľkosti,</w:t>
            </w:r>
            <w:r>
              <w:t xml:space="preserve"> až do úhrnného zvýšenia čistého vlastného imania, na ktoré sa táto odpočítateľná položka získala podľa tejto smernice, pokiaľ daňovník neposkytne dostatočné dôkazy o tom, že ide o dôsledok účtovných strát vzniknutých počas zdaňovacieho obdobia alebo dôsledok právnej povinnosti znížiť kapitál.</w:t>
            </w:r>
          </w:p>
        </w:tc>
      </w:tr>
    </w:tbl>
    <w:p/>
    <w:p>
      <w:pPr>
        <w:pStyle w:val="AmNumberTabs"/>
      </w:pPr>
      <w:r>
        <w:t>Pozmeňujúci návrh</w:t>
      </w:r>
      <w:r>
        <w:tab/>
      </w:r>
      <w:r>
        <w:tab/>
        <w:t>21</w:t>
      </w:r>
    </w:p>
    <w:p>
      <w:pPr>
        <w:pStyle w:val="NormalBold12b"/>
      </w:pPr>
      <w:r>
        <w:t>Návrh smernice</w:t>
      </w:r>
    </w:p>
    <w:p>
      <w:pPr>
        <w:pStyle w:val="NormalBold"/>
      </w:pPr>
      <w:r>
        <w:t>Článok 5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trPr>
          <w:trHeight w:hRule="exact" w:val="240"/>
          <w:jc w:val="center"/>
        </w:trPr>
        <w:tc>
          <w:tcPr>
            <w:tcW w:w="9752" w:type="dxa"/>
            <w:gridSpan w:val="2"/>
          </w:tcPr>
          <w:p/>
        </w:tc>
      </w:tr>
      <w:tr>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rPr>
          <w:jc w:val="center"/>
        </w:trPr>
        <w:tc>
          <w:tcPr>
            <w:tcW w:w="4876" w:type="dxa"/>
          </w:tcPr>
          <w:p>
            <w:pPr>
              <w:pStyle w:val="Normal6a"/>
            </w:pPr>
          </w:p>
        </w:tc>
        <w:tc>
          <w:tcPr>
            <w:tcW w:w="4876" w:type="dxa"/>
          </w:tcPr>
          <w:p>
            <w:pPr>
              <w:pStyle w:val="Normal6a"/>
            </w:pPr>
            <w:r>
              <w:rPr>
                <w:b/>
                <w:i/>
              </w:rPr>
              <w:t>3a.</w:t>
            </w:r>
            <w:r>
              <w:tab/>
            </w:r>
            <w:r>
              <w:rPr>
                <w:b/>
                <w:i/>
              </w:rPr>
              <w:t>Členské štáty tiež zabezpečia, aby opatrenia, ktoré prijmú na transpozíciu tohto článku do vnútroštátneho práva boli v súlade s usmerneniami skupiny pre kódex správania (zdaňovanie podnikov) pre režimy odpočtu fiktívnych úrokov.</w:t>
            </w:r>
          </w:p>
        </w:tc>
      </w:tr>
    </w:tbl>
    <w:p/>
    <w:p>
      <w:pPr>
        <w:pStyle w:val="AmNumberTabs"/>
        <w:keepNext/>
      </w:pPr>
      <w:r>
        <w:lastRenderedPageBreak/>
        <w:t>Pozmeňujúci návrh</w:t>
      </w:r>
      <w:r>
        <w:tab/>
      </w:r>
      <w:r>
        <w:tab/>
        <w:t>22</w:t>
      </w:r>
    </w:p>
    <w:p>
      <w:pPr>
        <w:pStyle w:val="NormalBold12b"/>
        <w:keepNext/>
      </w:pPr>
      <w:r>
        <w:t>Návrh smernice</w:t>
      </w:r>
    </w:p>
    <w:p>
      <w:pPr>
        <w:pStyle w:val="NormalBold"/>
        <w:keepNext/>
      </w:pPr>
      <w:r>
        <w:t>Článok 6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rPr>
                <w:b/>
                <w:i/>
              </w:rPr>
            </w:pPr>
            <w:r>
              <w:t>1.</w:t>
            </w:r>
            <w:r>
              <w:tab/>
              <w:t>Členské štáty zabezpečia, aby daňovník mohol odpočítať od svojho základu dane na účely dane z príjmu právnických osôb presahujúce náklady na prijaté úvery a pôžičky vymedzené v článku 1 bode 2 smernice Rady (EÚ) 2016/1164</w:t>
            </w:r>
            <w:r>
              <w:rPr>
                <w:vertAlign w:val="superscript"/>
              </w:rPr>
              <w:t>35</w:t>
            </w:r>
            <w:r>
              <w:t xml:space="preserve"> až do výšky a) zodpovedajúcej 85 % takýchto nákladov, ktoré vznikli počas zdaňovacieho obdobia. Ak je takáto suma vyššia ako suma b) určená v súlade s článkom 4 smernice (EÚ) 2016/1164, členské štáty zabezpečia, aby mal daňovník v zdaňovacom období nárok na odpočítanie len nižšej z týchto dvoch súm. Rozdiel medzi týmito dvoma sumami a) a b) sa prenesie do budúcich období alebo sa uplatní v predchádzajúcich obdobiach v súlade s článkom 4 smernice (EÚ) 2016/1164. </w:t>
            </w:r>
          </w:p>
        </w:tc>
        <w:tc>
          <w:tcPr>
            <w:tcW w:w="4876" w:type="dxa"/>
          </w:tcPr>
          <w:p>
            <w:pPr>
              <w:pStyle w:val="Normal6a"/>
            </w:pPr>
            <w:r>
              <w:t>1.</w:t>
            </w:r>
            <w:r>
              <w:tab/>
              <w:t xml:space="preserve">Členské štáty zabezpečia, aby daňovník </w:t>
            </w:r>
            <w:r>
              <w:rPr>
                <w:b/>
                <w:bCs/>
                <w:i/>
                <w:iCs/>
              </w:rPr>
              <w:t>iný ako MSP alebo skupina strednej veľkosti</w:t>
            </w:r>
            <w:r>
              <w:t xml:space="preserve"> mohol odpočítať od svojho základu dane na účely dane z príjmu právnických osôb presahujúce náklady na prijaté úvery a pôžičky vymedzené v článku 1 bode 2 smernice Rady (EÚ) 2016/1164</w:t>
            </w:r>
            <w:r>
              <w:rPr>
                <w:vertAlign w:val="superscript"/>
              </w:rPr>
              <w:t>35</w:t>
            </w:r>
            <w:r>
              <w:t xml:space="preserve"> až do výšky a) zodpovedajúcej 85 % takýchto nákladov, ktoré vznikli počas zdaňovacieho obdobia. Ak je takáto suma vyššia ako suma b) určená v súlade s článkom 4 smernice (EÚ) 2016/1164, členské štáty zabezpečia, aby mal daňovník v zdaňovacom období nárok na odpočítanie len nižšej z týchto dvoch súm. Rozdiel medzi týmito dvoma sumami a) a b) sa prenesie do budúcich období alebo sa uplatní v predchádzajúcich obdobiach v súlade s článkom 4 smernice (EÚ) 2016/1164.</w:t>
            </w:r>
          </w:p>
        </w:tc>
      </w:tr>
      <w:tr>
        <w:trPr>
          <w:jc w:val="center"/>
        </w:trPr>
        <w:tc>
          <w:tcPr>
            <w:tcW w:w="4876" w:type="dxa"/>
          </w:tcPr>
          <w:p>
            <w:pPr>
              <w:pStyle w:val="Normal6a"/>
            </w:pPr>
            <w:r>
              <w:t>_______________</w:t>
            </w:r>
          </w:p>
        </w:tc>
        <w:tc>
          <w:tcPr>
            <w:tcW w:w="4876" w:type="dxa"/>
          </w:tcPr>
          <w:p>
            <w:pPr>
              <w:pStyle w:val="Normal6a"/>
            </w:pPr>
            <w:r>
              <w:t>_______________</w:t>
            </w:r>
          </w:p>
        </w:tc>
      </w:tr>
      <w:tr>
        <w:trPr>
          <w:jc w:val="center"/>
        </w:trPr>
        <w:tc>
          <w:tcPr>
            <w:tcW w:w="4876" w:type="dxa"/>
          </w:tcPr>
          <w:p>
            <w:pPr>
              <w:pStyle w:val="Normal6a"/>
            </w:pPr>
            <w:r>
              <w:rPr>
                <w:vertAlign w:val="superscript"/>
              </w:rPr>
              <w:t xml:space="preserve">35 </w:t>
            </w:r>
            <w:r>
              <w:t>Smernica Rady (EÚ) 2016/1164 z 12. júla 2016, ktorou sa stanovujú pravidlá proti praktikám vyhýbania sa daňovým povinnostiam, ktoré majú priamy vplyv na fungovanie vnútorného trhu (Ú. v. EÚ L 193, 19.7.2016, s. 1).</w:t>
            </w:r>
          </w:p>
        </w:tc>
        <w:tc>
          <w:tcPr>
            <w:tcW w:w="4876" w:type="dxa"/>
          </w:tcPr>
          <w:p>
            <w:pPr>
              <w:pStyle w:val="Normal6a"/>
            </w:pPr>
            <w:r>
              <w:rPr>
                <w:vertAlign w:val="superscript"/>
              </w:rPr>
              <w:t xml:space="preserve">35 </w:t>
            </w:r>
            <w:r>
              <w:t>Smernica Rady (EÚ) 2016/1164 z 12. júla 2016, ktorou sa stanovujú pravidlá proti praktikám vyhýbania sa daňovým povinnostiam, ktoré majú priamy vplyv na fungovanie vnútorného trhu (Ú. v. EÚ L 193, 19.7.2016, s. 1).</w:t>
            </w:r>
          </w:p>
        </w:tc>
      </w:tr>
    </w:tbl>
    <w:p/>
    <w:p>
      <w:pPr>
        <w:pStyle w:val="AmNumberTabs"/>
        <w:keepNext/>
      </w:pPr>
      <w:r>
        <w:t>Pozmeňujúci návrh</w:t>
      </w:r>
      <w:r>
        <w:tab/>
      </w:r>
      <w:r>
        <w:tab/>
        <w:t>23</w:t>
      </w:r>
    </w:p>
    <w:p>
      <w:pPr>
        <w:pStyle w:val="NormalBold12b"/>
        <w:keepNext/>
      </w:pPr>
      <w:r>
        <w:t>Návrh smernice</w:t>
      </w:r>
    </w:p>
    <w:p>
      <w:pPr>
        <w:pStyle w:val="NormalBold"/>
        <w:keepNext/>
      </w:pPr>
      <w:r>
        <w:t>Článok 6 – odsek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2.</w:t>
            </w:r>
            <w:r>
              <w:tab/>
              <w:t xml:space="preserve">Odsek 1 sa uplatňuje na presahujúce náklady na prijaté úvery a pôžičky vzniknuté od </w:t>
            </w:r>
            <w:r>
              <w:rPr>
                <w:b/>
                <w:bCs/>
                <w:i/>
                <w:iCs/>
              </w:rPr>
              <w:t>[Úrad pre publikácie – vložiť dátum nadobudnutia účinnosti tejto smernice]</w:t>
            </w:r>
            <w:r>
              <w:t xml:space="preserve">. </w:t>
            </w:r>
          </w:p>
        </w:tc>
        <w:tc>
          <w:tcPr>
            <w:tcW w:w="4876" w:type="dxa"/>
          </w:tcPr>
          <w:p>
            <w:pPr>
              <w:pStyle w:val="Normal6a"/>
            </w:pPr>
            <w:r>
              <w:t>2.</w:t>
            </w:r>
            <w:r>
              <w:tab/>
              <w:t xml:space="preserve">Odsek 1 sa uplatňuje na presahujúce náklady na prijaté úvery a pôžičky, ktoré vznikli od </w:t>
            </w:r>
            <w:r>
              <w:rPr>
                <w:b/>
                <w:bCs/>
                <w:i/>
                <w:iCs/>
              </w:rPr>
              <w:t>1. januára 2027.</w:t>
            </w:r>
          </w:p>
        </w:tc>
      </w:tr>
    </w:tbl>
    <w:p/>
    <w:p>
      <w:pPr>
        <w:pStyle w:val="AmNumberTabs"/>
      </w:pPr>
      <w:r>
        <w:lastRenderedPageBreak/>
        <w:t>Pozmeňujúci návrh</w:t>
      </w:r>
      <w:r>
        <w:tab/>
      </w:r>
      <w:r>
        <w:tab/>
        <w:t>24</w:t>
      </w:r>
    </w:p>
    <w:p>
      <w:pPr>
        <w:pStyle w:val="NormalBold12b"/>
      </w:pPr>
      <w:r>
        <w:t>Návrh smernice</w:t>
      </w:r>
    </w:p>
    <w:p>
      <w:pPr>
        <w:pStyle w:val="NormalBold"/>
      </w:pPr>
      <w:r>
        <w:t>Článok 7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trPr>
          <w:trHeight w:hRule="exact" w:val="240"/>
          <w:jc w:val="center"/>
        </w:trPr>
        <w:tc>
          <w:tcPr>
            <w:tcW w:w="9752" w:type="dxa"/>
            <w:gridSpan w:val="2"/>
          </w:tcPr>
          <w:p/>
        </w:tc>
      </w:tr>
      <w:tr>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rPr>
          <w:jc w:val="center"/>
        </w:trPr>
        <w:tc>
          <w:tcPr>
            <w:tcW w:w="4876" w:type="dxa"/>
          </w:tcPr>
          <w:p>
            <w:pPr>
              <w:pStyle w:val="Normal6a"/>
            </w:pPr>
            <w:r>
              <w:t>b)</w:t>
            </w:r>
            <w:r>
              <w:tab/>
              <w:t>počet MSP, ktoré v zdaňovacom období využili túto odpočítateľnú položku, a to aj ako percentuálny podiel z celkového počtu MSP, ktoré patria do rozsahu pôsobnosti tejto smernice, a počet MSP, ktoré využili túto odpočítateľnú položku, ktoré sú súčasťou veľkých skupín v zmysle článku 3 ods. 7 smernice 2013/34/EÚ;</w:t>
            </w:r>
          </w:p>
        </w:tc>
        <w:tc>
          <w:tcPr>
            <w:tcW w:w="4876" w:type="dxa"/>
          </w:tcPr>
          <w:p>
            <w:pPr>
              <w:pStyle w:val="Normal6a"/>
            </w:pPr>
            <w:r>
              <w:t>b)</w:t>
            </w:r>
            <w:r>
              <w:tab/>
              <w:t xml:space="preserve">počet MSP </w:t>
            </w:r>
            <w:r>
              <w:rPr>
                <w:b/>
                <w:bCs/>
                <w:i/>
                <w:iCs/>
              </w:rPr>
              <w:t>a skupín strednej veľkosti</w:t>
            </w:r>
            <w:r>
              <w:t xml:space="preserve">, ktoré využili úľavu v zdaňovacom období, a to aj ako percentuálny podiel z celkového počtu MSP </w:t>
            </w:r>
            <w:r>
              <w:rPr>
                <w:b/>
                <w:bCs/>
                <w:i/>
                <w:iCs/>
              </w:rPr>
              <w:t>a skupín strednej veľkosti</w:t>
            </w:r>
            <w:r>
              <w:t xml:space="preserve"> v pôsobnosti tejto smernice, a počet MSP, ktoré využili úľavu a ktoré sú súčasťou veľkých skupín v zmysle článku 3 ods. 7 smernice 2013/34/EÚ;</w:t>
            </w:r>
          </w:p>
        </w:tc>
      </w:tr>
    </w:tbl>
    <w:p/>
    <w:p>
      <w:pPr>
        <w:pStyle w:val="AmNumberTabs"/>
        <w:keepNext/>
      </w:pPr>
      <w:r>
        <w:t>Pozmeňujúci návrh</w:t>
      </w:r>
      <w:r>
        <w:tab/>
      </w:r>
      <w:r>
        <w:tab/>
        <w:t>25</w:t>
      </w:r>
    </w:p>
    <w:p>
      <w:pPr>
        <w:pStyle w:val="NormalBold12b"/>
        <w:keepNext/>
      </w:pPr>
      <w:r>
        <w:t>Návrh smernice</w:t>
      </w:r>
    </w:p>
    <w:p>
      <w:pPr>
        <w:pStyle w:val="NormalBold"/>
        <w:keepNext/>
      </w:pPr>
      <w:r>
        <w:t>Článok 8 – nadpis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Správy</w:t>
            </w:r>
          </w:p>
        </w:tc>
        <w:tc>
          <w:tcPr>
            <w:tcW w:w="4876" w:type="dxa"/>
          </w:tcPr>
          <w:p>
            <w:pPr>
              <w:pStyle w:val="Normal6a"/>
              <w:rPr>
                <w:b/>
                <w:i/>
              </w:rPr>
            </w:pPr>
            <w:r>
              <w:t xml:space="preserve">Správy </w:t>
            </w:r>
            <w:r>
              <w:rPr>
                <w:b/>
                <w:bCs/>
                <w:i/>
                <w:iCs/>
              </w:rPr>
              <w:t>a preskúmanie</w:t>
            </w:r>
          </w:p>
        </w:tc>
      </w:tr>
    </w:tbl>
    <w:p/>
    <w:p>
      <w:pPr>
        <w:pStyle w:val="AmNumberTabs"/>
        <w:keepNext/>
      </w:pPr>
      <w:r>
        <w:t>Pozmeňujúci návrh</w:t>
      </w:r>
      <w:r>
        <w:tab/>
      </w:r>
      <w:r>
        <w:tab/>
        <w:t>26</w:t>
      </w:r>
    </w:p>
    <w:p>
      <w:pPr>
        <w:pStyle w:val="NormalBold12b"/>
        <w:keepNext/>
      </w:pPr>
      <w:r>
        <w:t>Návrh smernice</w:t>
      </w:r>
    </w:p>
    <w:p>
      <w:pPr>
        <w:pStyle w:val="NormalBold"/>
        <w:keepNext/>
      </w:pPr>
      <w:r>
        <w:t>Článok 8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trPr>
          <w:jc w:val="center"/>
        </w:trPr>
        <w:tc>
          <w:tcPr>
            <w:tcW w:w="9752" w:type="dxa"/>
            <w:gridSpan w:val="2"/>
          </w:tcPr>
          <w:p>
            <w:pPr>
              <w:keepNext/>
            </w:pPr>
          </w:p>
        </w:tc>
      </w:tr>
      <w:tr>
        <w:trPr>
          <w:jc w:val="center"/>
        </w:trPr>
        <w:tc>
          <w:tcPr>
            <w:tcW w:w="4876" w:type="dxa"/>
          </w:tcPr>
          <w:p>
            <w:pPr>
              <w:pStyle w:val="AmColumnHeading"/>
              <w:keepNext/>
            </w:pPr>
            <w:r>
              <w:t>Text predložený Komisiou</w:t>
            </w:r>
          </w:p>
        </w:tc>
        <w:tc>
          <w:tcPr>
            <w:tcW w:w="4876" w:type="dxa"/>
          </w:tcPr>
          <w:p>
            <w:pPr>
              <w:pStyle w:val="AmColumnHeading"/>
              <w:keepNext/>
            </w:pPr>
            <w:r>
              <w:t>Pozmeňujúci návrh</w:t>
            </w:r>
          </w:p>
        </w:tc>
      </w:tr>
      <w:tr>
        <w:trPr>
          <w:jc w:val="center"/>
        </w:trPr>
        <w:tc>
          <w:tcPr>
            <w:tcW w:w="4876" w:type="dxa"/>
          </w:tcPr>
          <w:p>
            <w:pPr>
              <w:pStyle w:val="Normal6a"/>
            </w:pPr>
            <w:r>
              <w:t>1.</w:t>
            </w:r>
            <w:r>
              <w:tab/>
              <w:t xml:space="preserve">Komisia do 31. decembra </w:t>
            </w:r>
            <w:r>
              <w:rPr>
                <w:b/>
                <w:bCs/>
                <w:i/>
                <w:iCs/>
              </w:rPr>
              <w:t>2027</w:t>
            </w:r>
            <w:r>
              <w:t xml:space="preserve"> predloží Európskemu parlamentu a Rade správu o vykonávaní tejto smernice.</w:t>
            </w:r>
          </w:p>
        </w:tc>
        <w:tc>
          <w:tcPr>
            <w:tcW w:w="4876" w:type="dxa"/>
          </w:tcPr>
          <w:p>
            <w:pPr>
              <w:pStyle w:val="Normal6a"/>
              <w:rPr>
                <w:b/>
                <w:i/>
              </w:rPr>
            </w:pPr>
            <w:r>
              <w:t>1.</w:t>
            </w:r>
            <w:r>
              <w:tab/>
              <w:t xml:space="preserve">Komisia do 31. decembra </w:t>
            </w:r>
            <w:r>
              <w:rPr>
                <w:b/>
                <w:bCs/>
                <w:i/>
                <w:iCs/>
              </w:rPr>
              <w:t>2028</w:t>
            </w:r>
            <w:r>
              <w:t xml:space="preserve"> predloží Európskemu parlamentu a Rade správu o vykonávaní a </w:t>
            </w:r>
            <w:r>
              <w:rPr>
                <w:b/>
                <w:bCs/>
                <w:i/>
                <w:iCs/>
              </w:rPr>
              <w:t xml:space="preserve">vplyvoch </w:t>
            </w:r>
            <w:r>
              <w:t>tejto</w:t>
            </w:r>
            <w:r>
              <w:rPr>
                <w:b/>
                <w:bCs/>
                <w:i/>
                <w:iCs/>
              </w:rPr>
              <w:t xml:space="preserve"> smernice doplnenú v prípade potreby o legislatívny návrh na zmenu</w:t>
            </w:r>
            <w:r>
              <w:t xml:space="preserve"> smernice.</w:t>
            </w:r>
          </w:p>
        </w:tc>
      </w:tr>
      <w:tr>
        <w:trPr>
          <w:jc w:val="center"/>
        </w:trPr>
        <w:tc>
          <w:tcPr>
            <w:tcW w:w="4876" w:type="dxa"/>
          </w:tcPr>
          <w:p>
            <w:pPr>
              <w:pStyle w:val="Normal6a"/>
            </w:pPr>
          </w:p>
        </w:tc>
        <w:tc>
          <w:tcPr>
            <w:tcW w:w="4876" w:type="dxa"/>
          </w:tcPr>
          <w:p>
            <w:pPr>
              <w:pStyle w:val="Normal6a"/>
              <w:rPr>
                <w:b/>
                <w:i/>
              </w:rPr>
            </w:pPr>
            <w:r>
              <w:rPr>
                <w:b/>
                <w:i/>
              </w:rPr>
              <w:t>V uvedenej správe sa posúdia vplyvy tejto smernice, pričom osobitnú pozornosť venuje:</w:t>
            </w:r>
          </w:p>
        </w:tc>
      </w:tr>
      <w:tr>
        <w:trPr>
          <w:jc w:val="center"/>
        </w:trPr>
        <w:tc>
          <w:tcPr>
            <w:tcW w:w="4876" w:type="dxa"/>
          </w:tcPr>
          <w:p>
            <w:pPr>
              <w:pStyle w:val="Normal6a"/>
            </w:pPr>
          </w:p>
        </w:tc>
        <w:tc>
          <w:tcPr>
            <w:tcW w:w="4876" w:type="dxa"/>
          </w:tcPr>
          <w:p>
            <w:pPr>
              <w:pStyle w:val="Normal6a"/>
              <w:rPr>
                <w:b/>
                <w:i/>
              </w:rPr>
            </w:pPr>
            <w:r>
              <w:rPr>
                <w:b/>
                <w:i/>
              </w:rPr>
              <w:t xml:space="preserve">a) </w:t>
            </w:r>
            <w:r>
              <w:tab/>
            </w:r>
            <w:r>
              <w:rPr>
                <w:b/>
                <w:i/>
              </w:rPr>
              <w:t xml:space="preserve">MSP najmä posúdením, či sa osobitné podmienky pre MSP prejavili ako dostatočné na zvýšenie atraktívnosti ich kapitálového financovania; </w:t>
            </w:r>
          </w:p>
        </w:tc>
      </w:tr>
      <w:tr>
        <w:trPr>
          <w:jc w:val="center"/>
        </w:trPr>
        <w:tc>
          <w:tcPr>
            <w:tcW w:w="4876" w:type="dxa"/>
          </w:tcPr>
          <w:p>
            <w:pPr>
              <w:pStyle w:val="Normal6a"/>
            </w:pPr>
          </w:p>
        </w:tc>
        <w:tc>
          <w:tcPr>
            <w:tcW w:w="4876" w:type="dxa"/>
          </w:tcPr>
          <w:p>
            <w:pPr>
              <w:pStyle w:val="Normal6a"/>
              <w:rPr>
                <w:b/>
                <w:i/>
              </w:rPr>
            </w:pPr>
            <w:r>
              <w:rPr>
                <w:b/>
                <w:i/>
              </w:rPr>
              <w:t xml:space="preserve">b) </w:t>
            </w:r>
            <w:r>
              <w:tab/>
            </w:r>
            <w:r>
              <w:rPr>
                <w:b/>
                <w:i/>
              </w:rPr>
              <w:t xml:space="preserve">obmedzeniu odpočtu úrokov, najmä pokiaľ ide o vplyv sumy a) podľa </w:t>
            </w:r>
            <w:r>
              <w:rPr>
                <w:b/>
                <w:i/>
              </w:rPr>
              <w:lastRenderedPageBreak/>
              <w:t>článku 6 ods. 1 na fiškálne príjmy členských štátov;</w:t>
            </w:r>
          </w:p>
        </w:tc>
      </w:tr>
      <w:tr>
        <w:trPr>
          <w:jc w:val="center"/>
        </w:trPr>
        <w:tc>
          <w:tcPr>
            <w:tcW w:w="4876" w:type="dxa"/>
          </w:tcPr>
          <w:p>
            <w:pPr>
              <w:pStyle w:val="Normal6a"/>
            </w:pPr>
          </w:p>
        </w:tc>
        <w:tc>
          <w:tcPr>
            <w:tcW w:w="4876" w:type="dxa"/>
          </w:tcPr>
          <w:p>
            <w:pPr>
              <w:pStyle w:val="Normal6a"/>
              <w:rPr>
                <w:b/>
                <w:i/>
              </w:rPr>
            </w:pPr>
            <w:r>
              <w:rPr>
                <w:b/>
                <w:i/>
              </w:rPr>
              <w:t xml:space="preserve">c) </w:t>
            </w:r>
            <w:r>
              <w:tab/>
            </w:r>
            <w:r>
              <w:rPr>
                <w:b/>
                <w:i/>
              </w:rPr>
              <w:t>prepojeniu s legislatívnymi aktmi v oblasti dane z príjmov právnických osôb, konkrétne so smernicou, ktorou sa zabezpečuje minimálna efektívna sadzba dane pre globálne pôsobenie veľkých nadnárodných skupín, a so smernicou o rámci pre zdaňovanie príjmov v Európe (BEFIT).</w:t>
            </w:r>
          </w:p>
        </w:tc>
      </w:tr>
    </w:tbl>
    <w:p/>
    <w:p>
      <w:pPr>
        <w:pStyle w:val="AmNumberTabs"/>
      </w:pPr>
      <w:r>
        <w:t>Pozmeňujúci návrh</w:t>
      </w:r>
      <w:r>
        <w:tab/>
      </w:r>
      <w:r>
        <w:tab/>
        <w:t>27</w:t>
      </w:r>
    </w:p>
    <w:p>
      <w:pPr>
        <w:pStyle w:val="NormalBold12b"/>
      </w:pPr>
      <w:r>
        <w:t>Návrh smernice</w:t>
      </w:r>
    </w:p>
    <w:p>
      <w:pPr>
        <w:pStyle w:val="NormalBold"/>
      </w:pPr>
      <w:r>
        <w:t>Článok 11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trPr>
          <w:trHeight w:hRule="exact" w:val="240"/>
          <w:jc w:val="center"/>
        </w:trPr>
        <w:tc>
          <w:tcPr>
            <w:tcW w:w="9752" w:type="dxa"/>
            <w:gridSpan w:val="2"/>
          </w:tcPr>
          <w:p/>
        </w:tc>
      </w:tr>
      <w:tr>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rPr>
          <w:jc w:val="center"/>
        </w:trPr>
        <w:tc>
          <w:tcPr>
            <w:tcW w:w="4876" w:type="dxa"/>
          </w:tcPr>
          <w:p>
            <w:pPr>
              <w:pStyle w:val="Normal6a"/>
            </w:pPr>
            <w:r>
              <w:t>2.</w:t>
            </w:r>
            <w:r>
              <w:tab/>
              <w:t xml:space="preserve">Členské štáty môžu odložiť uplatňovanie ustanovení tejto smernice na daňovníkov, ktorí k [1. januáru 2024] využívajú odpočítateľnú položku na vlastné imanie podľa vnútroštátneho práva, na obdobie najviac </w:t>
            </w:r>
            <w:r>
              <w:rPr>
                <w:b/>
                <w:bCs/>
                <w:i/>
                <w:iCs/>
              </w:rPr>
              <w:t>desiatich</w:t>
            </w:r>
            <w:r>
              <w:t xml:space="preserve"> rokov a v žiadnom prípade nie na dlhšie obdobie, než je trvanie danej výhody podľa vnútroštátneho práva.</w:t>
            </w:r>
          </w:p>
        </w:tc>
        <w:tc>
          <w:tcPr>
            <w:tcW w:w="4876" w:type="dxa"/>
          </w:tcPr>
          <w:p>
            <w:pPr>
              <w:pStyle w:val="Normal6a"/>
            </w:pPr>
            <w:r>
              <w:t>2.</w:t>
            </w:r>
            <w:r>
              <w:tab/>
              <w:t xml:space="preserve">Členské štáty môžu odložiť uplatňovanie ustanovení tejto smernice na daňovníkov, ktorí k [1. januáru 2024] využívajú odpočítateľnú položku na vlastné imanie podľa vnútroštátneho práva, na obdobie najviac </w:t>
            </w:r>
            <w:r>
              <w:rPr>
                <w:b/>
                <w:bCs/>
                <w:i/>
                <w:iCs/>
              </w:rPr>
              <w:t>piatich</w:t>
            </w:r>
            <w:r>
              <w:t xml:space="preserve"> rokov a v žiadnom prípade nie na dlhšie obdobie, než je trvanie danej výhody podľa vnútroštátneho práva.</w:t>
            </w:r>
          </w:p>
        </w:tc>
      </w:tr>
    </w:tbl>
    <w:p/>
    <w:p>
      <w:pPr>
        <w:pStyle w:val="AmNumberTabs"/>
      </w:pPr>
      <w:r>
        <w:t>Pozmeňujúci návrh</w:t>
      </w:r>
      <w:r>
        <w:tab/>
      </w:r>
      <w:r>
        <w:tab/>
        <w:t>28</w:t>
      </w:r>
    </w:p>
    <w:p>
      <w:pPr>
        <w:pStyle w:val="NormalBold12b"/>
      </w:pPr>
      <w:r>
        <w:t>Návrh smernice</w:t>
      </w:r>
    </w:p>
    <w:p>
      <w:pPr>
        <w:pStyle w:val="NormalBold"/>
      </w:pPr>
      <w:r>
        <w:t>Článok 11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trPr>
          <w:trHeight w:hRule="exact" w:val="240"/>
          <w:jc w:val="center"/>
        </w:trPr>
        <w:tc>
          <w:tcPr>
            <w:tcW w:w="9752" w:type="dxa"/>
            <w:gridSpan w:val="2"/>
          </w:tcPr>
          <w:p/>
        </w:tc>
      </w:tr>
      <w:tr>
        <w:trPr>
          <w:trHeight w:val="240"/>
          <w:jc w:val="center"/>
        </w:trPr>
        <w:tc>
          <w:tcPr>
            <w:tcW w:w="4876" w:type="dxa"/>
          </w:tcPr>
          <w:p>
            <w:pPr>
              <w:pStyle w:val="AmColumnHeading"/>
            </w:pPr>
            <w:r>
              <w:t>Text predložený Komisiou</w:t>
            </w:r>
          </w:p>
        </w:tc>
        <w:tc>
          <w:tcPr>
            <w:tcW w:w="4876" w:type="dxa"/>
          </w:tcPr>
          <w:p>
            <w:pPr>
              <w:pStyle w:val="AmColumnHeading"/>
            </w:pPr>
            <w:r>
              <w:t>Pozmeňujúci návrh</w:t>
            </w:r>
          </w:p>
        </w:tc>
      </w:tr>
      <w:tr>
        <w:trPr>
          <w:jc w:val="center"/>
        </w:trPr>
        <w:tc>
          <w:tcPr>
            <w:tcW w:w="4876" w:type="dxa"/>
          </w:tcPr>
          <w:p>
            <w:pPr>
              <w:pStyle w:val="Normal6a"/>
            </w:pPr>
          </w:p>
        </w:tc>
        <w:tc>
          <w:tcPr>
            <w:tcW w:w="4876" w:type="dxa"/>
          </w:tcPr>
          <w:p>
            <w:pPr>
              <w:pStyle w:val="Normal6a"/>
            </w:pPr>
            <w:r>
              <w:rPr>
                <w:b/>
                <w:i/>
              </w:rPr>
              <w:t>3a.</w:t>
            </w:r>
            <w:r>
              <w:rPr>
                <w:b/>
                <w:i/>
              </w:rPr>
              <w:tab/>
              <w:t>Každý členský štát pred transpozíciou tejto smernice do vnútroštátneho práva zverejní posúdenie predpokladaných fiškálnych nákladov na opatrenia, ktoré sa majú prijať, a výsledného zníženia efektívnej sadzby dane pre podniky a v prípade potreby prijme náležité opatrenia na ochranu daňových príjmov.</w:t>
            </w:r>
          </w:p>
        </w:tc>
      </w:tr>
    </w:tbl>
    <w:p/>
    <w:p/>
    <w:p/>
    <w:p>
      <w:bookmarkStart w:id="9" w:name="TextBodyEnd"/>
      <w:bookmarkEnd w:id="9"/>
    </w:p>
    <w:sectPr>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SK"/>
    <w:docVar w:name="dvnumam" w:val="28"/>
    <w:docVar w:name="dvpe" w:val="738.463"/>
    <w:docVar w:name="dvrapporteur" w:val="Spravodajca: "/>
    <w:docVar w:name="dvstar" w:val="*"/>
    <w:docVar w:name="dvtitre" w:val="Legislatívne uznesenie Európskeho parlamentu z xx. januára 2024 o návrhu smernice Rady o stanovení pravidiel týkajúcich sa úľavy na zníženie zvýhodňovania dlhu voči vlastnému imaniu a obmedzenia odpočítateľnosti úrokov na účely dane z príjmov právnických osôb(COM(2022)0216 – C9-0197/2022 – 2022/0154(CNS))"/>
  </w:docVar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BFF82E-08C5-4A6C-AE90-16128E980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semiHidden/>
    <w:rPr>
      <w:b w:val="0"/>
      <w:vertAlign w:val="superscript"/>
    </w:rPr>
  </w:style>
  <w:style w:type="paragraph" w:styleId="FootnoteText">
    <w:name w:val="footnote text"/>
    <w:basedOn w:val="Normal"/>
    <w:link w:val="FootnoteTextChar"/>
    <w:semiHidden/>
    <w:pPr>
      <w:keepLines/>
      <w:widowControl/>
      <w:spacing w:line="260" w:lineRule="exact"/>
      <w:ind w:left="425" w:hanging="425"/>
    </w:pPr>
    <w:rPr>
      <w:sz w:val="22"/>
      <w:lang w:val="fr-FR" w:eastAsia="fr-FR"/>
    </w:rPr>
  </w:style>
  <w:style w:type="character" w:customStyle="1" w:styleId="FootnoteTextChar">
    <w:name w:val="Footnote Text Char"/>
    <w:link w:val="FootnoteText"/>
    <w:semiHidden/>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pPr>
      <w:spacing w:before="240"/>
    </w:pPr>
    <w:rPr>
      <w:b/>
    </w:rPr>
  </w:style>
  <w:style w:type="character" w:styleId="Hyperlink">
    <w:name w:val="Hyperlink"/>
    <w:basedOn w:val="DefaultParagraphFont"/>
    <w:uiPriority w:val="99"/>
    <w:unhideWhenUsed/>
    <w:rPr>
      <w:color w:val="0563C1" w:themeColor="hyperlink"/>
      <w:u w:val="single"/>
    </w:rPr>
  </w:style>
  <w:style w:type="character" w:customStyle="1" w:styleId="Sup">
    <w:name w:val="Sup"/>
    <w:uiPriority w:val="1"/>
    <w:qFormat/>
    <w:rPr>
      <w:vertAlign w:val="superscript"/>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resource.html?uri=cellar:61042990-fe46-11ea-b44f-01aa75ed71a1.0013.02/DOC_1&amp;format=PDF" TargetMode="External"/><Relationship Id="rId4" Type="http://schemas.openxmlformats.org/officeDocument/2006/relationships/settings" Target="settings.xml"/><Relationship Id="rId9" Type="http://schemas.openxmlformats.org/officeDocument/2006/relationships/hyperlink" Target="https://eur-lex.europa.eu/resource.html?uri=cellar:61042990-fe46-11ea-b44f-01aa75ed71a1.0013.02/DOC_1&amp;format=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2DAF0-2F24-4E4F-9490-E8F8457FF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4715</Words>
  <Characters>29553</Characters>
  <Application>Microsoft Office Word</Application>
  <DocSecurity>0</DocSecurity>
  <Lines>246</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2024-05-21T11:46:00Z</dcterms:created>
  <dcterms:modified xsi:type="dcterms:W3CDTF">2024-05-21T11:46:00Z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P9_TA(2024)0006_</vt:lpwstr>
  </property>
  <property fmtid="{D5CDD505-2E9C-101B-9397-08002B2CF9AE}" pid="4" name="&lt;Type&gt;">
    <vt:lpwstr>RR</vt:lpwstr>
  </property>
</Properties>
</file>