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44F9" w:rsidTr="0010095E">
        <w:trPr>
          <w:trHeight w:hRule="exact" w:val="1418"/>
        </w:trPr>
        <w:tc>
          <w:tcPr>
            <w:tcW w:w="6804" w:type="dxa"/>
            <w:shd w:val="clear" w:color="auto" w:fill="auto"/>
            <w:vAlign w:val="center"/>
          </w:tcPr>
          <w:p w:rsidR="00751A4A" w:rsidRPr="007F44F9" w:rsidRDefault="00CB60E7" w:rsidP="0010095E">
            <w:pPr>
              <w:pStyle w:val="EPName"/>
            </w:pPr>
            <w:r w:rsidRPr="007F44F9">
              <w:t>Европейски</w:t>
            </w:r>
            <w:r w:rsidR="009F2346" w:rsidRPr="007F44F9">
              <w:t xml:space="preserve"> парламент</w:t>
            </w:r>
          </w:p>
          <w:p w:rsidR="00751A4A" w:rsidRPr="007F44F9" w:rsidRDefault="00CB60E7" w:rsidP="00756632">
            <w:pPr>
              <w:pStyle w:val="EPTerm"/>
              <w:rPr>
                <w:rStyle w:val="HideTWBExt"/>
                <w:noProof w:val="0"/>
                <w:vanish w:val="0"/>
                <w:color w:val="auto"/>
              </w:rPr>
            </w:pPr>
            <w:r>
              <w:t>2019 – </w:t>
            </w:r>
            <w:r w:rsidR="00817416" w:rsidRPr="007F44F9">
              <w:t>2024</w:t>
            </w:r>
          </w:p>
        </w:tc>
        <w:tc>
          <w:tcPr>
            <w:tcW w:w="2268" w:type="dxa"/>
            <w:shd w:val="clear" w:color="auto" w:fill="auto"/>
          </w:tcPr>
          <w:p w:rsidR="00751A4A" w:rsidRPr="007F44F9" w:rsidRDefault="00187494" w:rsidP="0010095E">
            <w:pPr>
              <w:pStyle w:val="EPLogo"/>
            </w:pPr>
            <w:r w:rsidRPr="007F44F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F44F9" w:rsidRDefault="00D058B8" w:rsidP="004C5D52">
      <w:pPr>
        <w:pStyle w:val="LineTop"/>
      </w:pPr>
    </w:p>
    <w:p w:rsidR="00680577" w:rsidRPr="007F44F9" w:rsidRDefault="009F2346" w:rsidP="00680577">
      <w:pPr>
        <w:pStyle w:val="EPBodyTA1"/>
      </w:pPr>
      <w:r w:rsidRPr="007F44F9">
        <w:t>ПРИЕТИ ТЕКСТОВЕ</w:t>
      </w:r>
    </w:p>
    <w:p w:rsidR="00D058B8" w:rsidRPr="007F44F9" w:rsidRDefault="00D058B8" w:rsidP="00D058B8">
      <w:pPr>
        <w:pStyle w:val="LineBottom"/>
      </w:pPr>
    </w:p>
    <w:p w:rsidR="009F2346" w:rsidRPr="007F44F9" w:rsidRDefault="009F2346" w:rsidP="009F2346">
      <w:pPr>
        <w:pStyle w:val="ATHeading1"/>
      </w:pPr>
      <w:bookmarkStart w:id="0" w:name="TANumber"/>
      <w:r w:rsidRPr="007F44F9">
        <w:t>P9_TA(2024)000</w:t>
      </w:r>
      <w:r w:rsidR="007D3555">
        <w:rPr>
          <w:lang w:val="en-GB"/>
        </w:rPr>
        <w:t>8</w:t>
      </w:r>
      <w:bookmarkStart w:id="1" w:name="_GoBack"/>
      <w:bookmarkEnd w:id="0"/>
      <w:bookmarkEnd w:id="1"/>
    </w:p>
    <w:p w:rsidR="009F2346" w:rsidRPr="007F44F9" w:rsidRDefault="009F2346" w:rsidP="009F2346">
      <w:pPr>
        <w:pStyle w:val="ATHeading2"/>
      </w:pPr>
      <w:bookmarkStart w:id="2" w:name="title"/>
      <w:r w:rsidRPr="007F44F9">
        <w:t>Изпълнение на програмата „Творческа</w:t>
      </w:r>
      <w:r w:rsidR="00CB60E7">
        <w:t xml:space="preserve"> Европа“ за периода 2021 – 2027 </w:t>
      </w:r>
      <w:r w:rsidRPr="007F44F9">
        <w:t>г.</w:t>
      </w:r>
      <w:bookmarkEnd w:id="2"/>
    </w:p>
    <w:p w:rsidR="009F2346" w:rsidRPr="007F44F9" w:rsidRDefault="009F2346" w:rsidP="009F2346">
      <w:pPr>
        <w:rPr>
          <w:i/>
          <w:vanish/>
        </w:rPr>
      </w:pPr>
      <w:r w:rsidRPr="007F44F9">
        <w:rPr>
          <w:i/>
        </w:rPr>
        <w:fldChar w:fldCharType="begin"/>
      </w:r>
      <w:r w:rsidRPr="007F44F9">
        <w:rPr>
          <w:i/>
        </w:rPr>
        <w:instrText xml:space="preserve"> TC"(</w:instrText>
      </w:r>
      <w:bookmarkStart w:id="3" w:name="DocNumber"/>
      <w:r w:rsidRPr="007F44F9">
        <w:rPr>
          <w:i/>
        </w:rPr>
        <w:instrText>A9-0425/2023</w:instrText>
      </w:r>
      <w:bookmarkEnd w:id="3"/>
      <w:r w:rsidRPr="007F44F9">
        <w:rPr>
          <w:i/>
        </w:rPr>
        <w:instrText xml:space="preserve"> - Докладчик: </w:instrText>
      </w:r>
      <w:proofErr w:type="spellStart"/>
      <w:r w:rsidRPr="007F44F9">
        <w:rPr>
          <w:i/>
        </w:rPr>
        <w:instrText>Масимилиано</w:instrText>
      </w:r>
      <w:proofErr w:type="spellEnd"/>
      <w:r w:rsidRPr="007F44F9">
        <w:rPr>
          <w:i/>
        </w:rPr>
        <w:instrText xml:space="preserve"> </w:instrText>
      </w:r>
      <w:proofErr w:type="spellStart"/>
      <w:r w:rsidRPr="007F44F9">
        <w:rPr>
          <w:i/>
        </w:rPr>
        <w:instrText>Смерильо</w:instrText>
      </w:r>
      <w:proofErr w:type="spellEnd"/>
      <w:r w:rsidRPr="007F44F9">
        <w:rPr>
          <w:i/>
        </w:rPr>
        <w:instrText xml:space="preserve">)"\l3 \n&gt; \* MERGEFORMAT </w:instrText>
      </w:r>
      <w:r w:rsidRPr="007F44F9">
        <w:rPr>
          <w:i/>
        </w:rPr>
        <w:fldChar w:fldCharType="end"/>
      </w:r>
    </w:p>
    <w:p w:rsidR="009F2346" w:rsidRPr="007F44F9" w:rsidRDefault="009F2346" w:rsidP="009F2346">
      <w:pPr>
        <w:rPr>
          <w:vanish/>
        </w:rPr>
      </w:pPr>
      <w:bookmarkStart w:id="4" w:name="Commission"/>
      <w:r w:rsidRPr="007F44F9">
        <w:rPr>
          <w:vanish/>
        </w:rPr>
        <w:t>Комисия по култура и образование</w:t>
      </w:r>
      <w:bookmarkEnd w:id="4"/>
    </w:p>
    <w:p w:rsidR="009F2346" w:rsidRPr="007F44F9" w:rsidRDefault="009F2346" w:rsidP="009F2346">
      <w:pPr>
        <w:rPr>
          <w:vanish/>
        </w:rPr>
      </w:pPr>
      <w:bookmarkStart w:id="5" w:name="PE"/>
      <w:r w:rsidRPr="007F44F9">
        <w:rPr>
          <w:vanish/>
        </w:rPr>
        <w:t>PE750.020</w:t>
      </w:r>
      <w:bookmarkEnd w:id="5"/>
    </w:p>
    <w:p w:rsidR="009F2346" w:rsidRPr="007F44F9" w:rsidRDefault="009F2346" w:rsidP="00CB60E7">
      <w:pPr>
        <w:pStyle w:val="ATHeading3"/>
      </w:pPr>
      <w:bookmarkStart w:id="6" w:name="Sujet"/>
      <w:r w:rsidRPr="007F44F9">
        <w:t xml:space="preserve">Резолюция на Европейския парламент от </w:t>
      </w:r>
      <w:r w:rsidR="007D3555">
        <w:t>16</w:t>
      </w:r>
      <w:r w:rsidR="00123980">
        <w:t xml:space="preserve"> януари</w:t>
      </w:r>
      <w:r w:rsidR="00123980" w:rsidRPr="007F44F9">
        <w:t xml:space="preserve"> </w:t>
      </w:r>
      <w:r w:rsidRPr="007F44F9">
        <w:t>2024 г. относно изпълнението на програмата „Творческа Европа“ за периода 2021 – 2027 г.</w:t>
      </w:r>
      <w:bookmarkEnd w:id="6"/>
      <w:r w:rsidRPr="007F44F9">
        <w:t xml:space="preserve"> </w:t>
      </w:r>
      <w:bookmarkStart w:id="7" w:name="References"/>
      <w:r w:rsidRPr="007F44F9">
        <w:t>(2023/2003(INI))</w:t>
      </w:r>
      <w:bookmarkEnd w:id="7"/>
    </w:p>
    <w:p w:rsidR="00F016AA" w:rsidRPr="007F44F9" w:rsidRDefault="00F016AA" w:rsidP="00F016AA">
      <w:pPr>
        <w:pStyle w:val="EPComma"/>
        <w:widowControl/>
      </w:pPr>
      <w:bookmarkStart w:id="8" w:name="TextBodyBegin"/>
      <w:bookmarkEnd w:id="8"/>
      <w:r w:rsidRPr="007F44F9">
        <w:rPr>
          <w:i/>
        </w:rPr>
        <w:t>Европейският парламент</w:t>
      </w:r>
      <w:r w:rsidRPr="007F44F9">
        <w:t>,</w:t>
      </w:r>
    </w:p>
    <w:p w:rsidR="00F016AA" w:rsidRPr="007F44F9" w:rsidRDefault="00CB60E7" w:rsidP="00F016AA">
      <w:pPr>
        <w:pStyle w:val="NormalHanging12a"/>
        <w:widowControl/>
      </w:pPr>
      <w:r w:rsidRPr="00CB60E7">
        <w:t>–</w:t>
      </w:r>
      <w:r w:rsidRPr="00CB60E7">
        <w:tab/>
      </w:r>
      <w:r w:rsidR="00F016AA" w:rsidRPr="007F44F9">
        <w:t>като взе предвид Договора за функционирането на Европейския съюз, по</w:t>
      </w:r>
      <w:r w:rsidR="00F016AA" w:rsidRPr="007F44F9">
        <w:noBreakHyphen/>
        <w:t>специално член 167, член 173, параграф 3 и член 294, параграф 7 от него,</w:t>
      </w:r>
    </w:p>
    <w:p w:rsidR="00F016AA" w:rsidRPr="007F44F9" w:rsidRDefault="00CB60E7" w:rsidP="00F016AA">
      <w:pPr>
        <w:pStyle w:val="NormalHanging12a"/>
        <w:widowControl/>
      </w:pPr>
      <w:r w:rsidRPr="00CB60E7">
        <w:t>–</w:t>
      </w:r>
      <w:r w:rsidRPr="00CB60E7">
        <w:tab/>
      </w:r>
      <w:r w:rsidR="00F016AA" w:rsidRPr="007F44F9">
        <w:t>като взе предвид Регламент (ЕС) 2021/818 на Европейския парламент и на Съвета от 20 май 2021 година за създаване на програма „Творческа Европа“ (2021 – 027 г.)</w:t>
      </w:r>
      <w:r w:rsidR="00F016AA" w:rsidRPr="007F44F9">
        <w:rPr>
          <w:rStyle w:val="FootnoteReference"/>
        </w:rPr>
        <w:footnoteReference w:id="1"/>
      </w:r>
      <w:r w:rsidR="00F016AA" w:rsidRPr="007F44F9">
        <w:t>,</w:t>
      </w:r>
    </w:p>
    <w:p w:rsidR="00F016AA" w:rsidRPr="007F44F9" w:rsidRDefault="00CB60E7" w:rsidP="00F016AA">
      <w:pPr>
        <w:pStyle w:val="NormalHanging12a"/>
        <w:widowControl/>
      </w:pPr>
      <w:r w:rsidRPr="00CB60E7">
        <w:t>–</w:t>
      </w:r>
      <w:r w:rsidRPr="00CB60E7">
        <w:tab/>
      </w:r>
      <w:r w:rsidR="00F016AA" w:rsidRPr="007F44F9">
        <w:t>като взе предвид Регламент (EС) № 1295/2013на Европейския парламент и на Съвета от 11 декември 2013 г. за създаване на програма „Творческа Европа“ (2014–2020 г.)</w:t>
      </w:r>
      <w:r w:rsidR="00F016AA" w:rsidRPr="007F44F9">
        <w:rPr>
          <w:rStyle w:val="FootnoteReference"/>
          <w:color w:val="000000"/>
          <w:szCs w:val="24"/>
        </w:rPr>
        <w:footnoteReference w:id="2"/>
      </w:r>
      <w:r w:rsidR="00F016AA" w:rsidRPr="007F44F9">
        <w:t>,</w:t>
      </w:r>
    </w:p>
    <w:p w:rsidR="00F016AA" w:rsidRPr="007F44F9" w:rsidRDefault="00CB60E7" w:rsidP="00F016AA">
      <w:pPr>
        <w:pStyle w:val="NormalHanging12a"/>
        <w:widowControl/>
      </w:pPr>
      <w:r w:rsidRPr="00CB60E7">
        <w:t>–</w:t>
      </w:r>
      <w:r w:rsidRPr="00CB60E7">
        <w:tab/>
      </w:r>
      <w:r w:rsidR="00F016AA" w:rsidRPr="007F44F9">
        <w:t>като взе предвид предложението на Комисията от 5 май 2018 г. за регламент на Европейския парламент и на Съвета за създаване на програма „Творческа Европа“ (2021–2027 г.) и за отмяна на Регламент (ЕС) № 1295/2013 (COM(2018)0366),</w:t>
      </w:r>
    </w:p>
    <w:p w:rsidR="00F016AA" w:rsidRPr="007F44F9" w:rsidRDefault="00CB60E7" w:rsidP="00F016AA">
      <w:pPr>
        <w:pStyle w:val="NormalHanging12a"/>
        <w:widowControl/>
      </w:pPr>
      <w:r w:rsidRPr="00CB60E7">
        <w:t>–</w:t>
      </w:r>
      <w:r w:rsidRPr="00CB60E7">
        <w:tab/>
      </w:r>
      <w:r w:rsidR="00F016AA" w:rsidRPr="007F44F9">
        <w:t>като взе предвид позицията си на първо четене от 28 март 2019 г. относно предложението за регламент на Европейския парламент и на Съвета за създаване на програма „Творческа Европа“ (2021 – 2027 г.) и за отмяна на Регламент (ЕС) № 1295/2013</w:t>
      </w:r>
      <w:r w:rsidR="00F016AA" w:rsidRPr="007F44F9">
        <w:rPr>
          <w:rStyle w:val="FootnoteReference"/>
          <w:color w:val="000000"/>
        </w:rPr>
        <w:footnoteReference w:id="3"/>
      </w:r>
      <w:r w:rsidR="00F016AA" w:rsidRPr="007F44F9">
        <w:t>,</w:t>
      </w:r>
    </w:p>
    <w:p w:rsidR="00F016AA" w:rsidRPr="007F44F9" w:rsidRDefault="00CB60E7" w:rsidP="00F016AA">
      <w:pPr>
        <w:pStyle w:val="NormalHanging12a"/>
        <w:widowControl/>
      </w:pPr>
      <w:r w:rsidRPr="00CB60E7">
        <w:t>–</w:t>
      </w:r>
      <w:r w:rsidRPr="00CB60E7">
        <w:tab/>
      </w:r>
      <w:r w:rsidR="00F016AA" w:rsidRPr="007F44F9">
        <w:t>като взе предвид становището на Европейския икономически и социален комитет от 12 декември 2018 г. относно „Предложение за регламент на Европейския парламент и на Съвета за създаване на програма „Творческа Европа“ (2021 – 2027 г.) и за отмяна на Регламент (ЕС) № 1295/2013“</w:t>
      </w:r>
      <w:r w:rsidR="00F016AA" w:rsidRPr="007F44F9">
        <w:rPr>
          <w:rStyle w:val="FootnoteReference"/>
        </w:rPr>
        <w:footnoteReference w:id="4"/>
      </w:r>
      <w:r w:rsidR="00F016AA" w:rsidRPr="007F44F9">
        <w:t>,</w:t>
      </w:r>
    </w:p>
    <w:p w:rsidR="00F016AA" w:rsidRPr="007F44F9" w:rsidRDefault="00CB60E7" w:rsidP="00F016AA">
      <w:pPr>
        <w:pStyle w:val="NormalHanging12a"/>
        <w:widowControl/>
      </w:pPr>
      <w:r w:rsidRPr="00CB60E7">
        <w:lastRenderedPageBreak/>
        <w:t>–</w:t>
      </w:r>
      <w:r w:rsidRPr="00CB60E7">
        <w:tab/>
      </w:r>
      <w:r w:rsidR="00F016AA" w:rsidRPr="007F44F9">
        <w:t>като взе предвид становището на Европейския комитет на регионите от 6 февруари 2019 г. относно „Творческа Европа и Нова европейска програма за култура“</w:t>
      </w:r>
      <w:r w:rsidR="00F016AA" w:rsidRPr="007F44F9">
        <w:rPr>
          <w:rStyle w:val="FootnoteReference"/>
          <w:color w:val="000000"/>
          <w:szCs w:val="24"/>
        </w:rPr>
        <w:footnoteReference w:id="5"/>
      </w:r>
      <w:r w:rsidR="00F016AA" w:rsidRPr="007F44F9">
        <w:t>,</w:t>
      </w:r>
    </w:p>
    <w:p w:rsidR="00F016AA" w:rsidRPr="007F44F9" w:rsidRDefault="00CB60E7" w:rsidP="00F016AA">
      <w:pPr>
        <w:pStyle w:val="NormalHanging12a"/>
        <w:widowControl/>
      </w:pPr>
      <w:r w:rsidRPr="00CB60E7">
        <w:t>–</w:t>
      </w:r>
      <w:r w:rsidRPr="00CB60E7">
        <w:tab/>
      </w:r>
      <w:r w:rsidR="00F016AA" w:rsidRPr="007F44F9">
        <w:t>като взе предвид доклада на Комисията от 30 април 2018 г., озаглавен „Междинна оценка на програмата „Творческа Европа“ (2014 – 2020 г.)“ (COM(2018)0248),</w:t>
      </w:r>
    </w:p>
    <w:p w:rsidR="00F016AA" w:rsidRPr="007F44F9" w:rsidRDefault="00CB60E7" w:rsidP="00F016AA">
      <w:pPr>
        <w:pStyle w:val="NormalHanging12a"/>
        <w:widowControl/>
      </w:pPr>
      <w:r w:rsidRPr="00CB60E7">
        <w:t>–</w:t>
      </w:r>
      <w:r w:rsidRPr="00CB60E7">
        <w:tab/>
      </w:r>
      <w:r w:rsidR="00F016AA" w:rsidRPr="007F44F9">
        <w:t>като взе предвид Решение за изпълнение C(2023)3227 на Комисията от 5 юни 2023 г. за изменение на Решение за изпълнение C(2021)3563 относно финансирането на програмата „Творческа Европа“ за периода 2021–2025 г. и приемането на работните програми за 2021, 2022 и 2023 година,</w:t>
      </w:r>
    </w:p>
    <w:p w:rsidR="00F016AA" w:rsidRPr="007F44F9" w:rsidRDefault="00CB60E7" w:rsidP="00F016AA">
      <w:pPr>
        <w:pStyle w:val="NormalHanging12a"/>
        <w:widowControl/>
      </w:pPr>
      <w:r w:rsidRPr="00CB60E7">
        <w:t>–</w:t>
      </w:r>
      <w:r w:rsidRPr="00CB60E7">
        <w:tab/>
      </w:r>
      <w:r w:rsidR="00F016AA" w:rsidRPr="007F44F9">
        <w:t>като взе предвид Решение за изпълнение C(2022)6138 на Комисията от 31 август 2022 г. за изменение на Решение за изпълнение C(2021)3563 относно финансирането на програмата „Творческа Европа“ за периода 2021–2023 г. и приемането на работните програми за 2021 и 2022 година,</w:t>
      </w:r>
    </w:p>
    <w:p w:rsidR="00F016AA" w:rsidRPr="007F44F9" w:rsidRDefault="00CB60E7" w:rsidP="00F016AA">
      <w:pPr>
        <w:pStyle w:val="NormalHanging12a"/>
        <w:widowControl/>
      </w:pPr>
      <w:r w:rsidRPr="00CB60E7">
        <w:t>–</w:t>
      </w:r>
      <w:r w:rsidRPr="00CB60E7">
        <w:tab/>
      </w:r>
      <w:r w:rsidR="00F016AA" w:rsidRPr="007F44F9">
        <w:t>като взе предвид Решение за изпълнение C(2021)3563 на Комисията от 26 май 2021 г. за приемане на работната програма за изпълнението на програмата „Творческа Европа“ за 2021 година,</w:t>
      </w:r>
    </w:p>
    <w:p w:rsidR="00F016AA" w:rsidRPr="007F44F9" w:rsidRDefault="00CB60E7" w:rsidP="00F016AA">
      <w:pPr>
        <w:pStyle w:val="NormalHanging12a"/>
        <w:widowControl/>
      </w:pPr>
      <w:r w:rsidRPr="00CB60E7">
        <w:t>–</w:t>
      </w:r>
      <w:r w:rsidRPr="00CB60E7">
        <w:tab/>
      </w:r>
      <w:r w:rsidR="00F016AA" w:rsidRPr="007F44F9">
        <w:t>като взе предвид годишната работна програма на Комисията за 2022 г. за изпълнението на програмата „Творческа Европа“,</w:t>
      </w:r>
    </w:p>
    <w:p w:rsidR="00F016AA" w:rsidRPr="007F44F9" w:rsidRDefault="00CB60E7" w:rsidP="00F016AA">
      <w:pPr>
        <w:pStyle w:val="NormalHanging12a"/>
        <w:widowControl/>
      </w:pPr>
      <w:r w:rsidRPr="00CB60E7">
        <w:t>–</w:t>
      </w:r>
      <w:r w:rsidRPr="00CB60E7">
        <w:tab/>
      </w:r>
      <w:r w:rsidR="00F016AA" w:rsidRPr="007F44F9">
        <w:t>като взе предвид годишната работна програма на Комисията за 2021 г. за изпълнението на програмата „Творческа Европа“,</w:t>
      </w:r>
    </w:p>
    <w:p w:rsidR="00F016AA" w:rsidRPr="007F44F9" w:rsidRDefault="00CB60E7" w:rsidP="00F016AA">
      <w:pPr>
        <w:pStyle w:val="NormalHanging12a"/>
        <w:widowControl/>
      </w:pPr>
      <w:r w:rsidRPr="00CB60E7">
        <w:t>–</w:t>
      </w:r>
      <w:r w:rsidRPr="00CB60E7">
        <w:tab/>
      </w:r>
      <w:r w:rsidR="00F016AA" w:rsidRPr="007F44F9">
        <w:t xml:space="preserve">като взе предвид съобщението на Комисията от 11 юли 2023 г., озаглавено „Инициатива на ЕС относно </w:t>
      </w:r>
      <w:proofErr w:type="spellStart"/>
      <w:r w:rsidR="00F016AA" w:rsidRPr="007F44F9">
        <w:t>Web</w:t>
      </w:r>
      <w:proofErr w:type="spellEnd"/>
      <w:r w:rsidR="00F016AA" w:rsidRPr="007F44F9">
        <w:t xml:space="preserve"> 4.0 и виртуалните светове: начален старт на следващия технологичен преход“ (COM(2023)0442),</w:t>
      </w:r>
    </w:p>
    <w:p w:rsidR="00F016AA" w:rsidRPr="007F44F9" w:rsidRDefault="00CB60E7" w:rsidP="00F016AA">
      <w:pPr>
        <w:pStyle w:val="NormalHanging12a"/>
        <w:widowControl/>
      </w:pPr>
      <w:r w:rsidRPr="00CB60E7">
        <w:t>–</w:t>
      </w:r>
      <w:r w:rsidRPr="00CB60E7">
        <w:tab/>
      </w:r>
      <w:r w:rsidR="00F016AA" w:rsidRPr="007F44F9">
        <w:t>като взе предвид съобщението на Комисията от 3 декември 2020 г., озаглавено „Европейските медии в цифровото десетилетие: План за действие в подкрепа на възстановяването и трансформацията“ (COM(2020)0784),</w:t>
      </w:r>
    </w:p>
    <w:p w:rsidR="00F016AA" w:rsidRPr="007F44F9" w:rsidRDefault="00CB60E7" w:rsidP="00F016AA">
      <w:pPr>
        <w:pStyle w:val="NormalHanging12a"/>
        <w:widowControl/>
      </w:pPr>
      <w:r w:rsidRPr="00CB60E7">
        <w:t>–</w:t>
      </w:r>
      <w:r w:rsidRPr="00CB60E7">
        <w:tab/>
      </w:r>
      <w:r w:rsidR="00F016AA" w:rsidRPr="007F44F9">
        <w:t>като взе предвид съобщението на Комисията от 22 май 2018 г., озаглавено „Нова европейска програма за култура“ (COM(2018)0267),</w:t>
      </w:r>
    </w:p>
    <w:p w:rsidR="00F016AA" w:rsidRPr="007F44F9" w:rsidRDefault="00CB60E7" w:rsidP="00F016AA">
      <w:pPr>
        <w:pStyle w:val="NormalHanging12a"/>
        <w:widowControl/>
      </w:pPr>
      <w:r w:rsidRPr="00CB60E7">
        <w:t>–</w:t>
      </w:r>
      <w:r w:rsidRPr="00CB60E7">
        <w:tab/>
      </w:r>
      <w:r w:rsidR="00F016AA" w:rsidRPr="007F44F9">
        <w:t>като взе предвид резолюцията на Съвета от 7 декември 2022 г. относно работния план за културата за периода 2023 – 2026 година</w:t>
      </w:r>
      <w:r w:rsidR="00F016AA" w:rsidRPr="007F44F9">
        <w:rPr>
          <w:rStyle w:val="FootnoteReference"/>
          <w:color w:val="000000"/>
          <w:szCs w:val="24"/>
        </w:rPr>
        <w:footnoteReference w:id="6"/>
      </w:r>
      <w:r w:rsidR="00F016AA" w:rsidRPr="007F44F9">
        <w:t>,</w:t>
      </w:r>
    </w:p>
    <w:p w:rsidR="00F016AA" w:rsidRPr="007F44F9" w:rsidRDefault="00CB60E7" w:rsidP="00F016AA">
      <w:pPr>
        <w:pStyle w:val="NormalHanging12a"/>
        <w:widowControl/>
      </w:pPr>
      <w:r w:rsidRPr="00CB60E7">
        <w:t>–</w:t>
      </w:r>
      <w:r w:rsidRPr="00CB60E7">
        <w:tab/>
      </w:r>
      <w:r w:rsidR="00F016AA" w:rsidRPr="007F44F9">
        <w:t>като взе предвид своята резолюция от 14 септември 2023 г. относно бъдещето на европейския сектор на книгоиздаването</w:t>
      </w:r>
      <w:r w:rsidR="00F016AA" w:rsidRPr="007F44F9">
        <w:rPr>
          <w:rStyle w:val="FootnoteReference"/>
        </w:rPr>
        <w:footnoteReference w:id="7"/>
      </w:r>
      <w:r w:rsidR="00F016AA" w:rsidRPr="007F44F9">
        <w:t>,</w:t>
      </w:r>
    </w:p>
    <w:p w:rsidR="00F016AA" w:rsidRPr="007F44F9" w:rsidRDefault="00CB60E7" w:rsidP="00F016AA">
      <w:pPr>
        <w:pStyle w:val="NormalHanging12a"/>
        <w:widowControl/>
      </w:pPr>
      <w:r w:rsidRPr="00CB60E7">
        <w:t>–</w:t>
      </w:r>
      <w:r w:rsidRPr="00CB60E7">
        <w:tab/>
      </w:r>
      <w:r w:rsidR="00F016AA" w:rsidRPr="007F44F9">
        <w:t>като взе предвид своята резолюция от 14 декември 2022 г. относно изпълнението на новата европейска програма за култура и стратегията на ЕС за международните културни отношения</w:t>
      </w:r>
      <w:r w:rsidR="00F016AA" w:rsidRPr="007F44F9">
        <w:rPr>
          <w:rStyle w:val="FootnoteReference"/>
          <w:color w:val="000000"/>
          <w:szCs w:val="24"/>
        </w:rPr>
        <w:footnoteReference w:id="8"/>
      </w:r>
      <w:r w:rsidR="00F016AA" w:rsidRPr="007F44F9">
        <w:t>,</w:t>
      </w:r>
    </w:p>
    <w:p w:rsidR="00F016AA" w:rsidRPr="007F44F9" w:rsidRDefault="00CB60E7" w:rsidP="00F016AA">
      <w:pPr>
        <w:pStyle w:val="NormalHanging12a"/>
        <w:widowControl/>
      </w:pPr>
      <w:r w:rsidRPr="00CB60E7">
        <w:lastRenderedPageBreak/>
        <w:t>–</w:t>
      </w:r>
      <w:r w:rsidRPr="00CB60E7">
        <w:tab/>
      </w:r>
      <w:r w:rsidR="00F016AA" w:rsidRPr="007F44F9">
        <w:t>като взе предвид своята резолюция от 20 октомври 2021 г. относно европейските медии в цифровото десетилетие: план за действие в подкрепа на възстановяването и трансформацията</w:t>
      </w:r>
      <w:r w:rsidR="00F016AA" w:rsidRPr="007F44F9">
        <w:rPr>
          <w:rStyle w:val="FootnoteReference"/>
          <w:color w:val="000000"/>
          <w:szCs w:val="24"/>
        </w:rPr>
        <w:footnoteReference w:id="9"/>
      </w:r>
      <w:r w:rsidR="00F016AA" w:rsidRPr="007F44F9">
        <w:t>,</w:t>
      </w:r>
    </w:p>
    <w:p w:rsidR="00F016AA" w:rsidRPr="007F44F9" w:rsidRDefault="00CB60E7" w:rsidP="00F016AA">
      <w:pPr>
        <w:pStyle w:val="NormalHanging12a"/>
        <w:widowControl/>
      </w:pPr>
      <w:r w:rsidRPr="00CB60E7">
        <w:t>–</w:t>
      </w:r>
      <w:r w:rsidRPr="00CB60E7">
        <w:tab/>
      </w:r>
      <w:r w:rsidR="00F016AA" w:rsidRPr="007F44F9">
        <w:t>като взе предвид своята резолюция от 17 април 2020 г. относно координирани действия на ЕС за борба с пандемията от COVID‑19 и последиците от нея</w:t>
      </w:r>
      <w:r w:rsidR="00F016AA" w:rsidRPr="007F44F9">
        <w:rPr>
          <w:rStyle w:val="FootnoteReference"/>
          <w:color w:val="000000"/>
          <w:szCs w:val="24"/>
        </w:rPr>
        <w:footnoteReference w:id="10"/>
      </w:r>
      <w:r w:rsidR="00F016AA" w:rsidRPr="007F44F9">
        <w:t>,</w:t>
      </w:r>
    </w:p>
    <w:p w:rsidR="00F016AA" w:rsidRPr="007F44F9" w:rsidRDefault="00CB60E7" w:rsidP="00F016AA">
      <w:pPr>
        <w:pStyle w:val="NormalHanging12a"/>
        <w:widowControl/>
      </w:pPr>
      <w:r w:rsidRPr="00CB60E7">
        <w:t>–</w:t>
      </w:r>
      <w:r w:rsidRPr="00CB60E7">
        <w:tab/>
      </w:r>
      <w:r w:rsidR="00F016AA" w:rsidRPr="007F44F9">
        <w:t xml:space="preserve">като взе предвид своята резолюция от 15 септември 2020 г. относно ефективните мерки за повишаване на </w:t>
      </w:r>
      <w:proofErr w:type="spellStart"/>
      <w:r w:rsidR="00F016AA" w:rsidRPr="007F44F9">
        <w:t>екологосъобразността</w:t>
      </w:r>
      <w:proofErr w:type="spellEnd"/>
      <w:r w:rsidR="00F016AA" w:rsidRPr="007F44F9">
        <w:t xml:space="preserve"> на програмите „Еразъм+“ и „Творческа Европа“, както и на Европейския корпус за солидарност</w:t>
      </w:r>
      <w:r w:rsidR="00F016AA" w:rsidRPr="007F44F9">
        <w:rPr>
          <w:rStyle w:val="FootnoteReference"/>
        </w:rPr>
        <w:footnoteReference w:id="11"/>
      </w:r>
      <w:r w:rsidR="00F016AA" w:rsidRPr="007F44F9">
        <w:t>,</w:t>
      </w:r>
    </w:p>
    <w:p w:rsidR="00F016AA" w:rsidRPr="007F44F9" w:rsidRDefault="00CB60E7" w:rsidP="00F016AA">
      <w:pPr>
        <w:pStyle w:val="NormalHanging12a"/>
        <w:widowControl/>
      </w:pPr>
      <w:r w:rsidRPr="00CB60E7">
        <w:t>–</w:t>
      </w:r>
      <w:r w:rsidRPr="00CB60E7">
        <w:tab/>
      </w:r>
      <w:r w:rsidR="00F016AA" w:rsidRPr="007F44F9">
        <w:t>като взе предвид своята резолюция от 17 септември 2020 г. относно културното възстановяване на Европа</w:t>
      </w:r>
      <w:r w:rsidR="00F016AA" w:rsidRPr="007F44F9">
        <w:rPr>
          <w:rStyle w:val="FootnoteReference"/>
        </w:rPr>
        <w:footnoteReference w:id="12"/>
      </w:r>
      <w:r w:rsidR="00F016AA" w:rsidRPr="007F44F9">
        <w:t xml:space="preserve">, </w:t>
      </w:r>
    </w:p>
    <w:p w:rsidR="00F016AA" w:rsidRPr="007F44F9" w:rsidRDefault="00CB60E7" w:rsidP="00F016AA">
      <w:pPr>
        <w:pStyle w:val="NormalHanging12a"/>
        <w:widowControl/>
      </w:pPr>
      <w:r w:rsidRPr="00CB60E7">
        <w:t>–</w:t>
      </w:r>
      <w:r w:rsidRPr="00CB60E7">
        <w:tab/>
      </w:r>
      <w:r w:rsidR="00F016AA" w:rsidRPr="007F44F9">
        <w:t xml:space="preserve">като взе предвид член 54 от своя Правилник за дейността, както и член 1, параграф 1, буква д) от решението на </w:t>
      </w:r>
      <w:proofErr w:type="spellStart"/>
      <w:r w:rsidR="00F016AA" w:rsidRPr="007F44F9">
        <w:t>Председателския</w:t>
      </w:r>
      <w:proofErr w:type="spellEnd"/>
      <w:r w:rsidR="00F016AA" w:rsidRPr="007F44F9">
        <w:t xml:space="preserve"> съвет от 12 декември 2002 г. относно процедурата по разрешаване на изготвянето на доклади по собствена инициатива и приложение 3 към него,</w:t>
      </w:r>
    </w:p>
    <w:p w:rsidR="00F016AA" w:rsidRPr="007F44F9" w:rsidRDefault="00CB60E7" w:rsidP="00F016AA">
      <w:pPr>
        <w:pStyle w:val="NormalHanging12a"/>
        <w:widowControl/>
      </w:pPr>
      <w:r w:rsidRPr="00CB60E7">
        <w:t>–</w:t>
      </w:r>
      <w:r w:rsidRPr="00CB60E7">
        <w:tab/>
      </w:r>
      <w:r w:rsidR="00F016AA" w:rsidRPr="007F44F9">
        <w:t>като взе предвид доклада на комисията по култура и образование (A9-0425/2023),</w:t>
      </w:r>
    </w:p>
    <w:p w:rsidR="00F016AA" w:rsidRPr="007F44F9" w:rsidRDefault="00F016AA" w:rsidP="00F016AA">
      <w:pPr>
        <w:pStyle w:val="NormalHanging12a"/>
        <w:widowControl/>
        <w:rPr>
          <w:rFonts w:eastAsiaTheme="minorHAnsi"/>
        </w:rPr>
      </w:pPr>
      <w:r w:rsidRPr="007F44F9">
        <w:t>А.</w:t>
      </w:r>
      <w:r w:rsidRPr="007F44F9">
        <w:tab/>
        <w:t>като има предвид, че събраните данни потвърждават значителния интерес на секторите на културата и творчеството към програмата; като има предвид, че по-високите проценти на съфинансиране за различни действия по направленията „Култура“ и „Медии“ се оказаха полезни за подкрепата на културните и творческите екосистеми и предоставят по-добри възможности и на по-малки проекти, особено след пандемията;</w:t>
      </w:r>
    </w:p>
    <w:p w:rsidR="00F016AA" w:rsidRPr="007F44F9" w:rsidRDefault="00F016AA" w:rsidP="00F016AA">
      <w:pPr>
        <w:pStyle w:val="NormalHanging12a"/>
        <w:widowControl/>
        <w:rPr>
          <w:rFonts w:eastAsiaTheme="minorHAnsi"/>
        </w:rPr>
      </w:pPr>
      <w:r w:rsidRPr="007F44F9">
        <w:t>Б.</w:t>
      </w:r>
      <w:r w:rsidRPr="007F44F9">
        <w:tab/>
        <w:t>като има предвид, че програмата „Творческа Европа“ за периода 2021–2027 г. предвижда общо увеличение на бюджета с около 68% в сравнение с предходната; като има предвид, че това увеличение се обезценява значително поради постоянно увеличаващия се темп на инфлация</w:t>
      </w:r>
      <w:r w:rsidRPr="007F44F9">
        <w:rPr>
          <w:rStyle w:val="FootnoteReference"/>
          <w:rFonts w:eastAsiaTheme="minorHAnsi"/>
          <w:lang w:eastAsia="en-US"/>
        </w:rPr>
        <w:footnoteReference w:id="13"/>
      </w:r>
      <w:r w:rsidRPr="007F44F9">
        <w:t>, свързан с енергийните разходи; като има предвид, че общият бюджет беше използван авансово с една трета от финансовия пакет, заделен през 2021 и 2022 г., за да се преодолеят, наред с другото, последиците от пандемията от COVID-19;</w:t>
      </w:r>
    </w:p>
    <w:p w:rsidR="00F016AA" w:rsidRPr="007F44F9" w:rsidRDefault="00F016AA" w:rsidP="00F016AA">
      <w:pPr>
        <w:pStyle w:val="NormalHanging12a"/>
        <w:widowControl/>
        <w:rPr>
          <w:rFonts w:eastAsiaTheme="minorHAnsi"/>
        </w:rPr>
      </w:pPr>
      <w:r w:rsidRPr="007F44F9">
        <w:t>В.</w:t>
      </w:r>
      <w:r w:rsidRPr="007F44F9">
        <w:tab/>
        <w:t>като има предвид, че „Творческа Европа“ е единствената програма, която предоставя подкрепа на всички сектори на културата и творчеството, чиито дейности се основават на културни и художествени ценности, по-специално чрез подкрепа за творците и хората на изкуството, например автори и изпълнители, в допълнение към малките проекти;</w:t>
      </w:r>
    </w:p>
    <w:p w:rsidR="00F016AA" w:rsidRPr="007F44F9" w:rsidRDefault="00F016AA" w:rsidP="00F016AA">
      <w:pPr>
        <w:pStyle w:val="NormalHanging12a"/>
        <w:widowControl/>
        <w:rPr>
          <w:rFonts w:eastAsiaTheme="minorHAnsi"/>
        </w:rPr>
      </w:pPr>
      <w:r w:rsidRPr="007F44F9">
        <w:t>Г.</w:t>
      </w:r>
      <w:r w:rsidRPr="007F44F9">
        <w:tab/>
        <w:t xml:space="preserve">като има предвид, че програмата признава присъщата и художествената стойност на културата, която следва да остане в центъра на програмата, като същевременно постига еднакво равновесие с по-широкия ѝ принос за иновациите и растежа; като има предвид, че „Творческа Европа“, в качеството си финансирана от ЕС програма, следва да допринася за прилагането на принципите на Европейския </w:t>
      </w:r>
      <w:r w:rsidRPr="007F44F9">
        <w:lastRenderedPageBreak/>
        <w:t>стълб на социалните права и да насърчава справедливите практики и условията на труд в секторите на културата и творчеството;</w:t>
      </w:r>
    </w:p>
    <w:p w:rsidR="00F016AA" w:rsidRPr="007F44F9" w:rsidRDefault="00F016AA" w:rsidP="00F016AA">
      <w:pPr>
        <w:pStyle w:val="NormalHanging12a"/>
        <w:widowControl/>
        <w:rPr>
          <w:rFonts w:eastAsiaTheme="minorHAnsi"/>
        </w:rPr>
      </w:pPr>
      <w:r w:rsidRPr="007F44F9">
        <w:t>Д.</w:t>
      </w:r>
      <w:r w:rsidRPr="007F44F9">
        <w:tab/>
        <w:t xml:space="preserve">като има предвид, че сред основните новости на програмата е това, че тя обединява </w:t>
      </w:r>
      <w:proofErr w:type="spellStart"/>
      <w:r w:rsidRPr="007F44F9">
        <w:t>междусекторните</w:t>
      </w:r>
      <w:proofErr w:type="spellEnd"/>
      <w:r w:rsidRPr="007F44F9">
        <w:t xml:space="preserve"> приоритети за приобщаване, многообразие, по-специално баланса между половете, и екологизиране; като има предвид, че в годишните работни програми за 2021 г. и 2022 г. се обръща специално внимание на насърчаването на социалното приобщаване и равенството между половете; като има предвид, че изпълнението на програмата следва да гарантира най-широко културно участие с оглед на включването, наред с другото, на хора с увреждания и хора в неравностойно положение;</w:t>
      </w:r>
    </w:p>
    <w:p w:rsidR="00F016AA" w:rsidRPr="007F44F9" w:rsidRDefault="00F016AA" w:rsidP="00F016AA">
      <w:pPr>
        <w:pStyle w:val="NormalHanging12a"/>
        <w:widowControl/>
        <w:rPr>
          <w:rFonts w:eastAsiaTheme="minorHAnsi"/>
        </w:rPr>
      </w:pPr>
      <w:r w:rsidRPr="007F44F9">
        <w:t>Е.</w:t>
      </w:r>
      <w:r w:rsidRPr="007F44F9">
        <w:tab/>
        <w:t>като има предвид, че програмата има за цел да подкрепи цифровия преход на секторите на културата и творчеството, тъй като технологиите промениха начина, по който тези сектори създават, произвеждат и разпространяват съдържание; като има предвид, че макар цифровизацията да може да предложи възможности за увеличаване на културното участие, тя също така може да доведе и до предизвикателства, различни от тези на аналоговата епоха;</w:t>
      </w:r>
    </w:p>
    <w:p w:rsidR="00F016AA" w:rsidRPr="007F44F9" w:rsidRDefault="00F016AA" w:rsidP="00F016AA">
      <w:pPr>
        <w:pStyle w:val="NormalHanging12a"/>
        <w:widowControl/>
        <w:rPr>
          <w:rFonts w:eastAsiaTheme="minorHAnsi"/>
        </w:rPr>
      </w:pPr>
      <w:r w:rsidRPr="007F44F9">
        <w:t>Ж.</w:t>
      </w:r>
      <w:r w:rsidRPr="007F44F9">
        <w:tab/>
        <w:t xml:space="preserve">като има предвид, че административните процедури за управление на програмата „Творческа Европа“ (кандидатстване, оценка и докладване) все още се считат от значителен брой бенефициери и потенциални бенефициери за изключително </w:t>
      </w:r>
      <w:proofErr w:type="spellStart"/>
      <w:r w:rsidRPr="007F44F9">
        <w:t>времеемки</w:t>
      </w:r>
      <w:proofErr w:type="spellEnd"/>
      <w:r w:rsidRPr="007F44F9">
        <w:t xml:space="preserve"> и обременяващи, въпреки известния напредък по отношение на опростяването;</w:t>
      </w:r>
    </w:p>
    <w:p w:rsidR="00F016AA" w:rsidRPr="007F44F9" w:rsidRDefault="00F016AA" w:rsidP="00F016AA">
      <w:pPr>
        <w:pStyle w:val="NormalHanging12a"/>
        <w:widowControl/>
        <w:rPr>
          <w:rFonts w:eastAsiaTheme="minorHAnsi"/>
        </w:rPr>
      </w:pPr>
      <w:r w:rsidRPr="007F44F9">
        <w:t>З.</w:t>
      </w:r>
      <w:r w:rsidRPr="007F44F9">
        <w:tab/>
        <w:t xml:space="preserve">като има предвид, че обременителните административни процедури за управление често обезкуражават участието на по-малко опитни кандидати, включително млади творци, в допълнение към малките организации, особено тези от </w:t>
      </w:r>
      <w:proofErr w:type="spellStart"/>
      <w:r w:rsidRPr="007F44F9">
        <w:t>необлагодетелствани</w:t>
      </w:r>
      <w:proofErr w:type="spellEnd"/>
      <w:r w:rsidRPr="007F44F9">
        <w:t xml:space="preserve"> райони; като има предвид, че процедурата за кандидатстване трябва да бъде опростена и подобрена, главно поради увеличаването на броя на процедурните стъпки и нейния нелесен за ползване интерфейс, който може да не е съвместим с широко използваните приложения;</w:t>
      </w:r>
    </w:p>
    <w:p w:rsidR="00F016AA" w:rsidRPr="007F44F9" w:rsidRDefault="00F016AA" w:rsidP="00F016AA">
      <w:pPr>
        <w:pStyle w:val="NormalHanging12a"/>
        <w:widowControl/>
        <w:rPr>
          <w:rFonts w:eastAsiaTheme="minorHAnsi"/>
        </w:rPr>
      </w:pPr>
      <w:r w:rsidRPr="007F44F9">
        <w:t>И.</w:t>
      </w:r>
      <w:r w:rsidRPr="007F44F9">
        <w:tab/>
        <w:t>като има предвид, че платформата за програмата включва сложна процедура за докладване, която е трудна за навигация и която първоначално не е била проектирана за вида проекти, финансирани от програмата;</w:t>
      </w:r>
    </w:p>
    <w:p w:rsidR="00F016AA" w:rsidRPr="007F44F9" w:rsidRDefault="00F016AA" w:rsidP="00F016AA">
      <w:pPr>
        <w:pStyle w:val="NormalHanging12a"/>
        <w:widowControl/>
      </w:pPr>
      <w:r w:rsidRPr="007F44F9">
        <w:t>Й.</w:t>
      </w:r>
      <w:r w:rsidRPr="007F44F9">
        <w:tab/>
        <w:t>като има предвид, че направление „Култура“ насърчава изграждането на мрежи от творчески общности и поощрява трансграничното сътрудничество със специален акцент върху проектите за сътрудничество; като има предвид, че през първите две години от изпълнението схемата за проекти за сътрудничество се очерта като най-популярната в рамките на направление „Култура“, предоставяйки подкрепа за 291 проекта; като има предвид, че Комисията следва да разгледа възможността за разширяване на информационната дейност на направление „Култура“, за да се увеличи участието във всички културни и творчески общности, включително тези от периферните и селските райони;</w:t>
      </w:r>
    </w:p>
    <w:p w:rsidR="00F016AA" w:rsidRPr="007F44F9" w:rsidRDefault="00F016AA" w:rsidP="00F016AA">
      <w:pPr>
        <w:pStyle w:val="NormalHanging12a"/>
        <w:widowControl/>
      </w:pPr>
      <w:r w:rsidRPr="007F44F9">
        <w:t>К.</w:t>
      </w:r>
      <w:r w:rsidRPr="007F44F9">
        <w:tab/>
        <w:t>като има предвид, че направлението „Медии“ играе значителна роля за насърчаване на растежа и устойчивостта в аудио-визуалния сектор; като има предвид, че е привлякло 2124 кандидати през двегодишния период 2021–2022 г., със среден процент на успеваемост от 66%;</w:t>
      </w:r>
    </w:p>
    <w:p w:rsidR="00F016AA" w:rsidRPr="007F44F9" w:rsidRDefault="00F016AA" w:rsidP="00F016AA">
      <w:pPr>
        <w:pStyle w:val="NormalHanging12a"/>
        <w:widowControl/>
        <w:rPr>
          <w:rFonts w:eastAsiaTheme="minorHAnsi"/>
        </w:rPr>
      </w:pPr>
      <w:r w:rsidRPr="007F44F9">
        <w:lastRenderedPageBreak/>
        <w:t>Л.</w:t>
      </w:r>
      <w:r w:rsidRPr="007F44F9">
        <w:tab/>
        <w:t>като има предвид, че подготвителното действие „</w:t>
      </w:r>
      <w:proofErr w:type="spellStart"/>
      <w:r w:rsidRPr="007F44F9">
        <w:t>Writing</w:t>
      </w:r>
      <w:proofErr w:type="spellEnd"/>
      <w:r w:rsidRPr="007F44F9">
        <w:t xml:space="preserve"> </w:t>
      </w:r>
      <w:proofErr w:type="spellStart"/>
      <w:r w:rsidRPr="007F44F9">
        <w:t>European</w:t>
      </w:r>
      <w:proofErr w:type="spellEnd"/>
      <w:r w:rsidRPr="007F44F9">
        <w:t>“, подкрепяно от 2021 г., е разработено с цел да се подпомогнат творците, по-специално авторите, при измислянето и разработването на висококачествени художествени поредици, които могат да пътуват през границите и да достигат до нова аудитория;</w:t>
      </w:r>
    </w:p>
    <w:p w:rsidR="00F016AA" w:rsidRPr="007F44F9" w:rsidRDefault="00F016AA" w:rsidP="00F016AA">
      <w:pPr>
        <w:pStyle w:val="NormalHanging12a"/>
        <w:widowControl/>
        <w:rPr>
          <w:rFonts w:eastAsiaTheme="minorHAnsi"/>
        </w:rPr>
      </w:pPr>
      <w:r w:rsidRPr="007F44F9">
        <w:t>М.</w:t>
      </w:r>
      <w:r w:rsidRPr="007F44F9">
        <w:tab/>
        <w:t xml:space="preserve">като има предвид, че </w:t>
      </w:r>
      <w:proofErr w:type="spellStart"/>
      <w:r w:rsidRPr="007F44F9">
        <w:t>междусекторното</w:t>
      </w:r>
      <w:proofErr w:type="spellEnd"/>
      <w:r w:rsidRPr="007F44F9">
        <w:t xml:space="preserve"> направление съдържа по-голям брой новости, отразяващи нови цели; като има предвид, че </w:t>
      </w:r>
      <w:proofErr w:type="spellStart"/>
      <w:r w:rsidRPr="007F44F9">
        <w:t>междусекторните</w:t>
      </w:r>
      <w:proofErr w:type="spellEnd"/>
      <w:r w:rsidRPr="007F44F9">
        <w:t xml:space="preserve"> действия в подкрепа на сектора на новинарските медии представляват съвсем нов акцент на програмата „Творческа Европа“;</w:t>
      </w:r>
    </w:p>
    <w:p w:rsidR="00F016AA" w:rsidRPr="007F44F9" w:rsidRDefault="00F016AA" w:rsidP="00F016AA">
      <w:pPr>
        <w:pStyle w:val="NormalHanging12a"/>
        <w:widowControl/>
      </w:pPr>
      <w:r w:rsidRPr="007F44F9">
        <w:t>Н.</w:t>
      </w:r>
      <w:r w:rsidRPr="007F44F9">
        <w:tab/>
        <w:t>като има предвид, че повишаването на мобилността в секторите на културата и творчеството в Европа е специфична цел на програмата, преследвана чрез специална нова схема в рамките на направление „Култура“;</w:t>
      </w:r>
    </w:p>
    <w:p w:rsidR="00F016AA" w:rsidRPr="007F44F9" w:rsidRDefault="00F016AA" w:rsidP="00F016AA">
      <w:pPr>
        <w:pStyle w:val="NormalHanging12a"/>
        <w:widowControl/>
        <w:rPr>
          <w:rFonts w:eastAsiaTheme="minorHAnsi"/>
        </w:rPr>
      </w:pPr>
      <w:r w:rsidRPr="007F44F9">
        <w:t>О.</w:t>
      </w:r>
      <w:r w:rsidRPr="007F44F9">
        <w:tab/>
        <w:t>като има предвид, че „</w:t>
      </w:r>
      <w:proofErr w:type="spellStart"/>
      <w:r w:rsidRPr="007F44F9">
        <w:t>Culture</w:t>
      </w:r>
      <w:proofErr w:type="spellEnd"/>
      <w:r w:rsidRPr="007F44F9">
        <w:t xml:space="preserve"> </w:t>
      </w:r>
      <w:proofErr w:type="spellStart"/>
      <w:r w:rsidRPr="007F44F9">
        <w:t>Moves</w:t>
      </w:r>
      <w:proofErr w:type="spellEnd"/>
      <w:r w:rsidRPr="007F44F9">
        <w:t xml:space="preserve"> </w:t>
      </w:r>
      <w:proofErr w:type="spellStart"/>
      <w:r w:rsidRPr="007F44F9">
        <w:t>Europe</w:t>
      </w:r>
      <w:proofErr w:type="spellEnd"/>
      <w:r w:rsidRPr="007F44F9">
        <w:t xml:space="preserve">“ е най-голямата схема за мобилност в ЕС за секторите на културата и творчеството, която до средата на 2023 г. привлече около 660 заявления; като има предвид, че приблизително 85% от заявленията са от сектори като визуалните изкуства, сценичните изкуства и музиката; </w:t>
      </w:r>
    </w:p>
    <w:p w:rsidR="00F016AA" w:rsidRPr="007F44F9" w:rsidRDefault="00F016AA" w:rsidP="00F016AA">
      <w:pPr>
        <w:pStyle w:val="NormalHanging12a"/>
        <w:widowControl/>
      </w:pPr>
      <w:r w:rsidRPr="007F44F9">
        <w:t>П.</w:t>
      </w:r>
      <w:r w:rsidRPr="007F44F9">
        <w:tab/>
        <w:t xml:space="preserve">като има предвид, че програмата признава значението на музикалния сектор като съществен компонент на европейското културно многообразие, който може да се възползва от хоризонталния подход в рамките на направление „Култура“; като има предвид, че през периода 2021–2022 г. в рамките на инициативата „Music </w:t>
      </w:r>
      <w:proofErr w:type="spellStart"/>
      <w:r w:rsidRPr="007F44F9">
        <w:t>Moves</w:t>
      </w:r>
      <w:proofErr w:type="spellEnd"/>
      <w:r w:rsidRPr="007F44F9">
        <w:t xml:space="preserve"> </w:t>
      </w:r>
      <w:proofErr w:type="spellStart"/>
      <w:r w:rsidRPr="007F44F9">
        <w:t>Europe</w:t>
      </w:r>
      <w:proofErr w:type="spellEnd"/>
      <w:r w:rsidRPr="007F44F9">
        <w:t>“ („Музиката движи Европа“) са отделени 5 милиона евро за повишаване на конкурентоспособността, иновациите и разнообразието на европейския музикален сектор;</w:t>
      </w:r>
    </w:p>
    <w:p w:rsidR="00F016AA" w:rsidRPr="007F44F9" w:rsidRDefault="00F016AA" w:rsidP="00F016AA">
      <w:pPr>
        <w:pStyle w:val="NormalHanging12a"/>
        <w:widowControl/>
      </w:pPr>
      <w:r w:rsidRPr="007F44F9">
        <w:t>Р.</w:t>
      </w:r>
      <w:r w:rsidRPr="007F44F9">
        <w:tab/>
        <w:t>като има предвид, че дейностите в областта на литературния превод играят уникална роля за популяризиране на авторите в чужбина, достигане до нова аудитория и допринасяне за една по-многообразна в културно и езиково отношение Европа;</w:t>
      </w:r>
    </w:p>
    <w:p w:rsidR="00F016AA" w:rsidRPr="007F44F9" w:rsidRDefault="00F016AA" w:rsidP="00F016AA">
      <w:pPr>
        <w:pStyle w:val="NormalHanging12a"/>
        <w:widowControl/>
      </w:pPr>
      <w:r w:rsidRPr="007F44F9">
        <w:t>С.</w:t>
      </w:r>
      <w:r w:rsidRPr="007F44F9">
        <w:tab/>
        <w:t>като има предвид, че общественият източник на подкрепа за аудио-визуалната екосистема в Европа произхожда главно от националното равнище, като направление „Медии“ допълва националните системи чрез подкрепа за проекти с дълготрайно въздействие;</w:t>
      </w:r>
    </w:p>
    <w:p w:rsidR="00F016AA" w:rsidRPr="007F44F9" w:rsidRDefault="00F016AA" w:rsidP="00F016AA">
      <w:pPr>
        <w:pStyle w:val="NormalHanging12a"/>
        <w:widowControl/>
        <w:rPr>
          <w:rFonts w:eastAsiaTheme="minorHAnsi"/>
        </w:rPr>
      </w:pPr>
      <w:r w:rsidRPr="007F44F9">
        <w:t>Т.</w:t>
      </w:r>
      <w:r w:rsidRPr="007F44F9">
        <w:tab/>
        <w:t>като има предвид, че бюрата по програма „Творческа Европа“ играят ключова роля като посредници между Комисията, Европейската изпълнителна агенция за образование и култура (EACEA), кандидатите и бенефициерите; като има предвид, че през периода 2021–2022 г. над 60% от всички кандидати са се свързали със своето местно бюро, преди да подадат заявление;</w:t>
      </w:r>
    </w:p>
    <w:p w:rsidR="00F016AA" w:rsidRPr="007F44F9" w:rsidRDefault="00F016AA" w:rsidP="00F016AA">
      <w:pPr>
        <w:pStyle w:val="NormalHanging12a"/>
        <w:widowControl/>
      </w:pPr>
      <w:r w:rsidRPr="007F44F9">
        <w:t>У.</w:t>
      </w:r>
      <w:r w:rsidRPr="007F44F9">
        <w:tab/>
        <w:t>като има предвид, че с оглед на решаващата роля на бюрата по програма „Творческа Европа“ за популяризиране и информиране на секторите на културата и творчеството относно всички аспекти на програмата, сътрудничеството и обменът между Комисията, включително EACEA, и бюрата „Творческа Европа“ трябва да бъдат засилени и да обхващат обмена на съответна информация относно предстоящите покани за представяне на предложения;</w:t>
      </w:r>
    </w:p>
    <w:p w:rsidR="00F016AA" w:rsidRPr="007F44F9" w:rsidRDefault="00F016AA" w:rsidP="00F016AA">
      <w:pPr>
        <w:pStyle w:val="NormalHanging12a"/>
        <w:widowControl/>
      </w:pPr>
      <w:r w:rsidRPr="007F44F9">
        <w:lastRenderedPageBreak/>
        <w:t>Ф.</w:t>
      </w:r>
      <w:r w:rsidRPr="007F44F9">
        <w:tab/>
        <w:t>като има предвид, че програмата „Творческа Европа“ играе стратегическа роля за засилване на външното измерение на културните отношения на Европейския съюз чрез насърчаване на партньорства между различни участници от секторите на културата и творчеството, като се използва междуличностен подход, в допълнение към насърчаването на културното многообразие в рамките на Европа и извън нея;</w:t>
      </w:r>
    </w:p>
    <w:p w:rsidR="00F016AA" w:rsidRPr="007F44F9" w:rsidRDefault="00F016AA" w:rsidP="00F016AA">
      <w:pPr>
        <w:pStyle w:val="NormalHanging12a"/>
        <w:widowControl/>
      </w:pPr>
      <w:r w:rsidRPr="007F44F9">
        <w:t>Х.</w:t>
      </w:r>
      <w:r w:rsidRPr="007F44F9">
        <w:tab/>
        <w:t>като има предвид, че програмата признава значението на опазването и насърчаването на секторите на изкуствата и занаятите, особено в областта на културното наследство, в допълнение към признаването на тяхната жизненоважна роля за подкрепата както на градската, така и на селската икономика в цяла Европа, както и ролята им за укрепване на културното многообразие;</w:t>
      </w:r>
    </w:p>
    <w:p w:rsidR="00F016AA" w:rsidRPr="007F44F9" w:rsidRDefault="00F016AA" w:rsidP="00F016AA">
      <w:pPr>
        <w:pStyle w:val="NormalHanging12a"/>
        <w:widowControl/>
      </w:pPr>
      <w:r w:rsidRPr="007F44F9">
        <w:t>Ц.</w:t>
      </w:r>
      <w:r w:rsidRPr="007F44F9">
        <w:tab/>
        <w:t xml:space="preserve">като има предвид, че печатът за високи постижения представлява новост в програмата „Творческа Европа“ за периода 2021–2027 г. и бе въведен с цел засилване на полезните взаимодействия и опростяване на търсенето на алтернативно финансиране в случай на бюджетни ограничения; </w:t>
      </w:r>
    </w:p>
    <w:p w:rsidR="00F016AA" w:rsidRPr="007F44F9" w:rsidRDefault="00F016AA" w:rsidP="00F016AA">
      <w:pPr>
        <w:pStyle w:val="NormalHanging12a"/>
        <w:widowControl/>
      </w:pPr>
      <w:r w:rsidRPr="007F44F9">
        <w:t>Ч.</w:t>
      </w:r>
      <w:r w:rsidRPr="007F44F9">
        <w:tab/>
        <w:t>като има предвид, че Европейската столица на културата, като специално действие, е престижна инициатива, която се радва на утвърдено място в световните културни програми и подчертава богатството и уникалността на многообразието от култури и градове от създаването си през 1985 г. насам;</w:t>
      </w:r>
    </w:p>
    <w:p w:rsidR="00F016AA" w:rsidRPr="007F44F9" w:rsidRDefault="00F016AA" w:rsidP="00F016AA">
      <w:pPr>
        <w:pStyle w:val="NormalHanging12a"/>
        <w:widowControl/>
        <w:rPr>
          <w:rFonts w:eastAsiaTheme="minorHAnsi"/>
        </w:rPr>
      </w:pPr>
      <w:r w:rsidRPr="007F44F9">
        <w:t>1.</w:t>
      </w:r>
      <w:r w:rsidRPr="007F44F9">
        <w:tab/>
        <w:t>подчертава, че новото поколение на програмата „Творческа Европа“ продължава да поражда значителен интерес в културния, творческия и аудио-визуалния сектор, както и в новинарските медии, като по трите направления се получават все по-голям брой заявления, което води до пропорционално намаляване на процента на успеваемост на заявленията и може да предизвика чувство на разочарование от програмата в тези сектори;</w:t>
      </w:r>
    </w:p>
    <w:p w:rsidR="00F016AA" w:rsidRPr="007F44F9" w:rsidRDefault="00F016AA" w:rsidP="00F016AA">
      <w:pPr>
        <w:pStyle w:val="NormalHanging12a"/>
        <w:widowControl/>
        <w:rPr>
          <w:rFonts w:eastAsiaTheme="minorHAnsi"/>
        </w:rPr>
      </w:pPr>
      <w:r w:rsidRPr="007F44F9">
        <w:t>2.</w:t>
      </w:r>
      <w:r w:rsidRPr="007F44F9">
        <w:tab/>
        <w:t>приветства отговора на програмата за смекчаване на последиците от пандемията от COVID-19, тай като тази пандемия беше в сериозен ущърб на секторите на културата и творчеството дори преди началото на настоящата програма; въпреки това отново призовава Комисията и държавите членки да увеличат усилията си за справяне с дългосрочните последици от пандемията за творците и специалистите в областта на културата, особено във връзка с повишаването на квалификацията и преквалификацията им, за да се отговори на потребностите, произтичащи от промените и предизвикателствата, засягащи секторите;</w:t>
      </w:r>
    </w:p>
    <w:p w:rsidR="00F016AA" w:rsidRPr="007F44F9" w:rsidRDefault="00F016AA" w:rsidP="00F016AA">
      <w:pPr>
        <w:pStyle w:val="NormalHanging12a"/>
        <w:widowControl/>
        <w:rPr>
          <w:rFonts w:eastAsiaTheme="minorHAnsi"/>
        </w:rPr>
      </w:pPr>
      <w:r w:rsidRPr="007F44F9">
        <w:t>3.</w:t>
      </w:r>
      <w:r w:rsidRPr="007F44F9">
        <w:tab/>
        <w:t>изразява съжаление, че не всички държави членки са заделили най-малко 2 % от Механизма за възстановяване и устойчивост за гарантиране на устойчивостта на тези сектори, както беше поискано от Парламента; поради това призовава всички държави членки да засилят полезните взаимодействия и да гарантират достатъчно целенасочени инвестиции за тези сектори чрез други програми на ЕС;</w:t>
      </w:r>
    </w:p>
    <w:p w:rsidR="00F016AA" w:rsidRPr="007F44F9" w:rsidRDefault="00F016AA" w:rsidP="00F016AA">
      <w:pPr>
        <w:pStyle w:val="NormalHanging12a"/>
        <w:widowControl/>
        <w:rPr>
          <w:rFonts w:eastAsiaTheme="minorHAnsi"/>
        </w:rPr>
      </w:pPr>
      <w:r w:rsidRPr="007F44F9">
        <w:t>4.</w:t>
      </w:r>
      <w:r w:rsidRPr="007F44F9">
        <w:tab/>
        <w:t xml:space="preserve">признава гъвкавостта на Комисията и EACEA при изпълнението на програмата, която беше адаптирана, за да се вземат предвид последиците от пандемията от COVID-19; подчертава обаче необходимостта от постигане на баланс между хармонизираните системи за административно управление за всички програми на ЕС, от една страна, и специфичните нужди на различните бенефициери, от друга страна; поради това настоятелно призовава Комисията и EACEA да увеличат усилията си за опростяване на административните процедури за управление на </w:t>
      </w:r>
      <w:r w:rsidRPr="007F44F9">
        <w:lastRenderedPageBreak/>
        <w:t>програмата „Творческа Европа“ за периода 2021–2027 г.; подчертава все пак, че рационализирането и опростяването не следва да водят до намаляване на финансовите и човешките ресурси, предназначени за мониторинг и оценка на проектите;</w:t>
      </w:r>
    </w:p>
    <w:p w:rsidR="00F016AA" w:rsidRPr="007F44F9" w:rsidRDefault="00F016AA" w:rsidP="00F016AA">
      <w:pPr>
        <w:pStyle w:val="NormalHanging12a"/>
        <w:widowControl/>
        <w:rPr>
          <w:rFonts w:eastAsiaTheme="minorHAnsi"/>
        </w:rPr>
      </w:pPr>
      <w:r w:rsidRPr="007F44F9">
        <w:t>5.</w:t>
      </w:r>
      <w:r w:rsidRPr="007F44F9">
        <w:tab/>
        <w:t xml:space="preserve">признава, че процесът на подаване на заявления често е сложен, особено за физически лица и </w:t>
      </w:r>
      <w:proofErr w:type="spellStart"/>
      <w:r w:rsidRPr="007F44F9">
        <w:t>микро</w:t>
      </w:r>
      <w:proofErr w:type="spellEnd"/>
      <w:r w:rsidRPr="007F44F9">
        <w:t>- и малки организации с ограничени финансови и човешки ресурси; следователно призовава Комисията и ЕАСЕА да разрешат разходите, свързани с процеса на подаване на заявления, да бъдат включени в общите прогнозни бюджетни разходи; освен това призовава бюрата по програма „Творческа Европа“ да засилят допълнително подкрепата за всички кандидати;</w:t>
      </w:r>
    </w:p>
    <w:p w:rsidR="00F016AA" w:rsidRPr="007F44F9" w:rsidRDefault="00F016AA" w:rsidP="00F016AA">
      <w:pPr>
        <w:pStyle w:val="NormalHanging12a"/>
        <w:widowControl/>
        <w:rPr>
          <w:rFonts w:eastAsiaTheme="minorHAnsi"/>
        </w:rPr>
      </w:pPr>
      <w:r w:rsidRPr="007F44F9">
        <w:t>6.</w:t>
      </w:r>
      <w:r w:rsidRPr="007F44F9">
        <w:tab/>
        <w:t>призовава Комисията да насрочи редовен обмен за изграждане на капацитет с бенефициентите, за да очертае новостите, като например новите изисквания в рамките на системата за докладване, включително резултатите, които са в съответствие с Общия регламент относно защитата на данните</w:t>
      </w:r>
      <w:r w:rsidRPr="007F44F9">
        <w:rPr>
          <w:rStyle w:val="FootnoteReference"/>
          <w:rFonts w:eastAsiaTheme="minorHAnsi"/>
          <w:lang w:eastAsia="en-US"/>
        </w:rPr>
        <w:footnoteReference w:id="14"/>
      </w:r>
      <w:r w:rsidRPr="007F44F9">
        <w:t>; подчертава, като част от целта на програмата за увеличаване на многообразието, приобщаването и равенството между половете, неотложната необходимост от подобрения в системата за докладване, за да се гарантира достъпност и лесно използване от страна на всички бенефициери, включително хората с увреждания;</w:t>
      </w:r>
    </w:p>
    <w:p w:rsidR="00F016AA" w:rsidRPr="007F44F9" w:rsidRDefault="00F016AA" w:rsidP="00F016AA">
      <w:pPr>
        <w:pStyle w:val="NormalHanging12a"/>
        <w:widowControl/>
        <w:rPr>
          <w:rFonts w:eastAsiaTheme="minorHAnsi"/>
        </w:rPr>
      </w:pPr>
      <w:r w:rsidRPr="007F44F9">
        <w:t>7.</w:t>
      </w:r>
      <w:r w:rsidRPr="007F44F9">
        <w:tab/>
        <w:t>признава постепенното въвеждане на стимули за приобщаване във всички направления през първите две години от изпълнението на програмата; отбелязва обаче липсата на изчерпателни данни за това как целите на програмата се изпълняват по начин, който насърчава приобщаването, равенството, многообразието и участието; настоятелно призовава Комисията да представи във връзка с това подробен доклад в своята междинна оценка;</w:t>
      </w:r>
    </w:p>
    <w:p w:rsidR="00F016AA" w:rsidRPr="007F44F9" w:rsidRDefault="00F016AA" w:rsidP="00F016AA">
      <w:pPr>
        <w:pStyle w:val="NormalHanging12a"/>
        <w:widowControl/>
        <w:rPr>
          <w:rFonts w:eastAsiaTheme="minorHAnsi"/>
        </w:rPr>
      </w:pPr>
      <w:r w:rsidRPr="007F44F9">
        <w:t>8.</w:t>
      </w:r>
      <w:r w:rsidRPr="007F44F9">
        <w:tab/>
        <w:t>признава, че с действията си програмата допринася за постигането на целта за устойчивост на климата и околната среда; отбелязва обаче, че приоритетите за екологизиране са въведени по различен начин в трите направления на програмата; призовава Комисията да следи отблизо изпълнението на приоритетите за екологизиране и тяхното въздействие върху секторите и редовно да докладва за своята оценка; подчертава значението на разработването на дейности за обучение и повишаване на осведомеността с оглед насърчаване на възприемането на по-устойчиви практики в секторите на културата и творчеството;</w:t>
      </w:r>
    </w:p>
    <w:p w:rsidR="00F016AA" w:rsidRPr="007F44F9" w:rsidRDefault="00F016AA" w:rsidP="00F016AA">
      <w:pPr>
        <w:pStyle w:val="NormalHanging12a"/>
        <w:widowControl/>
        <w:rPr>
          <w:rFonts w:eastAsiaTheme="minorHAnsi"/>
        </w:rPr>
      </w:pPr>
      <w:r w:rsidRPr="007F44F9">
        <w:t>9.</w:t>
      </w:r>
      <w:r w:rsidRPr="007F44F9">
        <w:tab/>
        <w:t xml:space="preserve">подчертава значението на подкрепата за културните и творческите дейци при насочване към възможностите, предлагани на равнището на ЕС; във връзка с това приветства инициативата </w:t>
      </w:r>
      <w:proofErr w:type="spellStart"/>
      <w:r w:rsidRPr="007F44F9">
        <w:t>CulturEU</w:t>
      </w:r>
      <w:proofErr w:type="spellEnd"/>
      <w:r w:rsidRPr="007F44F9">
        <w:t xml:space="preserve"> — многоезично интерактивно ръководство, което очертава всички налични възможности за финансиране; подчертава решаващото значение на поддържането на редовен и, когато е уместно, целенасочен обмен с културния, творческия и аудио-визуалния сектор, както и с новинарските медии, с цел постигане на ползотворно сътрудничество; припомня на Комисията, че е важно да се гарантира подходящо участие на заинтересованите страни в подготовката на бъдещите годишни работни програми; предлага Комисията да оцени дали програмата „Творческа Европа“ за периода 2028—</w:t>
      </w:r>
      <w:r w:rsidRPr="007F44F9">
        <w:lastRenderedPageBreak/>
        <w:t>2034 г. би могла да се изпълнява по-добре чрез годишни или двугодишни работни програми;</w:t>
      </w:r>
    </w:p>
    <w:p w:rsidR="00F016AA" w:rsidRPr="007F44F9" w:rsidRDefault="00F016AA" w:rsidP="00F016AA">
      <w:pPr>
        <w:pStyle w:val="NormalHanging12a"/>
        <w:widowControl/>
        <w:rPr>
          <w:rFonts w:eastAsiaTheme="minorHAnsi"/>
        </w:rPr>
      </w:pPr>
      <w:r w:rsidRPr="007F44F9">
        <w:t>10.</w:t>
      </w:r>
      <w:r w:rsidRPr="007F44F9">
        <w:tab/>
        <w:t>призовава за засилване на комуникацията и обмена между Комисията, EACEA и бюрата на „Творческа Европа“, за да се гарантира, че последните имат достъп до цялата необходима информация, за да се даде възможност за качествена подкрепа и насоки за кандидатите и бенефициерите; във връзка с това припомня също така колко важна е прозрачността при разпространението на резултатите от поканите за представяне на предложения; поради това призовава Комисията да продължи своевременно да публикува списъка на всички получатели на безвъзмездни средства заедно с отпуснатите суми;</w:t>
      </w:r>
    </w:p>
    <w:p w:rsidR="00F016AA" w:rsidRPr="007F44F9" w:rsidRDefault="00F016AA" w:rsidP="00F016AA">
      <w:pPr>
        <w:pStyle w:val="NormalHanging12a"/>
        <w:widowControl/>
        <w:rPr>
          <w:rFonts w:eastAsiaTheme="minorHAnsi"/>
        </w:rPr>
      </w:pPr>
      <w:r w:rsidRPr="007F44F9">
        <w:t>11.</w:t>
      </w:r>
      <w:r w:rsidRPr="007F44F9">
        <w:tab/>
        <w:t>подчертава колко важни са разпознаването на програмата и повишаването на нейната видимост; във връзка с това призовава Комисията да докладва на Парламента относно изпълнението на комуникационната стратегия на програмата, включително използването на официалното лого;</w:t>
      </w:r>
    </w:p>
    <w:p w:rsidR="00F016AA" w:rsidRPr="007F44F9" w:rsidRDefault="00F016AA" w:rsidP="00F016AA">
      <w:pPr>
        <w:pStyle w:val="NormalHanging12a"/>
        <w:widowControl/>
        <w:rPr>
          <w:rFonts w:eastAsiaTheme="minorHAnsi"/>
        </w:rPr>
      </w:pPr>
      <w:r w:rsidRPr="007F44F9">
        <w:t>12.</w:t>
      </w:r>
      <w:r w:rsidRPr="007F44F9">
        <w:tab/>
        <w:t>подчертава готовността на значителен брой бенефициери да споделят своите постижения и резултати с културния, творческия и аудио-визуалния сектор, както и с европейските граждани; във връзка с това посочва, че предоставената за тази цел платформа се счита за незадоволителна, поради което призовава Комисията да включи бенефициерите в разработването на по-подходяща платформа;</w:t>
      </w:r>
    </w:p>
    <w:p w:rsidR="00F016AA" w:rsidRPr="007F44F9" w:rsidRDefault="00F016AA" w:rsidP="00F016AA">
      <w:pPr>
        <w:pStyle w:val="NormalHanging12a"/>
        <w:widowControl/>
      </w:pPr>
      <w:r w:rsidRPr="007F44F9">
        <w:t>13.</w:t>
      </w:r>
      <w:r w:rsidRPr="007F44F9">
        <w:tab/>
        <w:t>отбелязва, че някои държави членки не предоставят национални схеми за обезщетение или застрахователно покритие за улесняване на мобилността на културните ценности; признава, че разходите за търговска застраховка могат да бъдат значителни за множество културни участници; във връзка с това предлага Комисията да публикува проучване за осъществимост относно общоевропейска гаранционна схема за покриване на разходите за обезщетение като първа стъпка за справяне с този проблем;</w:t>
      </w:r>
    </w:p>
    <w:p w:rsidR="00F016AA" w:rsidRPr="007F44F9" w:rsidRDefault="00F016AA" w:rsidP="00F016AA">
      <w:pPr>
        <w:pStyle w:val="NormalHanging12a"/>
        <w:widowControl/>
      </w:pPr>
      <w:r w:rsidRPr="007F44F9">
        <w:t>14.</w:t>
      </w:r>
      <w:r w:rsidRPr="007F44F9">
        <w:tab/>
        <w:t>настоятелно призовава Комисията да насърчава ориентираното към човека и прозрачно използване на изкуствения интелект (ИИ) в художествения и творческия процес чрез разработване на подходящи етични стандарти, свързани с използването на ИИ; във връзка с това призовава Комисията да гарантира, че както кандидатите, така и бенефициерите предоставят информация, свързана с използването на ИИ в проекти, включително при създаването, разпространението и популяризирането на творчески произведения, за да се оцени тази нововъзникваща тенденция в секторите на културата и творчеството и нейното въздействие върху програмата;</w:t>
      </w:r>
    </w:p>
    <w:p w:rsidR="00F016AA" w:rsidRPr="007F44F9" w:rsidRDefault="00F016AA" w:rsidP="00F016AA">
      <w:pPr>
        <w:pStyle w:val="NormalHanging12a"/>
        <w:widowControl/>
      </w:pPr>
      <w:r w:rsidRPr="007F44F9">
        <w:t>15.</w:t>
      </w:r>
      <w:r w:rsidRPr="007F44F9">
        <w:tab/>
        <w:t>подчертава значителния потенциал на програмата „Творческа Европа“ за развитието и укрепването на транснационалните партньорства, като по този начин допринася и за международните отношения на ЕС чрез културата;</w:t>
      </w:r>
    </w:p>
    <w:p w:rsidR="00F016AA" w:rsidRPr="007F44F9" w:rsidRDefault="00F016AA" w:rsidP="00F016AA">
      <w:pPr>
        <w:pStyle w:val="NormalHanging12a"/>
        <w:widowControl/>
      </w:pPr>
      <w:r w:rsidRPr="007F44F9">
        <w:t>16.</w:t>
      </w:r>
      <w:r w:rsidRPr="007F44F9">
        <w:tab/>
        <w:t>призовава Комисията да инвестира подходящи ресурси във външното измерение на програмата и да насърчава по-нататъшното сътрудничество между културните институти и организации в държавите членки, както и клъстерите на националните културни институти на ЕС (EUNIC) в трети държави; освен това призовава Комисията да подкрепя и улеснява участието на трети държави в програмата, когато това е възможно;</w:t>
      </w:r>
    </w:p>
    <w:p w:rsidR="00F016AA" w:rsidRPr="007F44F9" w:rsidRDefault="00F016AA" w:rsidP="00F016AA">
      <w:pPr>
        <w:pStyle w:val="NormalHanging12a"/>
        <w:widowControl/>
        <w:rPr>
          <w:rFonts w:eastAsiaTheme="minorHAnsi"/>
          <w:b/>
          <w:i/>
        </w:rPr>
      </w:pPr>
      <w:r w:rsidRPr="007F44F9">
        <w:rPr>
          <w:b/>
          <w:i/>
        </w:rPr>
        <w:lastRenderedPageBreak/>
        <w:t>Бюджет</w:t>
      </w:r>
    </w:p>
    <w:p w:rsidR="00F016AA" w:rsidRPr="007F44F9" w:rsidRDefault="00F016AA" w:rsidP="00F016AA">
      <w:pPr>
        <w:pStyle w:val="NormalHanging12a"/>
        <w:widowControl/>
        <w:rPr>
          <w:rFonts w:eastAsiaTheme="minorHAnsi"/>
        </w:rPr>
      </w:pPr>
      <w:r w:rsidRPr="007F44F9">
        <w:t>17.</w:t>
      </w:r>
      <w:r w:rsidRPr="007F44F9">
        <w:tab/>
        <w:t>подчертава, че въпреки значително увеличения бюджет за периода 2021–2027 г. за настоящата програма „Творческа Европа“, заявленията все още са много повече; във връзка с това призовава Комисията и държавите членки да увеличат значително финансовия пакет на програмата „Творческа Европа“ за периода 2028–2034 г.;</w:t>
      </w:r>
    </w:p>
    <w:p w:rsidR="00F016AA" w:rsidRPr="007F44F9" w:rsidRDefault="00F016AA" w:rsidP="00F016AA">
      <w:pPr>
        <w:pStyle w:val="NormalHanging12a"/>
        <w:widowControl/>
        <w:rPr>
          <w:rFonts w:eastAsiaTheme="minorHAnsi"/>
        </w:rPr>
      </w:pPr>
      <w:r w:rsidRPr="007F44F9">
        <w:t>18.</w:t>
      </w:r>
      <w:r w:rsidRPr="007F44F9">
        <w:tab/>
        <w:t>признава неотложната необходимост през двегодишния период 2021–2022 г. да се концентрират разходите в началото на периода, за да се смекчат последиците от пандемията от COVID-19 и от агресивната война на Русия срещу Украйна; подчертава обаче отрицателното въздействие, което тази мярка ще окаже през втората половина на финансовия цикъл;</w:t>
      </w:r>
    </w:p>
    <w:p w:rsidR="00F016AA" w:rsidRPr="007F44F9" w:rsidRDefault="00F016AA" w:rsidP="00F016AA">
      <w:pPr>
        <w:pStyle w:val="NormalHanging12a"/>
        <w:widowControl/>
        <w:rPr>
          <w:rFonts w:eastAsiaTheme="minorHAnsi"/>
        </w:rPr>
      </w:pPr>
      <w:r w:rsidRPr="007F44F9">
        <w:t>19.</w:t>
      </w:r>
      <w:r w:rsidRPr="007F44F9">
        <w:tab/>
        <w:t xml:space="preserve">с оглед на предизвикателствата, произтичащи от цифровизацията и </w:t>
      </w:r>
      <w:proofErr w:type="spellStart"/>
      <w:r w:rsidRPr="007F44F9">
        <w:t>екологизирането</w:t>
      </w:r>
      <w:proofErr w:type="spellEnd"/>
      <w:r w:rsidRPr="007F44F9">
        <w:t>, както и от високите нива на записване, високата инфлация и свързаните с тях високи разходи за енергия, които засягат сериозно оперативния капацитет на бенефициентите, настоятелно призовава държавите членки и Комисията да гарантират, че през следващите бюджетни години няма да има бюджетни съкращения на средствата по програмата;</w:t>
      </w:r>
    </w:p>
    <w:p w:rsidR="00F016AA" w:rsidRPr="007F44F9" w:rsidRDefault="00F016AA" w:rsidP="00F016AA">
      <w:pPr>
        <w:pStyle w:val="NormalHanging12a"/>
        <w:widowControl/>
        <w:rPr>
          <w:rFonts w:eastAsiaTheme="minorHAnsi"/>
        </w:rPr>
      </w:pPr>
      <w:r w:rsidRPr="007F44F9">
        <w:t>20.</w:t>
      </w:r>
      <w:r w:rsidRPr="007F44F9">
        <w:tab/>
        <w:t>изразява съжаление, че знакът „Печат за високи постижения“ все още не е въведен; призовава Комисията незабавно да разработи този знак, така че проектите да могат да се възползват от възможностите, предлагани от кумулативното и алтернативното финансиране по време на този програмен цикъл;</w:t>
      </w:r>
    </w:p>
    <w:p w:rsidR="00F016AA" w:rsidRPr="007F44F9" w:rsidRDefault="00F016AA" w:rsidP="00F016AA">
      <w:pPr>
        <w:pStyle w:val="NormalHanging12a"/>
        <w:widowControl/>
        <w:rPr>
          <w:rFonts w:eastAsiaTheme="minorHAnsi"/>
        </w:rPr>
      </w:pPr>
      <w:r w:rsidRPr="007F44F9">
        <w:t>21.</w:t>
      </w:r>
      <w:r w:rsidRPr="007F44F9">
        <w:tab/>
        <w:t>изразява съжаление от факта, че в МФР за периода 2021–2027 г. не е предвидена гъвкавост за допълване на бюджета на програмата „Творческа Европа“, и подчертава, че това възпрепятства финансирането на нови инициативи, ценни пилотни проекти и подготвителни действия; припомня в тази връзка, че пилотните проекти и подготвителните действия са важни инструменти за изпитване на нови инициативи, които могат да се превърнат в постоянни програми на ЕС за финансиране или да бъдат включени в съществуващи такива;</w:t>
      </w:r>
    </w:p>
    <w:p w:rsidR="00F016AA" w:rsidRPr="007F44F9" w:rsidRDefault="00F016AA" w:rsidP="00F016AA">
      <w:pPr>
        <w:pStyle w:val="NormalHanging12a"/>
        <w:widowControl/>
        <w:rPr>
          <w:rFonts w:eastAsiaTheme="minorHAnsi"/>
        </w:rPr>
      </w:pPr>
      <w:r w:rsidRPr="007F44F9">
        <w:t>22.</w:t>
      </w:r>
      <w:r w:rsidRPr="007F44F9">
        <w:tab/>
        <w:t>изразява съжаление от недостига на финансиране между двата цикъла на МФР, който засегна в особена степен мрежовата схема, и призовава Комисията да гарантира, че това няма да се повтори в бъдеще; с оглед на ключовата роля на тази схема за подпомагане на капацитета на секторите на културата и творчеството да функционират на транснационално и международно равнище, призовава Комисията да предостави подходящо финансиране и освен това да обмисли въвеждането на безвъзмездни средства за оперативни разходи за това действие;</w:t>
      </w:r>
    </w:p>
    <w:p w:rsidR="00F016AA" w:rsidRPr="007F44F9" w:rsidRDefault="00F016AA" w:rsidP="00F016AA">
      <w:pPr>
        <w:pStyle w:val="NormalHanging12a"/>
        <w:widowControl/>
        <w:rPr>
          <w:rFonts w:eastAsiaTheme="minorHAnsi"/>
          <w:b/>
          <w:i/>
        </w:rPr>
      </w:pPr>
      <w:r w:rsidRPr="007F44F9">
        <w:rPr>
          <w:b/>
          <w:i/>
        </w:rPr>
        <w:t>Направление „Култура“</w:t>
      </w:r>
    </w:p>
    <w:p w:rsidR="00F016AA" w:rsidRPr="007F44F9" w:rsidRDefault="00F016AA" w:rsidP="00F016AA">
      <w:pPr>
        <w:pStyle w:val="NormalHanging12a"/>
        <w:widowControl/>
        <w:rPr>
          <w:rFonts w:eastAsiaTheme="minorHAnsi"/>
        </w:rPr>
      </w:pPr>
      <w:r w:rsidRPr="007F44F9">
        <w:t>23.</w:t>
      </w:r>
      <w:r w:rsidRPr="007F44F9">
        <w:tab/>
        <w:t>приветства въвеждането на секторния подход като нова характеристика на направление „Култура“, допълваща хоризонталните действия; призовава за неговото укрепване чрез подходящо разпределение на бюджета, като се гарантира, че нито един сектор не е изоставен и няма намаление на средствата за хоризонтални действия;</w:t>
      </w:r>
    </w:p>
    <w:p w:rsidR="00F016AA" w:rsidRPr="007F44F9" w:rsidRDefault="00F016AA" w:rsidP="00F016AA">
      <w:pPr>
        <w:pStyle w:val="NormalHanging12a"/>
        <w:widowControl/>
        <w:rPr>
          <w:rFonts w:eastAsiaTheme="minorHAnsi"/>
        </w:rPr>
      </w:pPr>
      <w:r w:rsidRPr="007F44F9">
        <w:lastRenderedPageBreak/>
        <w:t>24.</w:t>
      </w:r>
      <w:r w:rsidRPr="007F44F9">
        <w:tab/>
        <w:t>припомня колко е важно свободата на художествено изразяване да продължи да бъде гарантирана и насърчавана , по-специално чрез възможностите за финансиране, предлагани от програмата в рамките на действието за проекти за културно сътрудничество и схемата за европейски мрежи;</w:t>
      </w:r>
    </w:p>
    <w:p w:rsidR="00F016AA" w:rsidRPr="007F44F9" w:rsidRDefault="00F016AA" w:rsidP="00F016AA">
      <w:pPr>
        <w:pStyle w:val="NormalHanging12a"/>
        <w:widowControl/>
      </w:pPr>
      <w:r w:rsidRPr="007F44F9">
        <w:t>25.</w:t>
      </w:r>
      <w:r w:rsidRPr="007F44F9">
        <w:tab/>
        <w:t xml:space="preserve">признава, че увеличаването на процентите на съфинансиране, особено за </w:t>
      </w:r>
      <w:proofErr w:type="spellStart"/>
      <w:r w:rsidRPr="007F44F9">
        <w:t>маломащабни</w:t>
      </w:r>
      <w:proofErr w:type="spellEnd"/>
      <w:r w:rsidRPr="007F44F9">
        <w:t xml:space="preserve"> проекти за сътрудничество, са от полза и улесняват участието на малки организации; във връзка с това призовава Комисията и EACEA да позволят на проектните консорциуми да определят по независим начин как да се разпределя финансирането между техните партньори, при условие че общият процент на съфинансиране се прилага на равнище проект;</w:t>
      </w:r>
    </w:p>
    <w:p w:rsidR="00F016AA" w:rsidRPr="007F44F9" w:rsidRDefault="00F016AA" w:rsidP="00F016AA">
      <w:pPr>
        <w:pStyle w:val="NormalHanging12a"/>
        <w:widowControl/>
      </w:pPr>
      <w:r w:rsidRPr="007F44F9">
        <w:t>26.</w:t>
      </w:r>
      <w:r w:rsidRPr="007F44F9">
        <w:tab/>
        <w:t>подчертава значението на трансграничната мобилност за всички творци, тъй като тя насърчава творческия процес чрез увеличаване на професионалните възможности в чужбина; във връзка с това приветства новото действие за мобилност в рамките на програмата „Творческа Европа“, наречено „Културата движи Европа“;</w:t>
      </w:r>
    </w:p>
    <w:p w:rsidR="00F016AA" w:rsidRPr="007F44F9" w:rsidRDefault="00F016AA" w:rsidP="00F016AA">
      <w:pPr>
        <w:pStyle w:val="NormalHanging12a"/>
        <w:widowControl/>
      </w:pPr>
      <w:r w:rsidRPr="007F44F9">
        <w:t>27.</w:t>
      </w:r>
      <w:r w:rsidRPr="007F44F9">
        <w:tab/>
        <w:t>признава високото качество на заявленията, получени в рамките на схемата за мобилност; въпреки това призовава Комисията да популяризира „Културата движи Европа“ пред по-широка аудитория с помощта и подкрепата на всички бюра по програмата „Творческа Европа“ чрез комуникационни и информационни дейности; счита, че тези дейности следва да бъдат специално насочени към отделните сектори, в т.ч. към творците от всички маргинализирани групи, както и към по-слабо представените държави и региони, за да се гарантира географски баланс;</w:t>
      </w:r>
    </w:p>
    <w:p w:rsidR="00F016AA" w:rsidRPr="007F44F9" w:rsidRDefault="00F016AA" w:rsidP="00F016AA">
      <w:pPr>
        <w:pStyle w:val="NormalHanging12a"/>
        <w:widowControl/>
      </w:pPr>
      <w:r w:rsidRPr="007F44F9">
        <w:t>28.</w:t>
      </w:r>
      <w:r w:rsidRPr="007F44F9">
        <w:tab/>
        <w:t>макар да признава големия успех на новото действие за мобилност, посочва, че е наложително да се извърши анализ на основните нововъзникващи тенденции до края на 2024 г., за да се проучи възможността за по-нататъшно разширяване на това действие, така че да се включат нови участници, като например представители от сектора на книгоиздаването; във връзка с това призовава Комисията да увеличи отпуснатия за това действие бюджет от 2025 г. нататък</w:t>
      </w:r>
    </w:p>
    <w:p w:rsidR="00F016AA" w:rsidRPr="007F44F9" w:rsidRDefault="00F016AA" w:rsidP="00F016AA">
      <w:pPr>
        <w:pStyle w:val="NormalHanging12a"/>
        <w:widowControl/>
      </w:pPr>
      <w:r w:rsidRPr="007F44F9">
        <w:t>29.</w:t>
      </w:r>
      <w:r w:rsidRPr="007F44F9">
        <w:tab/>
        <w:t>подчертава положителното въздействие на екологичните и семейните добавки, прилагани за схемата за мобилност, които представляват конкретен пример за това как програмата може да бъде по-приобщаваща; поради това призовава Комисията да обмисли прилагането на този подход в други действия по програма „Творческа Европа“;</w:t>
      </w:r>
    </w:p>
    <w:p w:rsidR="00F016AA" w:rsidRPr="007F44F9" w:rsidRDefault="00F016AA" w:rsidP="00F016AA">
      <w:pPr>
        <w:pStyle w:val="NormalHanging12a"/>
        <w:widowControl/>
      </w:pPr>
      <w:r w:rsidRPr="007F44F9">
        <w:t>30.</w:t>
      </w:r>
      <w:r w:rsidRPr="007F44F9">
        <w:tab/>
        <w:t>приветства увеличаването на финансирането за европейските платформи за насърчаване на нови творци в рамките на направление „Култура“ и подчертава положителното въздействие, което то оказа върху многообразието чрез увеличаване на видимостта на творците и техните произведения в международен мащаб; поради това призовава Комисията да продължи да развива това действие, като гарантира подходящо финансиране и популяризиране;</w:t>
      </w:r>
    </w:p>
    <w:p w:rsidR="00F016AA" w:rsidRPr="007F44F9" w:rsidRDefault="00F016AA" w:rsidP="00F016AA">
      <w:pPr>
        <w:pStyle w:val="NormalHanging12a"/>
        <w:widowControl/>
      </w:pPr>
      <w:r w:rsidRPr="007F44F9">
        <w:t>31.</w:t>
      </w:r>
      <w:r w:rsidRPr="007F44F9">
        <w:tab/>
        <w:t>подчертава значението на мрежовата схема за осигуряване на възможности за изграждане на мрежи и на капацитет, които укрепват многообразието и конкурентоспособността на европейските сектори на културата и творчеството; във връзка с това призовава Комисията да предостави подходящо финансиране за това действие с цел подпомагане на настоящите бенефициери и новите мрежи;</w:t>
      </w:r>
    </w:p>
    <w:p w:rsidR="00F016AA" w:rsidRPr="007F44F9" w:rsidRDefault="00F016AA" w:rsidP="00F016AA">
      <w:pPr>
        <w:pStyle w:val="NormalHanging12a"/>
        <w:widowControl/>
      </w:pPr>
      <w:r w:rsidRPr="007F44F9">
        <w:lastRenderedPageBreak/>
        <w:t>32.</w:t>
      </w:r>
      <w:r w:rsidRPr="007F44F9">
        <w:tab/>
        <w:t>подчертава, че секторният подход представлява отличен инструмент, който ще укрепи сектора на книгоиздаването и издателската дейност, като даде възможност за съгласувани действия, които ще подкрепят и стимулират достъпа до пазара и по-широкото разпространение на европейски произведения;</w:t>
      </w:r>
    </w:p>
    <w:p w:rsidR="00F016AA" w:rsidRPr="007F44F9" w:rsidRDefault="00F016AA" w:rsidP="00F016AA">
      <w:pPr>
        <w:pStyle w:val="NormalHanging12a"/>
        <w:widowControl/>
      </w:pPr>
      <w:r w:rsidRPr="007F44F9">
        <w:t>33.</w:t>
      </w:r>
      <w:r w:rsidRPr="007F44F9">
        <w:tab/>
        <w:t>припомня, че литературният превод е основната схема за подпомагане на сектора на книгоиздаването; подчертава обаче необходимостта от разширяване на тази схема, така че да включва превода на европейски нехудожествени книги; приканва Комисията в своя междинен преглед на програмата да разработи измерими цели относно начина, по който се разпределя финансирането, за да се подобри достъпа до книги за хората с увреждания;</w:t>
      </w:r>
    </w:p>
    <w:p w:rsidR="00F016AA" w:rsidRPr="007F44F9" w:rsidRDefault="00F016AA" w:rsidP="00F016AA">
      <w:pPr>
        <w:pStyle w:val="NormalHanging12a"/>
        <w:widowControl/>
      </w:pPr>
      <w:r w:rsidRPr="007F44F9">
        <w:t>34.</w:t>
      </w:r>
      <w:r w:rsidRPr="007F44F9">
        <w:tab/>
        <w:t>приветства увеличаването на действията, предоставящи подкрепа на музикалния сектор в рамките на направление „Култура“, което води до предоставянето на по-голям брой проекти, свързани с музиката, в рамките на настоящата програма; въпреки това призовава Комисията да разработи по-стратегически и секторно ориентиран подход към музикалния сектор с цел справянето с новите и предстоящите предизвикателства въз основа на резултатите от подготвителното действие „Музиката движи Европа“; във връзка с това подчертава значението на редовния структуриран диалог между музикалната екосистема и Комисията; освен това призовава Комисията да събира, в сътрудничество със сектора, данни относно музикалните пазари на държавите членки и да докладва за всички нововъзникващи предизвикателства, засягащи цялата екосистема;</w:t>
      </w:r>
    </w:p>
    <w:p w:rsidR="00F016AA" w:rsidRPr="007F44F9" w:rsidRDefault="00F016AA" w:rsidP="00F016AA">
      <w:pPr>
        <w:pStyle w:val="NormalHanging12a"/>
        <w:widowControl/>
      </w:pPr>
      <w:r w:rsidRPr="007F44F9">
        <w:t>35.</w:t>
      </w:r>
      <w:r w:rsidRPr="007F44F9">
        <w:tab/>
        <w:t>подчертава значението на специалното действие „Европейска столица на културата“ като катализатор за културното и икономическото възстановяване на градовете и регионите; подчертава необходимостта, отдавна просрочена, от увеличаване на финансирането за това специално действие, за да се посрещнат допълнителните разходи, възникнали в резултат на дългосрочните последици от пандемията от COVID-19 и пълзящата инфлация; поради това призовава Комисията да увеличи финансирането за наградата „</w:t>
      </w:r>
      <w:proofErr w:type="spellStart"/>
      <w:r w:rsidRPr="007F44F9">
        <w:t>Мелина</w:t>
      </w:r>
      <w:proofErr w:type="spellEnd"/>
      <w:r w:rsidRPr="007F44F9">
        <w:t xml:space="preserve"> </w:t>
      </w:r>
      <w:proofErr w:type="spellStart"/>
      <w:r w:rsidRPr="007F44F9">
        <w:t>Меркури</w:t>
      </w:r>
      <w:proofErr w:type="spellEnd"/>
      <w:r w:rsidRPr="007F44F9">
        <w:t>“, която от няколко години разполага с едва 1,5 милиона евро; освен това призовава държавите членки да гарантират трайно наследство за инициативата и да подкрепят нейните информационни дейности с цел увеличаване на участието в културните дейности, разработени в рамките на инициативата;</w:t>
      </w:r>
    </w:p>
    <w:p w:rsidR="00F016AA" w:rsidRPr="007F44F9" w:rsidRDefault="00F016AA" w:rsidP="00F016AA">
      <w:pPr>
        <w:pStyle w:val="NormalHanging12a"/>
        <w:widowControl/>
      </w:pPr>
      <w:r w:rsidRPr="007F44F9">
        <w:t>36.</w:t>
      </w:r>
      <w:r w:rsidRPr="007F44F9">
        <w:tab/>
        <w:t>признава, че Знакът за европейско наследство е ценна инициатива за популяризиране на значимата роля, която тези обекти играят в историята и културата на Европа, и отбелязва, че през периода 2013 – 2021 г. 60 обекта са получили това звание; при все това призовава Комисията да подобри видимостта на Знака за европейско наследство, като развие полезни взаимодействия с други съответни финансови инструменти на ЕС;</w:t>
      </w:r>
    </w:p>
    <w:p w:rsidR="00F016AA" w:rsidRPr="007F44F9" w:rsidRDefault="00F016AA" w:rsidP="00F016AA">
      <w:pPr>
        <w:pStyle w:val="NormalHanging12a"/>
        <w:widowControl/>
      </w:pPr>
      <w:r w:rsidRPr="007F44F9">
        <w:t>37.</w:t>
      </w:r>
      <w:r w:rsidRPr="007F44F9">
        <w:tab/>
        <w:t>подчертава значението на подкрепяните от програмата „Творческа Европа“ награди за литература, архитектура и наследство, музика (съвременна, рок и поп) и аудио-визуални изкуства; подчертава, че тези дългогодишни инициативи са добре познати в тези сектори и че те увеличават видимостта на европейските сектори на културата и творчеството, като възнаграждават постиженията в различни области;</w:t>
      </w:r>
    </w:p>
    <w:p w:rsidR="00F016AA" w:rsidRPr="007F44F9" w:rsidRDefault="00F016AA" w:rsidP="00F016AA">
      <w:pPr>
        <w:pStyle w:val="NormalHanging12a"/>
        <w:widowControl/>
        <w:rPr>
          <w:rFonts w:eastAsiaTheme="minorHAnsi"/>
          <w:b/>
          <w:i/>
        </w:rPr>
      </w:pPr>
      <w:r w:rsidRPr="007F44F9">
        <w:rPr>
          <w:b/>
          <w:i/>
        </w:rPr>
        <w:t>Направление „Медии“</w:t>
      </w:r>
    </w:p>
    <w:p w:rsidR="00F016AA" w:rsidRPr="007F44F9" w:rsidRDefault="00F016AA" w:rsidP="00F016AA">
      <w:pPr>
        <w:pStyle w:val="NormalHanging12a"/>
        <w:widowControl/>
      </w:pPr>
      <w:r w:rsidRPr="007F44F9">
        <w:lastRenderedPageBreak/>
        <w:t>38.</w:t>
      </w:r>
      <w:r w:rsidRPr="007F44F9">
        <w:tab/>
        <w:t>признава, че направлението „Медии“ продължава да бъде основният европейски инструмент за предоставяне на стратегическа подкрепа на независимия аудио-визуален сектор, който се състои предимно от малки и средни предприятия; подчертава значителната международна конкуренция, пред която са изправени европейските сектори на аудио-визията, киното и видеоигрите, и решаващата подкрепа, която това направление предлага за възстановяването и трансформацията на тези сектори и за увеличаване на стратегическата автономност на ЕС; подчертава във връзка с това, че е важно да се гарантира адекватно разпределение на бюджета за направление „Медии“ и настоява, че са необходими изчерпателни данни за оценка и наблюдение на това дали и по какъв начин програмата успява ефективно да увеличи икономическия и културния потенциал на тези сектори;</w:t>
      </w:r>
    </w:p>
    <w:p w:rsidR="00F016AA" w:rsidRPr="007F44F9" w:rsidRDefault="00F016AA" w:rsidP="00F016AA">
      <w:pPr>
        <w:pStyle w:val="NormalHanging12a"/>
        <w:widowControl/>
      </w:pPr>
      <w:r w:rsidRPr="007F44F9">
        <w:t>39.</w:t>
      </w:r>
      <w:r w:rsidRPr="007F44F9">
        <w:tab/>
        <w:t>признава положителното въздействие на целенасочените мерки, въведени в рамките на направление „Медии“, за разширяване на участието на държави с различен аудио-визуален капацитет и за засилване на трансграничното сътрудничество;</w:t>
      </w:r>
    </w:p>
    <w:p w:rsidR="00F016AA" w:rsidRPr="007F44F9" w:rsidRDefault="00F016AA" w:rsidP="00F016AA">
      <w:pPr>
        <w:pStyle w:val="NormalHanging12a"/>
        <w:widowControl/>
        <w:rPr>
          <w:rFonts w:eastAsiaTheme="minorHAnsi"/>
        </w:rPr>
      </w:pPr>
      <w:r w:rsidRPr="007F44F9">
        <w:t>40.</w:t>
      </w:r>
      <w:r w:rsidRPr="007F44F9">
        <w:tab/>
        <w:t>подчертава, че поради бюджетни ограничения през 2021–2022 г. са били отхвърлени голям брой висококачествени проекти по схемите за съвместно разработване и мини-пакети от проекти; поради това призовава Комисията да отпусне по-голям бюджет за бъдещото изпълнение на тези схеми;</w:t>
      </w:r>
    </w:p>
    <w:p w:rsidR="00F016AA" w:rsidRPr="007F44F9" w:rsidRDefault="00F016AA" w:rsidP="00F016AA">
      <w:pPr>
        <w:pStyle w:val="NormalHanging12a"/>
        <w:widowControl/>
        <w:rPr>
          <w:rFonts w:eastAsiaTheme="minorHAnsi"/>
        </w:rPr>
      </w:pPr>
      <w:r w:rsidRPr="007F44F9">
        <w:t>41.</w:t>
      </w:r>
      <w:r w:rsidRPr="007F44F9">
        <w:tab/>
        <w:t>подчертава жизненоважната роля на европейските схеми за разпространение на филми и европейските схеми за подкрепа на продажбите на филми, за да се допринесе за културното многообразие на европейския аудио-визуален сектор чрез увеличаване на трансграничното разпространение на европейски филми и компенсиране на някои от рисковете, които дистрибуторите поемат, когато инвестират в производството, разпространението и популяризирането на ненационални европейски филми; поради това подчертава, че е от ключово значение да се поддържа подходящо финансиране за двете схеми и да се положат допълнителни усилия за осигуряване на разпространението и онлайн достъпността на европейските произведения;</w:t>
      </w:r>
    </w:p>
    <w:p w:rsidR="00F016AA" w:rsidRPr="007F44F9" w:rsidRDefault="00F016AA" w:rsidP="00F016AA">
      <w:pPr>
        <w:pStyle w:val="NormalHanging12a"/>
        <w:widowControl/>
        <w:rPr>
          <w:rFonts w:eastAsiaTheme="minorHAnsi"/>
        </w:rPr>
      </w:pPr>
      <w:r w:rsidRPr="007F44F9">
        <w:t>42.</w:t>
      </w:r>
      <w:r w:rsidRPr="007F44F9">
        <w:tab/>
        <w:t>подчертава, че в много европейски държави не съществуват схеми за подпомагане, предназначени за прожекцията на кинематографични произведения; във връзка с това подчертава значението на поддържането на адекватно финансиране за мрежата „</w:t>
      </w:r>
      <w:proofErr w:type="spellStart"/>
      <w:r w:rsidRPr="007F44F9">
        <w:t>Europa</w:t>
      </w:r>
      <w:proofErr w:type="spellEnd"/>
      <w:r w:rsidRPr="007F44F9">
        <w:t xml:space="preserve"> </w:t>
      </w:r>
      <w:proofErr w:type="spellStart"/>
      <w:r w:rsidRPr="007F44F9">
        <w:t>Cinemas</w:t>
      </w:r>
      <w:proofErr w:type="spellEnd"/>
      <w:r w:rsidRPr="007F44F9">
        <w:t>“ („Европейски кина“) – водеща инициатива на направление „Медии“, която допринася за разпространението на европейски филми в кината;</w:t>
      </w:r>
    </w:p>
    <w:p w:rsidR="00F016AA" w:rsidRPr="007F44F9" w:rsidRDefault="00F016AA" w:rsidP="00F016AA">
      <w:pPr>
        <w:pStyle w:val="NormalHanging12a"/>
        <w:widowControl/>
      </w:pPr>
      <w:r w:rsidRPr="007F44F9">
        <w:t>43.</w:t>
      </w:r>
      <w:r w:rsidRPr="007F44F9">
        <w:tab/>
        <w:t>подчертава, че с регламента за „Творческа Европа“ за периода 2021–2027 г. се разширява предоставянето на подкрепа за дейности за изграждане на мрежи за професионалисти в аудио-визуалния сектор, включително за създатели на съдържание; посочва, че това действие все още не е изпълнено; поради това призовава Комисията своевременно да приложи специално действие с цел подпомагане на дейностите, посветени на изграждането на мрежи и сътрудничеството на европейските професионални и културни организации в рамките на аудио-визуалната верига за създаване на стойност;</w:t>
      </w:r>
    </w:p>
    <w:p w:rsidR="00F016AA" w:rsidRPr="007F44F9" w:rsidRDefault="00F016AA" w:rsidP="00F016AA">
      <w:pPr>
        <w:pStyle w:val="NormalHanging12a"/>
        <w:widowControl/>
      </w:pPr>
      <w:r w:rsidRPr="007F44F9">
        <w:lastRenderedPageBreak/>
        <w:t>44.</w:t>
      </w:r>
      <w:r w:rsidRPr="007F44F9">
        <w:tab/>
        <w:t>припомня успеха на подготвителното действие на „</w:t>
      </w:r>
      <w:proofErr w:type="spellStart"/>
      <w:r w:rsidRPr="007F44F9">
        <w:t>Writing</w:t>
      </w:r>
      <w:proofErr w:type="spellEnd"/>
      <w:r w:rsidRPr="007F44F9">
        <w:t xml:space="preserve"> </w:t>
      </w:r>
      <w:proofErr w:type="spellStart"/>
      <w:r w:rsidRPr="007F44F9">
        <w:t>European</w:t>
      </w:r>
      <w:proofErr w:type="spellEnd"/>
      <w:r w:rsidRPr="007F44F9">
        <w:t>“ и предлага Комисията да включи целите, преследвани от това действие, в програмата „Творческа Европа“;</w:t>
      </w:r>
    </w:p>
    <w:p w:rsidR="00F016AA" w:rsidRPr="007F44F9" w:rsidRDefault="00F016AA" w:rsidP="00F016AA">
      <w:pPr>
        <w:pStyle w:val="NormalHanging12a"/>
        <w:widowControl/>
        <w:rPr>
          <w:rFonts w:eastAsiaTheme="minorHAnsi"/>
        </w:rPr>
      </w:pPr>
      <w:r w:rsidRPr="007F44F9">
        <w:t>45.</w:t>
      </w:r>
      <w:r w:rsidRPr="007F44F9">
        <w:tab/>
        <w:t>приветства въвеждането на специално действие в подкрепа на разработването на видеоигри и въздействащо върху сетивата съдържание, което породи значителен интерес в сектора; призовава Комисията да подкрепи културното и творческото измерение на този сектор, като вземе предвид неговите специфични характеристики и свързани с тях потребности при изготвянето на съответните покани за представяне на предложения, включително необходимостта от изпитване на нови бизнес модели във виртуалния свят, за да се позволи развитието на умения в тази област, със специален акцент върху участието на жените; отбелязва обаче, че настоящият бюджет може да се окаже недостатъчен за това, и призовава за допълнително финансиране в подкрепа на растежа на европейската екосистема на видеоигрите и за насърчаване на развитието и задържането на европейски таланти;</w:t>
      </w:r>
    </w:p>
    <w:p w:rsidR="00F016AA" w:rsidRPr="007F44F9" w:rsidRDefault="00F016AA" w:rsidP="00F016AA">
      <w:pPr>
        <w:pStyle w:val="NormalHanging12a"/>
        <w:widowControl/>
        <w:rPr>
          <w:rFonts w:eastAsiaTheme="minorHAnsi"/>
        </w:rPr>
      </w:pPr>
      <w:r w:rsidRPr="007F44F9">
        <w:t>46.</w:t>
      </w:r>
      <w:r w:rsidRPr="007F44F9">
        <w:tab/>
        <w:t>подчертава, че нарастващата инфлация в един силно конкурентен аудио-визуален пазар оказва въздействие върху производствените разходи; поради това призовава Комисията да адаптира нагоре таваните на финансиране с цел да се гарантира, че направлението „Медии“ предоставя своята подкрепа за аудио-визуалната индустрия;</w:t>
      </w:r>
    </w:p>
    <w:p w:rsidR="00F016AA" w:rsidRPr="007F44F9" w:rsidRDefault="00F016AA" w:rsidP="00F016AA">
      <w:pPr>
        <w:pStyle w:val="NormalHanging12a"/>
        <w:widowControl/>
        <w:rPr>
          <w:rFonts w:eastAsiaTheme="minorHAnsi"/>
        </w:rPr>
      </w:pPr>
      <w:r w:rsidRPr="007F44F9">
        <w:t>47.</w:t>
      </w:r>
      <w:r w:rsidRPr="007F44F9">
        <w:tab/>
        <w:t>признава успеха на поканата „Мрежи на европейските фестивали“, която подкрепи 71 фестивала в рамките на 12 мрежи, които сътрудничиха за насърчаване на ангажираността на аудиторията, наред с другото; поради това призовава Комисията да продължи да финансира през две години двете допълващи се действия – „Европейски фестивали“ и „Мрежа на европейските фестивали“;</w:t>
      </w:r>
    </w:p>
    <w:p w:rsidR="00F016AA" w:rsidRPr="007F44F9" w:rsidRDefault="00F016AA" w:rsidP="00F016AA">
      <w:pPr>
        <w:pStyle w:val="NormalHanging12a"/>
        <w:widowControl/>
        <w:rPr>
          <w:rFonts w:eastAsiaTheme="minorHAnsi"/>
        </w:rPr>
      </w:pPr>
      <w:r w:rsidRPr="007F44F9">
        <w:t>48.</w:t>
      </w:r>
      <w:r w:rsidRPr="007F44F9">
        <w:tab/>
        <w:t xml:space="preserve">отбелязва, че тъй като инструментът „Media </w:t>
      </w:r>
      <w:proofErr w:type="spellStart"/>
      <w:r w:rsidRPr="007F44F9">
        <w:t>Invest</w:t>
      </w:r>
      <w:proofErr w:type="spellEnd"/>
      <w:r w:rsidRPr="007F44F9">
        <w:t>“ е привлякъл голям брой заявления за кандидатстване, за бъдещото му прилагане трябва да бъдат осигурени по-големи бюджетни взаимодействия с програмата InvestEU; призовава Комисията да продължи да подобрява популяризирането на този инструмент в аудио-визуалния сектор;</w:t>
      </w:r>
    </w:p>
    <w:p w:rsidR="00F016AA" w:rsidRPr="007F44F9" w:rsidRDefault="00F016AA" w:rsidP="00F016AA">
      <w:pPr>
        <w:pStyle w:val="NormalHanging12a"/>
        <w:widowControl/>
        <w:rPr>
          <w:rFonts w:eastAsiaTheme="minorHAnsi"/>
        </w:rPr>
      </w:pPr>
      <w:r w:rsidRPr="007F44F9">
        <w:t>49.</w:t>
      </w:r>
      <w:r w:rsidRPr="007F44F9">
        <w:tab/>
        <w:t>припомня, че с предложението на Комисията от септември 2022 г. за Европейски законодателен акт за свободата на медиите се създава Европейски съвет за медийни услуги, който да замени Групата на европейските регулатори за аудио-визуални медийни услуги (ERGA), създадена с Директива 2010/13/ЕС</w:t>
      </w:r>
      <w:r w:rsidRPr="007F44F9">
        <w:rPr>
          <w:rStyle w:val="FootnoteReference"/>
          <w:rFonts w:eastAsiaTheme="minorHAnsi"/>
        </w:rPr>
        <w:footnoteReference w:id="15"/>
      </w:r>
      <w:r w:rsidRPr="007F44F9">
        <w:t>; подчертава, с оглед на ограничените налични финансови ресурси за изпълнението на целите на програмата, че бюджетът, отпуснат за направление „Медии“ и други програмни бюджетни редове, не трябва да се разпределя за финансиране на Съвета на директорите;</w:t>
      </w:r>
    </w:p>
    <w:p w:rsidR="00F016AA" w:rsidRPr="007F44F9" w:rsidRDefault="00F016AA" w:rsidP="00F016AA">
      <w:pPr>
        <w:pStyle w:val="NormalHanging12a"/>
        <w:widowControl/>
        <w:rPr>
          <w:rFonts w:eastAsiaTheme="minorHAnsi"/>
          <w:b/>
          <w:i/>
        </w:rPr>
      </w:pPr>
      <w:proofErr w:type="spellStart"/>
      <w:r w:rsidRPr="007F44F9">
        <w:rPr>
          <w:b/>
          <w:i/>
        </w:rPr>
        <w:lastRenderedPageBreak/>
        <w:t>Междусекторно</w:t>
      </w:r>
      <w:proofErr w:type="spellEnd"/>
      <w:r w:rsidRPr="007F44F9">
        <w:rPr>
          <w:b/>
          <w:i/>
        </w:rPr>
        <w:t xml:space="preserve"> направление</w:t>
      </w:r>
    </w:p>
    <w:p w:rsidR="00F016AA" w:rsidRPr="007F44F9" w:rsidRDefault="00F016AA" w:rsidP="00F016AA">
      <w:pPr>
        <w:pStyle w:val="NormalHanging12a"/>
        <w:widowControl/>
        <w:rPr>
          <w:rFonts w:eastAsiaTheme="minorHAnsi"/>
        </w:rPr>
      </w:pPr>
      <w:r w:rsidRPr="007F44F9">
        <w:t>50.</w:t>
      </w:r>
      <w:r w:rsidRPr="007F44F9">
        <w:tab/>
        <w:t xml:space="preserve">изразява съжаление, че действията, програмирани по </w:t>
      </w:r>
      <w:proofErr w:type="spellStart"/>
      <w:r w:rsidRPr="007F44F9">
        <w:t>междусекторното</w:t>
      </w:r>
      <w:proofErr w:type="spellEnd"/>
      <w:r w:rsidRPr="007F44F9">
        <w:t xml:space="preserve"> направление, претърпяха най-големи закъснения в изпълнението, особено през 2021 г., поради нововъведенията в направлението;</w:t>
      </w:r>
    </w:p>
    <w:p w:rsidR="00F016AA" w:rsidRPr="007F44F9" w:rsidRDefault="00F016AA" w:rsidP="00F016AA">
      <w:pPr>
        <w:pStyle w:val="NormalHanging12a"/>
        <w:widowControl/>
        <w:rPr>
          <w:rFonts w:eastAsiaTheme="minorHAnsi"/>
        </w:rPr>
      </w:pPr>
      <w:r w:rsidRPr="007F44F9">
        <w:t>51.</w:t>
      </w:r>
      <w:r w:rsidRPr="007F44F9">
        <w:tab/>
        <w:t>отбелязва, че поканите във връзка с журналистическите партньорства и с медийната грамотност привлякоха най-голям брой заявления през периода 2021–2022 г., което подчертава спешната необходимост от по-голяма финансова подкрепа за европейския медиен сектор;</w:t>
      </w:r>
    </w:p>
    <w:p w:rsidR="00F016AA" w:rsidRPr="007F44F9" w:rsidRDefault="00F016AA" w:rsidP="00F016AA">
      <w:pPr>
        <w:pStyle w:val="NormalHanging12a"/>
        <w:widowControl/>
        <w:rPr>
          <w:rFonts w:eastAsiaTheme="minorHAnsi"/>
        </w:rPr>
      </w:pPr>
      <w:r w:rsidRPr="007F44F9">
        <w:t>52.</w:t>
      </w:r>
      <w:r w:rsidRPr="007F44F9">
        <w:tab/>
        <w:t xml:space="preserve">отбелязва, че ниският процент на успеваемост на заявленията по </w:t>
      </w:r>
      <w:proofErr w:type="spellStart"/>
      <w:r w:rsidRPr="007F44F9">
        <w:t>междусекторното</w:t>
      </w:r>
      <w:proofErr w:type="spellEnd"/>
      <w:r w:rsidRPr="007F44F9">
        <w:t xml:space="preserve"> направление, въпреки цялостно високото качество на подадените заявления, показва голямо търсене на финансова подкрепа, което за съжаление не може да бъде удовлетворено чрез настоящите разпределени финансови средства;</w:t>
      </w:r>
    </w:p>
    <w:p w:rsidR="00F016AA" w:rsidRDefault="00F016AA" w:rsidP="00CB60E7">
      <w:pPr>
        <w:pStyle w:val="NormalHanging12a"/>
        <w:widowControl/>
      </w:pPr>
      <w:r w:rsidRPr="007F44F9">
        <w:t>53.</w:t>
      </w:r>
      <w:r w:rsidRPr="007F44F9">
        <w:tab/>
        <w:t>призовава Комисията да гарантира, че през оставащия програмен период не по-малко от 9%</w:t>
      </w:r>
      <w:r w:rsidRPr="007F44F9">
        <w:rPr>
          <w:rStyle w:val="FootnoteReference"/>
        </w:rPr>
        <w:footnoteReference w:id="16"/>
      </w:r>
      <w:r w:rsidRPr="007F44F9">
        <w:t xml:space="preserve"> от общия бюджет за периода 2021–2027 г. ще бъдат заделени за подкрепа на целите на </w:t>
      </w:r>
      <w:proofErr w:type="spellStart"/>
      <w:r w:rsidRPr="007F44F9">
        <w:t>междусекторното</w:t>
      </w:r>
      <w:proofErr w:type="spellEnd"/>
      <w:r w:rsidRPr="007F44F9">
        <w:t xml:space="preserve"> направление;</w:t>
      </w:r>
    </w:p>
    <w:p w:rsidR="00CB60E7" w:rsidRDefault="00CB60E7" w:rsidP="00CB60E7">
      <w:pPr>
        <w:pStyle w:val="NormalHanging12a"/>
        <w:widowControl/>
        <w:ind w:left="0" w:firstLine="0"/>
        <w:jc w:val="center"/>
        <w:rPr>
          <w:rFonts w:eastAsiaTheme="minorHAnsi"/>
        </w:rPr>
      </w:pPr>
      <w:r>
        <w:rPr>
          <w:rFonts w:eastAsiaTheme="minorHAnsi"/>
        </w:rPr>
        <w:t>°</w:t>
      </w:r>
    </w:p>
    <w:p w:rsidR="00CB60E7" w:rsidRDefault="00CB60E7" w:rsidP="00CB60E7">
      <w:pPr>
        <w:pStyle w:val="NormalHanging12a"/>
        <w:widowControl/>
        <w:ind w:left="0" w:firstLine="0"/>
        <w:jc w:val="center"/>
        <w:rPr>
          <w:rFonts w:eastAsiaTheme="minorHAnsi"/>
        </w:rPr>
      </w:pPr>
      <w:r>
        <w:rPr>
          <w:rFonts w:eastAsiaTheme="minorHAnsi"/>
        </w:rPr>
        <w:t>°     °</w:t>
      </w:r>
    </w:p>
    <w:p w:rsidR="00F016AA" w:rsidRPr="007F44F9" w:rsidRDefault="00F016AA" w:rsidP="00F016AA">
      <w:pPr>
        <w:pStyle w:val="NormalHanging12a"/>
        <w:widowControl/>
      </w:pPr>
      <w:r w:rsidRPr="007F44F9">
        <w:t>54.</w:t>
      </w:r>
      <w:r w:rsidRPr="007F44F9">
        <w:tab/>
        <w:t xml:space="preserve">възлага на своя председател да предаде настоящата резолюция съответно на Съвета и на Комисията, </w:t>
      </w:r>
      <w:r w:rsidRPr="007F44F9">
        <w:rPr>
          <w:snapToGrid w:val="0"/>
        </w:rPr>
        <w:t>както и на националните бюра по програма „Творческа Европа“</w:t>
      </w:r>
      <w:r w:rsidRPr="007F44F9">
        <w:t>.</w:t>
      </w:r>
    </w:p>
    <w:sectPr w:rsidR="00F016AA" w:rsidRPr="007F44F9" w:rsidSect="007F44F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2346" w:rsidRPr="007F44F9" w:rsidRDefault="009F2346">
      <w:r w:rsidRPr="007F44F9">
        <w:separator/>
      </w:r>
    </w:p>
  </w:endnote>
  <w:endnote w:type="continuationSeparator" w:id="0">
    <w:p w:rsidR="009F2346" w:rsidRPr="007F44F9" w:rsidRDefault="009F2346">
      <w:r w:rsidRPr="007F44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2346" w:rsidRPr="007F44F9" w:rsidRDefault="009F2346">
      <w:r w:rsidRPr="007F44F9">
        <w:separator/>
      </w:r>
    </w:p>
  </w:footnote>
  <w:footnote w:type="continuationSeparator" w:id="0">
    <w:p w:rsidR="009F2346" w:rsidRPr="007F44F9" w:rsidRDefault="009F2346">
      <w:r w:rsidRPr="007F44F9">
        <w:continuationSeparator/>
      </w:r>
    </w:p>
  </w:footnote>
  <w:footnote w:id="1">
    <w:p w:rsidR="00F016AA" w:rsidRPr="007F44F9" w:rsidRDefault="00F016AA" w:rsidP="007F44F9">
      <w:pPr>
        <w:pStyle w:val="FootnoteText"/>
        <w:ind w:left="567" w:hanging="567"/>
        <w:rPr>
          <w:sz w:val="24"/>
          <w:lang w:val="bg-BG"/>
        </w:rPr>
      </w:pPr>
      <w:r w:rsidRPr="007F44F9">
        <w:rPr>
          <w:rStyle w:val="FootnoteReference"/>
          <w:sz w:val="24"/>
          <w:lang w:val="bg-BG"/>
        </w:rPr>
        <w:footnoteRef/>
      </w:r>
      <w:r w:rsidR="007F44F9" w:rsidRPr="007F44F9">
        <w:rPr>
          <w:sz w:val="24"/>
          <w:lang w:val="bg-BG"/>
        </w:rPr>
        <w:t xml:space="preserve"> </w:t>
      </w:r>
      <w:r w:rsidR="007F44F9" w:rsidRPr="007F44F9">
        <w:rPr>
          <w:sz w:val="24"/>
          <w:lang w:val="bg-BG"/>
        </w:rPr>
        <w:tab/>
      </w:r>
      <w:r w:rsidRPr="007F44F9">
        <w:rPr>
          <w:sz w:val="24"/>
          <w:lang w:val="bg-BG"/>
        </w:rPr>
        <w:t>ОВ L 189, 28.5.2021 г., стр. 34.</w:t>
      </w:r>
    </w:p>
  </w:footnote>
  <w:footnote w:id="2">
    <w:p w:rsidR="00F016AA" w:rsidRPr="007F44F9" w:rsidRDefault="00F016AA" w:rsidP="007F44F9">
      <w:pPr>
        <w:pStyle w:val="FootnoteText"/>
        <w:ind w:left="567" w:hanging="567"/>
        <w:rPr>
          <w:sz w:val="24"/>
          <w:lang w:val="bg-BG"/>
        </w:rPr>
      </w:pPr>
      <w:r w:rsidRPr="007F44F9">
        <w:rPr>
          <w:rStyle w:val="FootnoteReference"/>
          <w:sz w:val="24"/>
          <w:lang w:val="bg-BG"/>
        </w:rPr>
        <w:footnoteRef/>
      </w:r>
      <w:r w:rsidR="007F44F9" w:rsidRPr="007F44F9">
        <w:rPr>
          <w:sz w:val="24"/>
          <w:lang w:val="bg-BG"/>
        </w:rPr>
        <w:t xml:space="preserve"> </w:t>
      </w:r>
      <w:r w:rsidR="007F44F9" w:rsidRPr="007F44F9">
        <w:rPr>
          <w:sz w:val="24"/>
          <w:lang w:val="bg-BG"/>
        </w:rPr>
        <w:tab/>
      </w:r>
      <w:r w:rsidRPr="007F44F9">
        <w:rPr>
          <w:sz w:val="24"/>
          <w:lang w:val="bg-BG"/>
        </w:rPr>
        <w:t>ОВ L 347, 20.12.2013 г., стр. 221.</w:t>
      </w:r>
    </w:p>
  </w:footnote>
  <w:footnote w:id="3">
    <w:p w:rsidR="00F016AA" w:rsidRPr="007F44F9" w:rsidRDefault="00F016AA" w:rsidP="007F44F9">
      <w:pPr>
        <w:pStyle w:val="FootnoteText"/>
        <w:ind w:left="567" w:hanging="567"/>
        <w:rPr>
          <w:sz w:val="24"/>
          <w:lang w:val="bg-BG"/>
        </w:rPr>
      </w:pPr>
      <w:r w:rsidRPr="007F44F9">
        <w:rPr>
          <w:rStyle w:val="FootnoteReference"/>
          <w:sz w:val="24"/>
          <w:lang w:val="bg-BG"/>
        </w:rPr>
        <w:footnoteRef/>
      </w:r>
      <w:r w:rsidR="007F44F9" w:rsidRPr="007F44F9">
        <w:rPr>
          <w:sz w:val="24"/>
          <w:lang w:val="bg-BG"/>
        </w:rPr>
        <w:t xml:space="preserve"> </w:t>
      </w:r>
      <w:r w:rsidR="007F44F9" w:rsidRPr="007F44F9">
        <w:rPr>
          <w:sz w:val="24"/>
          <w:lang w:val="bg-BG"/>
        </w:rPr>
        <w:tab/>
      </w:r>
      <w:r w:rsidRPr="007F44F9">
        <w:rPr>
          <w:sz w:val="24"/>
          <w:lang w:val="bg-BG"/>
        </w:rPr>
        <w:t>ОВ С 108, 26.3.2021 г., стр. 934.</w:t>
      </w:r>
    </w:p>
  </w:footnote>
  <w:footnote w:id="4">
    <w:p w:rsidR="00F016AA" w:rsidRPr="007F44F9" w:rsidRDefault="00F016AA" w:rsidP="007F44F9">
      <w:pPr>
        <w:pStyle w:val="FootnoteText"/>
        <w:ind w:left="567" w:hanging="567"/>
        <w:rPr>
          <w:sz w:val="24"/>
          <w:lang w:val="bg-BG"/>
        </w:rPr>
      </w:pPr>
      <w:r w:rsidRPr="007F44F9">
        <w:rPr>
          <w:rStyle w:val="FootnoteReference"/>
          <w:sz w:val="24"/>
          <w:lang w:val="bg-BG"/>
        </w:rPr>
        <w:footnoteRef/>
      </w:r>
      <w:r w:rsidR="007F44F9" w:rsidRPr="007F44F9">
        <w:rPr>
          <w:sz w:val="24"/>
          <w:lang w:val="bg-BG"/>
        </w:rPr>
        <w:t xml:space="preserve"> </w:t>
      </w:r>
      <w:r w:rsidR="007F44F9" w:rsidRPr="007F44F9">
        <w:rPr>
          <w:sz w:val="24"/>
          <w:lang w:val="bg-BG"/>
        </w:rPr>
        <w:tab/>
      </w:r>
      <w:r w:rsidRPr="007F44F9">
        <w:rPr>
          <w:sz w:val="24"/>
          <w:lang w:val="bg-BG"/>
        </w:rPr>
        <w:t>OВ C 110, 22.3.2019 г., стp. 87.</w:t>
      </w:r>
    </w:p>
  </w:footnote>
  <w:footnote w:id="5">
    <w:p w:rsidR="00F016AA" w:rsidRPr="007F44F9" w:rsidRDefault="00F016AA" w:rsidP="007F44F9">
      <w:pPr>
        <w:pStyle w:val="FootnoteText"/>
        <w:ind w:left="567" w:hanging="567"/>
        <w:rPr>
          <w:sz w:val="24"/>
          <w:lang w:val="bg-BG"/>
        </w:rPr>
      </w:pPr>
      <w:r w:rsidRPr="007F44F9">
        <w:rPr>
          <w:rStyle w:val="FootnoteReference"/>
          <w:sz w:val="24"/>
          <w:lang w:val="bg-BG"/>
        </w:rPr>
        <w:footnoteRef/>
      </w:r>
      <w:r w:rsidR="007F44F9" w:rsidRPr="007F44F9">
        <w:rPr>
          <w:sz w:val="24"/>
          <w:lang w:val="bg-BG"/>
        </w:rPr>
        <w:t xml:space="preserve"> </w:t>
      </w:r>
      <w:r w:rsidR="007F44F9" w:rsidRPr="007F44F9">
        <w:rPr>
          <w:sz w:val="24"/>
          <w:lang w:val="bg-BG"/>
        </w:rPr>
        <w:tab/>
      </w:r>
      <w:r w:rsidRPr="007F44F9">
        <w:rPr>
          <w:sz w:val="24"/>
          <w:lang w:val="bg-BG"/>
        </w:rPr>
        <w:t>ОВ C 168, 16.5.2019 г., стр. 37.</w:t>
      </w:r>
    </w:p>
  </w:footnote>
  <w:footnote w:id="6">
    <w:p w:rsidR="00F016AA" w:rsidRPr="007F44F9" w:rsidRDefault="00F016AA" w:rsidP="007F44F9">
      <w:pPr>
        <w:pStyle w:val="FootnoteText"/>
        <w:ind w:left="567" w:hanging="567"/>
        <w:rPr>
          <w:sz w:val="24"/>
          <w:lang w:val="bg-BG"/>
        </w:rPr>
      </w:pPr>
      <w:r w:rsidRPr="007F44F9">
        <w:rPr>
          <w:rStyle w:val="FootnoteReference"/>
          <w:sz w:val="24"/>
          <w:lang w:val="bg-BG"/>
        </w:rPr>
        <w:footnoteRef/>
      </w:r>
      <w:r w:rsidR="007F44F9" w:rsidRPr="007F44F9">
        <w:rPr>
          <w:sz w:val="24"/>
          <w:lang w:val="bg-BG"/>
        </w:rPr>
        <w:t xml:space="preserve"> </w:t>
      </w:r>
      <w:r w:rsidR="007F44F9" w:rsidRPr="007F44F9">
        <w:rPr>
          <w:sz w:val="24"/>
          <w:lang w:val="bg-BG"/>
        </w:rPr>
        <w:tab/>
      </w:r>
      <w:r w:rsidRPr="007F44F9">
        <w:rPr>
          <w:sz w:val="24"/>
          <w:lang w:val="bg-BG"/>
        </w:rPr>
        <w:t>ОВ C 466, 7.12.2022 г., стр. 1.</w:t>
      </w:r>
    </w:p>
  </w:footnote>
  <w:footnote w:id="7">
    <w:p w:rsidR="00F016AA" w:rsidRPr="007F44F9" w:rsidRDefault="00F016AA" w:rsidP="007F44F9">
      <w:pPr>
        <w:pStyle w:val="FootnoteText"/>
        <w:ind w:left="567" w:hanging="567"/>
        <w:rPr>
          <w:sz w:val="24"/>
          <w:lang w:val="bg-BG"/>
        </w:rPr>
      </w:pPr>
      <w:r w:rsidRPr="007F44F9">
        <w:rPr>
          <w:rStyle w:val="FootnoteReference"/>
          <w:sz w:val="24"/>
          <w:lang w:val="bg-BG"/>
        </w:rPr>
        <w:footnoteRef/>
      </w:r>
      <w:r w:rsidR="007F44F9" w:rsidRPr="007F44F9">
        <w:rPr>
          <w:sz w:val="24"/>
          <w:lang w:val="bg-BG"/>
        </w:rPr>
        <w:t xml:space="preserve"> </w:t>
      </w:r>
      <w:r w:rsidR="007F44F9" w:rsidRPr="007F44F9">
        <w:rPr>
          <w:sz w:val="24"/>
          <w:lang w:val="bg-BG"/>
        </w:rPr>
        <w:tab/>
      </w:r>
      <w:r w:rsidRPr="007F44F9">
        <w:rPr>
          <w:sz w:val="24"/>
          <w:lang w:val="bg-BG"/>
        </w:rPr>
        <w:t>Приети текстове, P9_TA(2023)0329.</w:t>
      </w:r>
    </w:p>
  </w:footnote>
  <w:footnote w:id="8">
    <w:p w:rsidR="00F016AA" w:rsidRPr="007F44F9" w:rsidRDefault="00F016AA" w:rsidP="007F44F9">
      <w:pPr>
        <w:pStyle w:val="FootnoteText"/>
        <w:ind w:left="567" w:hanging="567"/>
        <w:rPr>
          <w:sz w:val="24"/>
          <w:lang w:val="bg-BG"/>
        </w:rPr>
      </w:pPr>
      <w:r w:rsidRPr="007F44F9">
        <w:rPr>
          <w:rStyle w:val="FootnoteReference"/>
          <w:sz w:val="24"/>
          <w:lang w:val="bg-BG"/>
        </w:rPr>
        <w:footnoteRef/>
      </w:r>
      <w:r w:rsidR="007F44F9" w:rsidRPr="007F44F9">
        <w:rPr>
          <w:sz w:val="24"/>
          <w:lang w:val="bg-BG"/>
        </w:rPr>
        <w:t xml:space="preserve"> </w:t>
      </w:r>
      <w:r w:rsidR="007F44F9" w:rsidRPr="007F44F9">
        <w:rPr>
          <w:sz w:val="24"/>
          <w:lang w:val="bg-BG"/>
        </w:rPr>
        <w:tab/>
      </w:r>
      <w:r w:rsidRPr="007F44F9">
        <w:rPr>
          <w:sz w:val="24"/>
          <w:lang w:val="bg-BG"/>
        </w:rPr>
        <w:t>ОВ C 177, 17.5.2023 г., стр. 78.</w:t>
      </w:r>
    </w:p>
  </w:footnote>
  <w:footnote w:id="9">
    <w:p w:rsidR="00F016AA" w:rsidRPr="007F44F9" w:rsidRDefault="00F016AA" w:rsidP="007F44F9">
      <w:pPr>
        <w:pStyle w:val="FootnoteText"/>
        <w:ind w:left="567" w:hanging="567"/>
        <w:rPr>
          <w:sz w:val="24"/>
          <w:lang w:val="bg-BG"/>
        </w:rPr>
      </w:pPr>
      <w:r w:rsidRPr="007F44F9">
        <w:rPr>
          <w:rStyle w:val="FootnoteReference"/>
          <w:sz w:val="24"/>
          <w:lang w:val="bg-BG"/>
        </w:rPr>
        <w:footnoteRef/>
      </w:r>
      <w:r w:rsidR="007F44F9" w:rsidRPr="007F44F9">
        <w:rPr>
          <w:sz w:val="24"/>
          <w:lang w:val="bg-BG"/>
        </w:rPr>
        <w:t xml:space="preserve"> </w:t>
      </w:r>
      <w:r w:rsidR="007F44F9" w:rsidRPr="007F44F9">
        <w:rPr>
          <w:sz w:val="24"/>
          <w:lang w:val="bg-BG"/>
        </w:rPr>
        <w:tab/>
      </w:r>
      <w:r w:rsidRPr="007F44F9">
        <w:rPr>
          <w:sz w:val="24"/>
          <w:lang w:val="bg-BG"/>
        </w:rPr>
        <w:t>ОВ C 184, 5.5.2022 г., стр. 71.</w:t>
      </w:r>
    </w:p>
  </w:footnote>
  <w:footnote w:id="10">
    <w:p w:rsidR="00F016AA" w:rsidRPr="007F44F9" w:rsidRDefault="00F016AA" w:rsidP="007F44F9">
      <w:pPr>
        <w:pStyle w:val="FootnoteText"/>
        <w:ind w:left="567" w:hanging="567"/>
        <w:rPr>
          <w:sz w:val="24"/>
          <w:lang w:val="bg-BG"/>
        </w:rPr>
      </w:pPr>
      <w:r w:rsidRPr="007F44F9">
        <w:rPr>
          <w:rStyle w:val="FootnoteReference"/>
          <w:sz w:val="24"/>
          <w:lang w:val="bg-BG"/>
        </w:rPr>
        <w:footnoteRef/>
      </w:r>
      <w:r w:rsidR="007F44F9" w:rsidRPr="007F44F9">
        <w:rPr>
          <w:sz w:val="24"/>
          <w:lang w:val="bg-BG"/>
        </w:rPr>
        <w:t xml:space="preserve"> </w:t>
      </w:r>
      <w:r w:rsidR="007F44F9" w:rsidRPr="007F44F9">
        <w:rPr>
          <w:sz w:val="24"/>
          <w:lang w:val="bg-BG"/>
        </w:rPr>
        <w:tab/>
      </w:r>
      <w:r w:rsidRPr="007F44F9">
        <w:rPr>
          <w:sz w:val="24"/>
          <w:lang w:val="bg-BG"/>
        </w:rPr>
        <w:t>ОВ C 316, 6.8.2021 г., стр. 2.</w:t>
      </w:r>
    </w:p>
  </w:footnote>
  <w:footnote w:id="11">
    <w:p w:rsidR="00F016AA" w:rsidRPr="007F44F9" w:rsidRDefault="00F016AA" w:rsidP="007F44F9">
      <w:pPr>
        <w:pStyle w:val="FootnoteText"/>
        <w:ind w:left="567" w:hanging="567"/>
        <w:rPr>
          <w:sz w:val="24"/>
          <w:lang w:val="bg-BG"/>
        </w:rPr>
      </w:pPr>
      <w:r w:rsidRPr="007F44F9">
        <w:rPr>
          <w:rStyle w:val="FootnoteReference"/>
          <w:sz w:val="24"/>
          <w:lang w:val="bg-BG"/>
        </w:rPr>
        <w:footnoteRef/>
      </w:r>
      <w:r w:rsidR="007F44F9" w:rsidRPr="007F44F9">
        <w:rPr>
          <w:sz w:val="24"/>
          <w:lang w:val="bg-BG"/>
        </w:rPr>
        <w:t xml:space="preserve"> </w:t>
      </w:r>
      <w:r w:rsidR="007F44F9" w:rsidRPr="007F44F9">
        <w:rPr>
          <w:sz w:val="24"/>
          <w:lang w:val="bg-BG"/>
        </w:rPr>
        <w:tab/>
      </w:r>
      <w:r w:rsidRPr="007F44F9">
        <w:rPr>
          <w:sz w:val="24"/>
          <w:lang w:val="bg-BG"/>
        </w:rPr>
        <w:t>ОВ C 385, 22.9.2021 г., стр. 2.</w:t>
      </w:r>
    </w:p>
  </w:footnote>
  <w:footnote w:id="12">
    <w:p w:rsidR="00F016AA" w:rsidRPr="007F44F9" w:rsidRDefault="00F016AA" w:rsidP="007F44F9">
      <w:pPr>
        <w:pStyle w:val="FootnoteText"/>
        <w:ind w:left="567" w:hanging="567"/>
        <w:rPr>
          <w:sz w:val="24"/>
          <w:lang w:val="bg-BG"/>
        </w:rPr>
      </w:pPr>
      <w:r w:rsidRPr="007F44F9">
        <w:rPr>
          <w:rStyle w:val="FootnoteReference"/>
          <w:sz w:val="24"/>
          <w:lang w:val="bg-BG"/>
        </w:rPr>
        <w:footnoteRef/>
      </w:r>
      <w:r w:rsidR="007F44F9" w:rsidRPr="007F44F9">
        <w:rPr>
          <w:sz w:val="24"/>
          <w:lang w:val="bg-BG"/>
        </w:rPr>
        <w:t xml:space="preserve"> </w:t>
      </w:r>
      <w:r w:rsidR="007F44F9" w:rsidRPr="007F44F9">
        <w:rPr>
          <w:sz w:val="24"/>
          <w:lang w:val="bg-BG"/>
        </w:rPr>
        <w:tab/>
      </w:r>
      <w:r w:rsidRPr="007F44F9">
        <w:rPr>
          <w:sz w:val="24"/>
          <w:lang w:val="bg-BG"/>
        </w:rPr>
        <w:t>ОВ C 385, 22.9.2021 г., стр. 152.</w:t>
      </w:r>
    </w:p>
  </w:footnote>
  <w:footnote w:id="13">
    <w:p w:rsidR="00F016AA" w:rsidRPr="007F44F9" w:rsidRDefault="00F016AA" w:rsidP="007F44F9">
      <w:pPr>
        <w:pStyle w:val="FootnoteText"/>
        <w:ind w:left="567" w:hanging="567"/>
        <w:rPr>
          <w:sz w:val="24"/>
          <w:lang w:val="bg-BG"/>
        </w:rPr>
      </w:pPr>
      <w:r w:rsidRPr="007F44F9">
        <w:rPr>
          <w:rStyle w:val="FootnoteReference"/>
          <w:sz w:val="24"/>
          <w:lang w:val="bg-BG"/>
        </w:rPr>
        <w:footnoteRef/>
      </w:r>
      <w:r w:rsidR="007F44F9" w:rsidRPr="007F44F9">
        <w:rPr>
          <w:sz w:val="24"/>
          <w:lang w:val="bg-BG"/>
        </w:rPr>
        <w:t xml:space="preserve"> </w:t>
      </w:r>
      <w:r w:rsidR="007F44F9" w:rsidRPr="007F44F9">
        <w:rPr>
          <w:sz w:val="24"/>
          <w:lang w:val="bg-BG"/>
        </w:rPr>
        <w:tab/>
      </w:r>
      <w:r w:rsidRPr="007F44F9">
        <w:rPr>
          <w:sz w:val="24"/>
          <w:lang w:val="bg-BG"/>
        </w:rPr>
        <w:t>https://ec.europa.eu/eurostat/web/products-eurostat-news/w/ddn-20230309-2.</w:t>
      </w:r>
    </w:p>
  </w:footnote>
  <w:footnote w:id="14">
    <w:p w:rsidR="00F016AA" w:rsidRPr="007F44F9" w:rsidRDefault="00F016AA" w:rsidP="007F44F9">
      <w:pPr>
        <w:pStyle w:val="FootnoteText"/>
        <w:ind w:left="567" w:hanging="567"/>
        <w:rPr>
          <w:sz w:val="24"/>
          <w:lang w:val="bg-BG"/>
        </w:rPr>
      </w:pPr>
      <w:r w:rsidRPr="007F44F9">
        <w:rPr>
          <w:rStyle w:val="FootnoteReference"/>
          <w:sz w:val="24"/>
          <w:lang w:val="bg-BG"/>
        </w:rPr>
        <w:footnoteRef/>
      </w:r>
      <w:r w:rsidR="007F44F9" w:rsidRPr="007F44F9">
        <w:rPr>
          <w:sz w:val="24"/>
          <w:lang w:val="bg-BG"/>
        </w:rPr>
        <w:t xml:space="preserve"> </w:t>
      </w:r>
      <w:r w:rsidR="007F44F9" w:rsidRPr="007F44F9">
        <w:rPr>
          <w:sz w:val="24"/>
          <w:lang w:val="bg-BG"/>
        </w:rPr>
        <w:tab/>
      </w:r>
      <w:r w:rsidRPr="007F44F9">
        <w:rPr>
          <w:sz w:val="24"/>
          <w:lang w:val="bg-BG"/>
        </w:rPr>
        <w:t>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(ОВ L 119, 4.5.2016 г., стр. </w:t>
      </w:r>
      <w:r w:rsidRPr="007F44F9">
        <w:rPr>
          <w:sz w:val="24"/>
          <w:lang w:val="bg-BG"/>
        </w:rPr>
        <w:t>1).</w:t>
      </w:r>
    </w:p>
  </w:footnote>
  <w:footnote w:id="15">
    <w:p w:rsidR="00F016AA" w:rsidRPr="007F44F9" w:rsidRDefault="00F016AA" w:rsidP="007F44F9">
      <w:pPr>
        <w:pStyle w:val="FootnoteText"/>
        <w:ind w:left="567" w:hanging="567"/>
        <w:rPr>
          <w:sz w:val="24"/>
          <w:lang w:val="bg-BG"/>
        </w:rPr>
      </w:pPr>
      <w:r w:rsidRPr="007F44F9">
        <w:rPr>
          <w:rStyle w:val="FootnoteReference"/>
          <w:sz w:val="24"/>
          <w:lang w:val="bg-BG"/>
        </w:rPr>
        <w:footnoteRef/>
      </w:r>
      <w:r w:rsidR="007F44F9" w:rsidRPr="007F44F9">
        <w:rPr>
          <w:sz w:val="24"/>
          <w:lang w:val="bg-BG"/>
        </w:rPr>
        <w:t xml:space="preserve"> </w:t>
      </w:r>
      <w:r w:rsidR="007F44F9" w:rsidRPr="007F44F9">
        <w:rPr>
          <w:sz w:val="24"/>
          <w:lang w:val="bg-BG"/>
        </w:rPr>
        <w:tab/>
      </w:r>
      <w:r w:rsidRPr="007F44F9">
        <w:rPr>
          <w:sz w:val="24"/>
          <w:lang w:val="bg-BG"/>
        </w:rPr>
        <w:t xml:space="preserve">Директива 2010/13/ЕС на Европейския парламент и на Съвета от 10 март 2010 г. </w:t>
      </w:r>
      <w:r w:rsidRPr="007F44F9">
        <w:rPr>
          <w:sz w:val="24"/>
          <w:lang w:val="bg-BG"/>
        </w:rPr>
        <w:t xml:space="preserve">за координирането на някои разпоредби, установени в закони, подзаконови и административни актове на държавите членки, отнасящи се до предоставянето на аудиовизуални медийни услуги (Директива за аудиовизуалните медийни услуги) </w:t>
      </w:r>
      <w:r w:rsidR="00123980">
        <w:rPr>
          <w:sz w:val="24"/>
          <w:lang w:val="bg-BG"/>
        </w:rPr>
        <w:t>(</w:t>
      </w:r>
      <w:r w:rsidRPr="007F44F9">
        <w:rPr>
          <w:sz w:val="24"/>
          <w:lang w:val="bg-BG"/>
        </w:rPr>
        <w:t>ОВ L 95, 15.4.2010 г., стр. 1</w:t>
      </w:r>
      <w:r w:rsidR="00123980">
        <w:rPr>
          <w:sz w:val="24"/>
          <w:lang w:val="bg-BG"/>
        </w:rPr>
        <w:t>)</w:t>
      </w:r>
      <w:r w:rsidRPr="007F44F9">
        <w:rPr>
          <w:sz w:val="24"/>
          <w:lang w:val="bg-BG"/>
        </w:rPr>
        <w:t>.</w:t>
      </w:r>
    </w:p>
  </w:footnote>
  <w:footnote w:id="16">
    <w:p w:rsidR="00F016AA" w:rsidRPr="007F44F9" w:rsidRDefault="00F016AA" w:rsidP="007F44F9">
      <w:pPr>
        <w:pStyle w:val="FootnoteText"/>
        <w:ind w:left="567" w:hanging="567"/>
        <w:rPr>
          <w:sz w:val="24"/>
          <w:lang w:val="bg-BG"/>
        </w:rPr>
      </w:pPr>
      <w:r w:rsidRPr="007F44F9">
        <w:rPr>
          <w:rStyle w:val="FootnoteReference"/>
          <w:sz w:val="24"/>
          <w:lang w:val="bg-BG"/>
        </w:rPr>
        <w:footnoteRef/>
      </w:r>
      <w:r w:rsidR="007F44F9" w:rsidRPr="007F44F9">
        <w:rPr>
          <w:sz w:val="24"/>
          <w:lang w:val="bg-BG"/>
        </w:rPr>
        <w:t xml:space="preserve"> </w:t>
      </w:r>
      <w:r w:rsidR="007F44F9" w:rsidRPr="007F44F9">
        <w:rPr>
          <w:sz w:val="24"/>
          <w:lang w:val="bg-BG"/>
        </w:rPr>
        <w:tab/>
      </w:r>
      <w:r w:rsidRPr="007F44F9">
        <w:rPr>
          <w:sz w:val="24"/>
          <w:lang w:val="bg-BG"/>
        </w:rPr>
        <w:t>Член 8 от Регламент (ЕС) 2021/818 за създаване на програма „Творческа Европа“ (2021 – 2027 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5/2023"/>
    <w:docVar w:name="dvlangue" w:val="BG"/>
    <w:docVar w:name="dvnumam" w:val="0"/>
    <w:docVar w:name="dvpe" w:val="750.020"/>
    <w:docVar w:name="dvrapporteur" w:val="Докладчик: "/>
    <w:docVar w:name="dvtitre" w:val="Резолюция на Европейския парламент от ... 2024 г. относно изпълнението на програмата „Творческа Европа“ за периода 2021 – 2027 г.(2023/2003(INI))"/>
  </w:docVars>
  <w:rsids>
    <w:rsidRoot w:val="009F2346"/>
    <w:rsid w:val="00002272"/>
    <w:rsid w:val="00064002"/>
    <w:rsid w:val="000677B9"/>
    <w:rsid w:val="000831BA"/>
    <w:rsid w:val="000A42CC"/>
    <w:rsid w:val="000E7DD9"/>
    <w:rsid w:val="0010095E"/>
    <w:rsid w:val="00123980"/>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D3555"/>
    <w:rsid w:val="007E22AD"/>
    <w:rsid w:val="007F44F9"/>
    <w:rsid w:val="00817416"/>
    <w:rsid w:val="00842779"/>
    <w:rsid w:val="00865F67"/>
    <w:rsid w:val="00881A7B"/>
    <w:rsid w:val="008840E5"/>
    <w:rsid w:val="00887B3E"/>
    <w:rsid w:val="008C2AC6"/>
    <w:rsid w:val="00930C23"/>
    <w:rsid w:val="0093193B"/>
    <w:rsid w:val="009509D8"/>
    <w:rsid w:val="00950B64"/>
    <w:rsid w:val="00981893"/>
    <w:rsid w:val="009F234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60E7"/>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16A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A26814"/>
  <w15:chartTrackingRefBased/>
  <w15:docId w15:val="{1660160F-DAFA-4620-ABB0-0595E1457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N Footnote Reference,EN Footnote text,Exposant 3 Point,Footnote,Footnote Reference Number,Footnote Reference_LVL6,Footnote Reference_LVL61,Footnote reference number,Footnote symbol,R,Ref,SUPERS,Times 10 Point,de nota al pie,note TESI"/>
    <w:uiPriority w:val="99"/>
    <w:qFormat/>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016AA"/>
    <w:pPr>
      <w:spacing w:after="240"/>
      <w:ind w:left="567" w:hanging="567"/>
    </w:pPr>
  </w:style>
  <w:style w:type="paragraph" w:customStyle="1" w:styleId="EPComma">
    <w:name w:val="EPComma"/>
    <w:basedOn w:val="Normal"/>
    <w:rsid w:val="00F016AA"/>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EA353C-12DC-4B0B-BCE4-17F2B79E4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5269</Words>
  <Characters>32133</Characters>
  <Application>Microsoft Office Word</Application>
  <DocSecurity>0</DocSecurity>
  <Lines>267</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2024-01-16T11:29:00Z</dcterms:created>
  <dcterms:modified xsi:type="dcterms:W3CDTF">2024-01-16T11:29:00Z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A9-0425/2023</vt:lpwstr>
  </property>
  <property fmtid="{D5CDD505-2E9C-101B-9397-08002B2CF9AE}" pid="4" name="&lt;Type&gt;">
    <vt:lpwstr>RR</vt:lpwstr>
  </property>
</Properties>
</file>