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E549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E5492" w:rsidRDefault="00293833" w:rsidP="0010095E">
            <w:pPr>
              <w:pStyle w:val="EPName"/>
            </w:pPr>
            <w:r w:rsidRPr="000E5492">
              <w:t>Evropský parlament</w:t>
            </w:r>
          </w:p>
          <w:p w:rsidR="00751A4A" w:rsidRPr="000E549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E549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E5492" w:rsidRDefault="00187494" w:rsidP="0010095E">
            <w:pPr>
              <w:pStyle w:val="EPLogo"/>
            </w:pPr>
            <w:r w:rsidRPr="000E549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E5492" w:rsidRDefault="00D058B8" w:rsidP="004C5D52">
      <w:pPr>
        <w:pStyle w:val="LineTop"/>
      </w:pPr>
    </w:p>
    <w:p w:rsidR="00680577" w:rsidRPr="000E5492" w:rsidRDefault="00293833" w:rsidP="00680577">
      <w:pPr>
        <w:pStyle w:val="EPBodyTA1"/>
      </w:pPr>
      <w:r w:rsidRPr="000E5492">
        <w:t>PŘIJATÉ TEXTY</w:t>
      </w:r>
    </w:p>
    <w:p w:rsidR="00D058B8" w:rsidRPr="000E5492" w:rsidRDefault="00D058B8" w:rsidP="00D058B8">
      <w:pPr>
        <w:pStyle w:val="LineBottom"/>
      </w:pPr>
    </w:p>
    <w:p w:rsidR="00293833" w:rsidRPr="000E5492" w:rsidRDefault="00293833" w:rsidP="00293833">
      <w:pPr>
        <w:pStyle w:val="ATHeading1"/>
      </w:pPr>
      <w:bookmarkStart w:id="0" w:name="TANumber"/>
      <w:r w:rsidRPr="000E5492">
        <w:t>P9_TA(2024)000</w:t>
      </w:r>
      <w:r w:rsidR="00D86B37">
        <w:t>8</w:t>
      </w:r>
      <w:bookmarkEnd w:id="0"/>
    </w:p>
    <w:p w:rsidR="00293833" w:rsidRPr="000E5492" w:rsidRDefault="00293833" w:rsidP="00293833">
      <w:pPr>
        <w:pStyle w:val="ATHeading2"/>
      </w:pPr>
      <w:bookmarkStart w:id="1" w:name="title"/>
      <w:r w:rsidRPr="000E5492">
        <w:t>Provádění programu Kreativní Evropa na období 2021–2027</w:t>
      </w:r>
      <w:bookmarkEnd w:id="1"/>
    </w:p>
    <w:p w:rsidR="00293833" w:rsidRPr="000E5492" w:rsidRDefault="00293833" w:rsidP="00293833">
      <w:pPr>
        <w:rPr>
          <w:i/>
          <w:vanish/>
        </w:rPr>
      </w:pPr>
      <w:r w:rsidRPr="000E5492">
        <w:rPr>
          <w:i/>
        </w:rPr>
        <w:fldChar w:fldCharType="begin"/>
      </w:r>
      <w:r w:rsidRPr="000E5492">
        <w:rPr>
          <w:i/>
        </w:rPr>
        <w:instrText xml:space="preserve"> TC"(</w:instrText>
      </w:r>
      <w:bookmarkStart w:id="2" w:name="DocNumber"/>
      <w:r w:rsidRPr="000E5492">
        <w:rPr>
          <w:i/>
        </w:rPr>
        <w:instrText>A9-0425/2023</w:instrText>
      </w:r>
      <w:bookmarkEnd w:id="2"/>
      <w:r w:rsidRPr="000E5492">
        <w:rPr>
          <w:i/>
        </w:rPr>
        <w:instrText xml:space="preserve"> - Zpravodaj: </w:instrText>
      </w:r>
      <w:proofErr w:type="spellStart"/>
      <w:r w:rsidRPr="000E5492">
        <w:rPr>
          <w:i/>
        </w:rPr>
        <w:instrText>Massimiliano</w:instrText>
      </w:r>
      <w:proofErr w:type="spellEnd"/>
      <w:r w:rsidRPr="000E5492">
        <w:rPr>
          <w:i/>
        </w:rPr>
        <w:instrText xml:space="preserve"> </w:instrText>
      </w:r>
      <w:proofErr w:type="spellStart"/>
      <w:r w:rsidRPr="000E5492">
        <w:rPr>
          <w:i/>
        </w:rPr>
        <w:instrText>Smeriglio</w:instrText>
      </w:r>
      <w:proofErr w:type="spellEnd"/>
      <w:r w:rsidRPr="000E5492">
        <w:rPr>
          <w:i/>
        </w:rPr>
        <w:instrText xml:space="preserve">)"\l3 \n&gt; \* MERGEFORMAT </w:instrText>
      </w:r>
      <w:r w:rsidRPr="000E5492">
        <w:rPr>
          <w:i/>
        </w:rPr>
        <w:fldChar w:fldCharType="end"/>
      </w:r>
    </w:p>
    <w:p w:rsidR="00293833" w:rsidRPr="000E5492" w:rsidRDefault="00293833" w:rsidP="00293833">
      <w:pPr>
        <w:rPr>
          <w:vanish/>
        </w:rPr>
      </w:pPr>
      <w:bookmarkStart w:id="3" w:name="Commission"/>
      <w:r w:rsidRPr="000E5492">
        <w:rPr>
          <w:vanish/>
        </w:rPr>
        <w:t>Výbor pro kulturu a vzdělávání</w:t>
      </w:r>
      <w:bookmarkEnd w:id="3"/>
    </w:p>
    <w:p w:rsidR="00293833" w:rsidRPr="000E5492" w:rsidRDefault="00293833" w:rsidP="00293833">
      <w:pPr>
        <w:rPr>
          <w:vanish/>
        </w:rPr>
      </w:pPr>
      <w:bookmarkStart w:id="4" w:name="PE"/>
      <w:r w:rsidRPr="000E5492">
        <w:rPr>
          <w:vanish/>
        </w:rPr>
        <w:t>PE750.020</w:t>
      </w:r>
      <w:bookmarkEnd w:id="4"/>
    </w:p>
    <w:p w:rsidR="00293833" w:rsidRPr="000E5492" w:rsidRDefault="00293833" w:rsidP="00293833">
      <w:pPr>
        <w:pStyle w:val="ATHeading3"/>
      </w:pPr>
      <w:bookmarkStart w:id="5" w:name="Sujet"/>
      <w:r w:rsidRPr="000E5492">
        <w:t>Usnesení Evropského parlamentu ze dne 16. ledna 2024 o provádění programu Kreativní Evropa na období 2021–2027</w:t>
      </w:r>
      <w:bookmarkEnd w:id="5"/>
      <w:r w:rsidRPr="000E5492">
        <w:t xml:space="preserve"> </w:t>
      </w:r>
      <w:bookmarkStart w:id="6" w:name="References"/>
      <w:r w:rsidRPr="000E5492">
        <w:t>(2023/2003(INI))</w:t>
      </w:r>
      <w:bookmarkEnd w:id="6"/>
    </w:p>
    <w:p w:rsidR="00EA5808" w:rsidRPr="000E5492" w:rsidRDefault="00EA5808" w:rsidP="00EA5808">
      <w:pPr>
        <w:pStyle w:val="EPComma"/>
      </w:pPr>
      <w:bookmarkStart w:id="7" w:name="TextBodyBegin"/>
      <w:bookmarkEnd w:id="7"/>
      <w:r w:rsidRPr="000E5492">
        <w:rPr>
          <w:i/>
          <w:iCs/>
        </w:rPr>
        <w:t>Evropský parlament</w:t>
      </w:r>
      <w:r w:rsidRPr="000E5492">
        <w:t>,</w:t>
      </w:r>
    </w:p>
    <w:p w:rsidR="00EA5808" w:rsidRPr="000E5492" w:rsidRDefault="00EA5808" w:rsidP="007D5CD8">
      <w:pPr>
        <w:pStyle w:val="NormalHanging12a"/>
      </w:pPr>
      <w:r w:rsidRPr="000E5492">
        <w:t>–</w:t>
      </w:r>
      <w:r w:rsidRPr="000E5492">
        <w:tab/>
        <w:t>s ohledem na Smlouvu o fungování Evropské unie, a zejména na její článek 167, čl. 173 odst. 3 a čl. 294 odst. 7,</w:t>
      </w:r>
    </w:p>
    <w:p w:rsidR="00EA5808" w:rsidRPr="000E5492" w:rsidRDefault="00EA5808" w:rsidP="007D5CD8">
      <w:pPr>
        <w:pStyle w:val="NormalHanging12a"/>
      </w:pPr>
      <w:r w:rsidRPr="000E5492">
        <w:t>–</w:t>
      </w:r>
      <w:r w:rsidRPr="000E5492">
        <w:tab/>
        <w:t>s ohledem na nařízení Evropského parlamentu a Rady (EU) 2021/818 ze dne 20. května 2021, kterým se zavádí program Kreativní Evropa (2021–2027)</w:t>
      </w:r>
      <w:r w:rsidRPr="000E5492">
        <w:rPr>
          <w:rStyle w:val="FootnoteReference"/>
        </w:rPr>
        <w:footnoteReference w:id="1"/>
      </w:r>
      <w:r w:rsidRPr="000E5492">
        <w:t>,</w:t>
      </w:r>
    </w:p>
    <w:p w:rsidR="00EA5808" w:rsidRPr="000E5492" w:rsidRDefault="00EA5808" w:rsidP="007D5CD8">
      <w:pPr>
        <w:pStyle w:val="NormalHanging12a"/>
      </w:pPr>
      <w:r w:rsidRPr="000E5492">
        <w:t>–</w:t>
      </w:r>
      <w:r w:rsidRPr="000E5492">
        <w:tab/>
        <w:t>s ohledem na nařízení Evropského parlamentu a Rady (EU) č. 1295/2013 ze dne 11.</w:t>
      </w:r>
      <w:r w:rsidR="00856D81" w:rsidRPr="000E5492">
        <w:t> </w:t>
      </w:r>
      <w:r w:rsidRPr="000E5492">
        <w:t>prosince 2013, kterým se zavádí program Kreativní Evropa (2014–2020)</w:t>
      </w:r>
      <w:r w:rsidRPr="000E5492">
        <w:rPr>
          <w:rStyle w:val="FootnoteReference"/>
          <w:color w:val="000000"/>
          <w:szCs w:val="24"/>
        </w:rPr>
        <w:footnoteReference w:id="2"/>
      </w:r>
      <w:r w:rsidRPr="000E5492">
        <w:t>,</w:t>
      </w:r>
    </w:p>
    <w:p w:rsidR="00EA5808" w:rsidRPr="000E5492" w:rsidRDefault="00EA5808" w:rsidP="007D5CD8">
      <w:pPr>
        <w:pStyle w:val="NormalHanging12a"/>
      </w:pPr>
      <w:r w:rsidRPr="000E5492">
        <w:t>–</w:t>
      </w:r>
      <w:r w:rsidRPr="000E5492">
        <w:tab/>
        <w:t>s ohledem na návrh nařízení Evropského parlamentu a Rady ze dne 5. května 2018, kterým se zavádí program Kreativní Evropa (2021–2027) a zrušuje nařízení (EU) č. 1295/2013 (</w:t>
      </w:r>
      <w:proofErr w:type="gramStart"/>
      <w:r w:rsidRPr="000E5492">
        <w:t>COM(2018</w:t>
      </w:r>
      <w:proofErr w:type="gramEnd"/>
      <w:r w:rsidRPr="000E5492">
        <w:t>)0366),</w:t>
      </w:r>
    </w:p>
    <w:p w:rsidR="00EA5808" w:rsidRPr="000E5492" w:rsidRDefault="00EA5808" w:rsidP="007D5CD8">
      <w:pPr>
        <w:pStyle w:val="NormalHanging12a"/>
      </w:pPr>
      <w:r w:rsidRPr="000E5492">
        <w:t>–</w:t>
      </w:r>
      <w:r w:rsidRPr="000E5492">
        <w:tab/>
        <w:t>s ohledem na svůj postoj v prvním čtení ze dne 28. března 2019 k návrhu nařízení Evropského parlamentu a Rady, kterým se zavádí program Kreativní Evropa (2021–2027) a zrušuje nařízení (EU) č. 1295/2013</w:t>
      </w:r>
      <w:r w:rsidRPr="000E5492">
        <w:rPr>
          <w:rStyle w:val="FootnoteReference"/>
          <w:color w:val="000000"/>
        </w:rPr>
        <w:footnoteReference w:id="3"/>
      </w:r>
      <w:r w:rsidRPr="000E5492">
        <w:t>,</w:t>
      </w:r>
    </w:p>
    <w:p w:rsidR="00EA5808" w:rsidRPr="000E5492" w:rsidRDefault="00EA5808" w:rsidP="007D5CD8">
      <w:pPr>
        <w:pStyle w:val="NormalHanging12a"/>
      </w:pPr>
      <w:r w:rsidRPr="000E5492">
        <w:t>–</w:t>
      </w:r>
      <w:r w:rsidRPr="000E5492">
        <w:tab/>
        <w:t>s ohledem na stanovisko Evropského hospodářského a sociálního výboru ze dne 12. prosince 2018 k tématu Návrh nařízení Evropského parlamentu a Rady, kterým se zavádí program Kreativní Evropa (2021–2027) a zrušuje nařízení (EU) č. 1295/2013</w:t>
      </w:r>
      <w:r w:rsidRPr="000E5492">
        <w:rPr>
          <w:rStyle w:val="FootnoteReference"/>
        </w:rPr>
        <w:footnoteReference w:id="4"/>
      </w:r>
      <w:r w:rsidRPr="000E5492">
        <w:t>,</w:t>
      </w:r>
    </w:p>
    <w:p w:rsidR="00EA5808" w:rsidRPr="000E5492" w:rsidRDefault="00EA5808" w:rsidP="007D5CD8">
      <w:pPr>
        <w:pStyle w:val="NormalHanging12a"/>
      </w:pPr>
      <w:r w:rsidRPr="000E5492">
        <w:t>–</w:t>
      </w:r>
      <w:r w:rsidRPr="000E5492">
        <w:tab/>
        <w:t>s ohledem na stanovisko Evropského výboru regionů ze dne 6. února 2019 k tématu Kreativní Evropa a Nová evropská agenda pro kulturu</w:t>
      </w:r>
      <w:r w:rsidRPr="000E5492">
        <w:rPr>
          <w:rStyle w:val="FootnoteReference"/>
          <w:color w:val="000000"/>
          <w:szCs w:val="24"/>
        </w:rPr>
        <w:footnoteReference w:id="5"/>
      </w:r>
      <w:r w:rsidRPr="000E5492">
        <w:t>,</w:t>
      </w:r>
    </w:p>
    <w:p w:rsidR="00EA5808" w:rsidRPr="000E5492" w:rsidRDefault="00EA5808" w:rsidP="007D5CD8">
      <w:pPr>
        <w:pStyle w:val="NormalHanging12a"/>
      </w:pPr>
      <w:r w:rsidRPr="000E5492">
        <w:lastRenderedPageBreak/>
        <w:t>–</w:t>
      </w:r>
      <w:r w:rsidRPr="000E5492">
        <w:tab/>
        <w:t>s ohledem na zprávu Komise ze dne 30. dubna 2018 nazvanou „Hodnocení programu Kreativní Evropa (2014–2020) v polovině období“ (</w:t>
      </w:r>
      <w:proofErr w:type="gramStart"/>
      <w:r w:rsidRPr="000E5492">
        <w:t>COM(2018</w:t>
      </w:r>
      <w:proofErr w:type="gramEnd"/>
      <w:r w:rsidRPr="000E5492">
        <w:t>)0248),</w:t>
      </w:r>
    </w:p>
    <w:p w:rsidR="00EA5808" w:rsidRPr="000E5492" w:rsidRDefault="00EA5808" w:rsidP="00252244">
      <w:pPr>
        <w:pStyle w:val="NormalHanging12a"/>
      </w:pPr>
      <w:r w:rsidRPr="000E5492">
        <w:t>–</w:t>
      </w:r>
      <w:r w:rsidRPr="000E5492">
        <w:tab/>
        <w:t>s ohledem na prováděcí rozhodnutí Komise C(2023)3227 ze dne 5. června 2023, kterým se mění prováděcí rozhodnutí C(2021)3563 o financování programu Kreativní Evropa na období 2021–2025 a přijetí pracovních programů na roky 2021, 2022 a 2023,</w:t>
      </w:r>
    </w:p>
    <w:p w:rsidR="00EA5808" w:rsidRPr="000E5492" w:rsidRDefault="00EA5808" w:rsidP="00252244">
      <w:pPr>
        <w:pStyle w:val="NormalHanging12a"/>
      </w:pPr>
      <w:r w:rsidRPr="000E5492">
        <w:t>–</w:t>
      </w:r>
      <w:r w:rsidRPr="000E5492">
        <w:tab/>
        <w:t>s ohledem na prováděcí rozhodnutí Komise C(2022)6138 ze dne 31. srpna 2022, kterým se mění prováděcí rozhodnutí C(2021)3563 o financování programu Kreativní Evropa na období 2021–2023 a přijetí pracovních programů na roky 2021 a 2022,</w:t>
      </w:r>
    </w:p>
    <w:p w:rsidR="00EA5808" w:rsidRPr="000E5492" w:rsidRDefault="00EA5808" w:rsidP="00252244">
      <w:pPr>
        <w:pStyle w:val="NormalHanging12a"/>
      </w:pPr>
      <w:r w:rsidRPr="000E5492">
        <w:t>–</w:t>
      </w:r>
      <w:r w:rsidRPr="000E5492">
        <w:tab/>
        <w:t>s ohledem na prováděcí rozhodnutí Komise C(2021)3563 ze dne 26. května 2021 o</w:t>
      </w:r>
      <w:r w:rsidR="00856D81" w:rsidRPr="000E5492">
        <w:t> </w:t>
      </w:r>
      <w:r w:rsidRPr="000E5492">
        <w:t>přijetí pracovního programu pro provádění programu Kreativní Evropa na rok 2021,</w:t>
      </w:r>
    </w:p>
    <w:p w:rsidR="00EA5808" w:rsidRPr="000E5492" w:rsidRDefault="00EA5808" w:rsidP="007D5CD8">
      <w:pPr>
        <w:pStyle w:val="NormalHanging12a"/>
      </w:pPr>
      <w:r w:rsidRPr="000E5492">
        <w:t>–</w:t>
      </w:r>
      <w:r w:rsidRPr="000E5492">
        <w:tab/>
        <w:t>s ohledem na roční pracovní program Komise na rok 2022 pro provádění programu Kreativní Evropa,</w:t>
      </w:r>
    </w:p>
    <w:p w:rsidR="00EA5808" w:rsidRPr="000E5492" w:rsidRDefault="00EA5808" w:rsidP="007D5CD8">
      <w:pPr>
        <w:pStyle w:val="NormalHanging12a"/>
      </w:pPr>
      <w:r w:rsidRPr="000E5492">
        <w:t>–</w:t>
      </w:r>
      <w:r w:rsidRPr="000E5492">
        <w:tab/>
        <w:t>s ohledem na roční pracovní program Komise na rok 2021 pro provádění programu Kreativní Evropa,</w:t>
      </w:r>
    </w:p>
    <w:p w:rsidR="00EA5808" w:rsidRPr="000E5492" w:rsidRDefault="00EA5808" w:rsidP="007D5CD8">
      <w:pPr>
        <w:pStyle w:val="NormalHanging12a"/>
      </w:pPr>
      <w:r w:rsidRPr="000E5492">
        <w:t>–</w:t>
      </w:r>
      <w:r w:rsidRPr="000E5492">
        <w:tab/>
        <w:t>s ohledem na sdělení Komise ze dne 11. července 2023 nazvané „Iniciativa EU v oblasti webu 4.0 a virtuálních světů: náskok na cestě k další technologické transformaci“ (</w:t>
      </w:r>
      <w:proofErr w:type="gramStart"/>
      <w:r w:rsidRPr="000E5492">
        <w:t>COM(2023</w:t>
      </w:r>
      <w:proofErr w:type="gramEnd"/>
      <w:r w:rsidRPr="000E5492">
        <w:t>)0442),</w:t>
      </w:r>
    </w:p>
    <w:p w:rsidR="00EA5808" w:rsidRPr="000E5492" w:rsidRDefault="00EA5808" w:rsidP="007D5CD8">
      <w:pPr>
        <w:pStyle w:val="NormalHanging12a"/>
      </w:pPr>
      <w:r w:rsidRPr="000E5492">
        <w:t>–</w:t>
      </w:r>
      <w:r w:rsidRPr="000E5492">
        <w:tab/>
        <w:t>s ohledem na sdělení Komise ze dne 3. prosince 2020 nazvané „Evropská média v</w:t>
      </w:r>
      <w:r w:rsidR="00856D81" w:rsidRPr="000E5492">
        <w:t> </w:t>
      </w:r>
      <w:r w:rsidRPr="000E5492">
        <w:t>digitální dekádě – Akční plán na podporu oživení a transformace“ (</w:t>
      </w:r>
      <w:proofErr w:type="gramStart"/>
      <w:r w:rsidRPr="000E5492">
        <w:t>COM(2020</w:t>
      </w:r>
      <w:proofErr w:type="gramEnd"/>
      <w:r w:rsidRPr="000E5492">
        <w:t>)0784),</w:t>
      </w:r>
    </w:p>
    <w:p w:rsidR="00EA5808" w:rsidRPr="000E5492" w:rsidRDefault="00EA5808" w:rsidP="007D5CD8">
      <w:pPr>
        <w:pStyle w:val="NormalHanging12a"/>
      </w:pPr>
      <w:r w:rsidRPr="000E5492">
        <w:t>–</w:t>
      </w:r>
      <w:r w:rsidRPr="000E5492">
        <w:tab/>
        <w:t>s ohledem na sdělení Komise ze dne 22. května 2018 nazvané „Nová evropská agenda pro kulturu“ (</w:t>
      </w:r>
      <w:proofErr w:type="gramStart"/>
      <w:r w:rsidRPr="000E5492">
        <w:t>COM(2018</w:t>
      </w:r>
      <w:proofErr w:type="gramEnd"/>
      <w:r w:rsidRPr="000E5492">
        <w:t>)0267),</w:t>
      </w:r>
    </w:p>
    <w:p w:rsidR="00EA5808" w:rsidRPr="000E5492" w:rsidRDefault="00EA5808" w:rsidP="007D5CD8">
      <w:pPr>
        <w:pStyle w:val="NormalHanging12a"/>
      </w:pPr>
      <w:r w:rsidRPr="000E5492">
        <w:t>–</w:t>
      </w:r>
      <w:r w:rsidRPr="000E5492">
        <w:tab/>
        <w:t>s ohledem na usnesení Rady ze dne 7. prosince 2022 o pracovním plánu EU pro kulturu (2023–2026)</w:t>
      </w:r>
      <w:r w:rsidRPr="000E5492">
        <w:rPr>
          <w:rStyle w:val="FootnoteReference"/>
          <w:color w:val="000000"/>
          <w:szCs w:val="24"/>
        </w:rPr>
        <w:footnoteReference w:id="6"/>
      </w:r>
      <w:r w:rsidRPr="000E5492">
        <w:t>,</w:t>
      </w:r>
    </w:p>
    <w:p w:rsidR="00EA5808" w:rsidRPr="000E5492" w:rsidRDefault="00EA5808" w:rsidP="007D5CD8">
      <w:pPr>
        <w:pStyle w:val="NormalHanging12a"/>
      </w:pPr>
      <w:r w:rsidRPr="000E5492">
        <w:t>–</w:t>
      </w:r>
      <w:r w:rsidRPr="000E5492">
        <w:tab/>
        <w:t>s ohledem na své usnesení ze dne 14. září 2023 o budoucnosti evropského knižního odvětví</w:t>
      </w:r>
      <w:r w:rsidRPr="000E5492">
        <w:rPr>
          <w:rStyle w:val="FootnoteReference"/>
        </w:rPr>
        <w:footnoteReference w:id="7"/>
      </w:r>
      <w:r w:rsidRPr="000E5492">
        <w:t>,</w:t>
      </w:r>
    </w:p>
    <w:p w:rsidR="00EA5808" w:rsidRPr="000E5492" w:rsidRDefault="00EA5808" w:rsidP="007D5CD8">
      <w:pPr>
        <w:pStyle w:val="NormalHanging12a"/>
      </w:pPr>
      <w:r w:rsidRPr="000E5492">
        <w:t>–</w:t>
      </w:r>
      <w:r w:rsidRPr="000E5492">
        <w:tab/>
        <w:t>s ohledem na své usnesení ze dne 14. prosince 2022 k provádění Nové evropské agendy pro kulturu a strategie EU pro mezinárodní kulturní vztahy</w:t>
      </w:r>
      <w:r w:rsidRPr="000E5492">
        <w:rPr>
          <w:rStyle w:val="FootnoteReference"/>
          <w:color w:val="000000"/>
          <w:szCs w:val="24"/>
        </w:rPr>
        <w:footnoteReference w:id="8"/>
      </w:r>
      <w:r w:rsidRPr="000E5492">
        <w:t>,</w:t>
      </w:r>
    </w:p>
    <w:p w:rsidR="00EA5808" w:rsidRPr="000E5492" w:rsidRDefault="00EA5808" w:rsidP="007D5CD8">
      <w:pPr>
        <w:pStyle w:val="NormalHanging12a"/>
      </w:pPr>
      <w:r w:rsidRPr="000E5492">
        <w:t>–</w:t>
      </w:r>
      <w:r w:rsidRPr="000E5492">
        <w:tab/>
        <w:t>s ohledem na své usnesení ze dne 20. října 2021 o evropských médiích v digitální dekádě – Akční plán na podporu oživení a transformace</w:t>
      </w:r>
      <w:r w:rsidRPr="000E5492">
        <w:rPr>
          <w:rStyle w:val="FootnoteReference"/>
          <w:color w:val="000000"/>
          <w:szCs w:val="24"/>
        </w:rPr>
        <w:footnoteReference w:id="9"/>
      </w:r>
      <w:r w:rsidRPr="000E5492">
        <w:t>,</w:t>
      </w:r>
    </w:p>
    <w:p w:rsidR="00EA5808" w:rsidRPr="000E5492" w:rsidRDefault="00EA5808" w:rsidP="007D5CD8">
      <w:pPr>
        <w:pStyle w:val="NormalHanging12a"/>
      </w:pPr>
      <w:r w:rsidRPr="000E5492">
        <w:t>–</w:t>
      </w:r>
      <w:r w:rsidRPr="000E5492">
        <w:tab/>
        <w:t>s ohledem na své usnesení ze dne 17. dubna 2020 o koordinovaných opatřeních EU v boji proti pandemii COVID-19 a jejím následkům</w:t>
      </w:r>
      <w:r w:rsidRPr="000E5492">
        <w:rPr>
          <w:rStyle w:val="FootnoteReference"/>
          <w:color w:val="000000"/>
          <w:szCs w:val="24"/>
        </w:rPr>
        <w:footnoteReference w:id="10"/>
      </w:r>
      <w:r w:rsidRPr="000E5492">
        <w:t>,</w:t>
      </w:r>
    </w:p>
    <w:p w:rsidR="00EA5808" w:rsidRPr="000E5492" w:rsidRDefault="00EA5808" w:rsidP="007D5CD8">
      <w:pPr>
        <w:pStyle w:val="NormalHanging12a"/>
      </w:pPr>
      <w:r w:rsidRPr="000E5492">
        <w:t>–</w:t>
      </w:r>
      <w:r w:rsidRPr="000E5492">
        <w:tab/>
        <w:t xml:space="preserve">s ohledem na své usnesení ze dne 15. září 2020 o účinných opatřeních pro ekologičtější </w:t>
      </w:r>
      <w:r w:rsidRPr="000E5492">
        <w:lastRenderedPageBreak/>
        <w:t>programy Erasmus +, Kreativní Evropa a Evropský sbor solidarity</w:t>
      </w:r>
      <w:r w:rsidRPr="000E5492">
        <w:rPr>
          <w:rStyle w:val="FootnoteReference"/>
        </w:rPr>
        <w:footnoteReference w:id="11"/>
      </w:r>
      <w:r w:rsidRPr="000E5492">
        <w:t>,</w:t>
      </w:r>
    </w:p>
    <w:p w:rsidR="00EA5808" w:rsidRPr="000E5492" w:rsidRDefault="00EA5808" w:rsidP="007D5CD8">
      <w:pPr>
        <w:pStyle w:val="NormalHanging12a"/>
      </w:pPr>
      <w:r w:rsidRPr="000E5492">
        <w:t>–</w:t>
      </w:r>
      <w:r w:rsidRPr="000E5492">
        <w:tab/>
        <w:t>s ohledem na své usnesení ze dne 17. září 2020 o kulturním oživení Evropy</w:t>
      </w:r>
      <w:r w:rsidRPr="000E5492">
        <w:rPr>
          <w:rStyle w:val="FootnoteReference"/>
        </w:rPr>
        <w:footnoteReference w:id="12"/>
      </w:r>
      <w:r w:rsidR="00856D81">
        <w:t>,</w:t>
      </w:r>
    </w:p>
    <w:p w:rsidR="00EA5808" w:rsidRPr="000E5492" w:rsidRDefault="00EA5808" w:rsidP="007D5CD8">
      <w:pPr>
        <w:pStyle w:val="NormalHanging12a"/>
      </w:pPr>
      <w:r w:rsidRPr="000E5492">
        <w:t>–</w:t>
      </w:r>
      <w:r w:rsidRPr="000E5492">
        <w:tab/>
        <w:t>s ohledem na článek 54 jednacího řádu a na čl. 1 odst. 1 písm. e) a přílohu 3 rozhodnutí Konference předsedů ze dne 12. prosince 2002 o postupu udělování svolení k vypracování zpráv z vlastního podnětu,</w:t>
      </w:r>
    </w:p>
    <w:p w:rsidR="00EA5808" w:rsidRPr="000E5492" w:rsidRDefault="00EA5808" w:rsidP="007D5CD8">
      <w:pPr>
        <w:pStyle w:val="NormalHanging12a"/>
      </w:pPr>
      <w:r w:rsidRPr="000E5492">
        <w:t>–</w:t>
      </w:r>
      <w:r w:rsidRPr="000E5492">
        <w:tab/>
        <w:t>s ohledem na zprávu Výboru pro kulturu a vzdělávání (A9-0425/2023),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A.</w:t>
      </w:r>
      <w:r w:rsidRPr="000E5492">
        <w:tab/>
        <w:t>vzhledem k tomu, že shromážděné údaje potvrzují značný zájem kulturních a kreativních odvětví o program; vzhledem k tomu, že vyšší míra spolufinancování různých akcí v rámci složek Kultura a MEDIA se ukázala jako přínosná pro podporu kulturních a kreativních ekosystémů, přičemž jsou přiznány větší šance i menším projektům, zejména v období po pandemii;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B.</w:t>
      </w:r>
      <w:r w:rsidRPr="000E5492">
        <w:tab/>
        <w:t>vzhledem k tomu, že program Kreativní Evropa na období 2021–2027 má oproti svému předchůdci navýšený celkový rozpočet o přibližně 68 %; vzhledem k tomu, že tento nárůst výrazně klesá v důsledku neustále rostoucí míry inflace</w:t>
      </w:r>
      <w:r w:rsidRPr="000E5492">
        <w:rPr>
          <w:rStyle w:val="FootnoteReference"/>
          <w:rFonts w:eastAsiaTheme="minorHAnsi"/>
          <w:lang w:eastAsia="en-US"/>
        </w:rPr>
        <w:footnoteReference w:id="13"/>
      </w:r>
      <w:r w:rsidRPr="000E5492">
        <w:t xml:space="preserve"> spojené s náklady na</w:t>
      </w:r>
      <w:r w:rsidR="00856D81" w:rsidRPr="000E5492">
        <w:t> </w:t>
      </w:r>
      <w:r w:rsidRPr="000E5492">
        <w:t>energii; vzhledem k tomu, že celkový rozpočet byl předfinancován, přičemž třetina finančního přídělu byla vyčleněna na roky 2021 a 2022, aby se mimo jiné řešily následky pandemie COVID-19;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C.</w:t>
      </w:r>
      <w:r w:rsidRPr="000E5492">
        <w:tab/>
        <w:t>vzhledem k tomu, že program Kreativní Evropa je jediným programem, který poskytuje výhradně podporu všem kulturním a kreativním odvětvím, jejichž činnosti jsou založeny na kulturních a uměleckých hodnotách, zejména podporou tvůrců a umělců, jako jsou autoři a výkonní umělci, a rovněž malých projektů;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D.</w:t>
      </w:r>
      <w:r w:rsidRPr="000E5492">
        <w:tab/>
        <w:t>vzhledem k tomu, že program uznává vnitřní a uměleckou hodnotu kultury, která by měla zůstat jádrem programu, a současně nastoluje rovnováhu s jejím obecnějším příspěvkem k inovacím a růstu; vzhledem k tomu, že program Kreativní Evropa by jakožto program financovaný EU měl přispět k provádění zásad evropského pilíře sociálních práv a podporovat spravedlivé postupy a pracovní podmínky v kulturních a kreativních odvětví;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E.</w:t>
      </w:r>
      <w:r w:rsidRPr="000E5492">
        <w:tab/>
        <w:t>vzhledem k tomu, že jednou z hlavních novinek programu je začlenění průřezových priorit inkluze, rozmanitosti, zejména genderové vyváženosti, a ekologizace; vzhledem k tomu, že roční pracovní program na roky 2021 a 2022 věnuje zvláštní pozornost podpoře sociálního začleňování a genderové vyváženosti; vzhledem k tomu, že provádění programu by mělo zajistit co nejobecnější kulturní účast s cílem začlenit mimo jiné osoby se zdravotním postižením a osoby ze znevýhodněného prostředí;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F.</w:t>
      </w:r>
      <w:r w:rsidRPr="000E5492">
        <w:tab/>
        <w:t>vzhledem k tomu, že cílem tohoto programu je podporovat digitální transformaci kulturních a kreativních odvětví, neboť technologie změnila způsob, jak tato odvětví vytvářejí, produkují a šíří obsah; vzhledem k tomu, že ačkoli může digitalizace přinést příležitosti zvýšit kulturní účast, může také vést k různým problémům pro subjekty z</w:t>
      </w:r>
      <w:r w:rsidR="00856D81" w:rsidRPr="000E5492">
        <w:t> </w:t>
      </w:r>
      <w:r w:rsidRPr="000E5492">
        <w:t>analogové éry;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lastRenderedPageBreak/>
        <w:t>G.</w:t>
      </w:r>
      <w:r w:rsidRPr="000E5492">
        <w:tab/>
        <w:t>vzhledem k tomu, že správní postupy řízení programu Kreativní Evropa (podávání žádostí, hodnocení a vykazování) jsou stále považovány značným počtem příjemců a potenciálních příjemců za velmi časově náročné a zatěžující, a to i přes určitý pokrok, pokud jde o zjednodušení;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H.</w:t>
      </w:r>
      <w:r w:rsidRPr="000E5492">
        <w:tab/>
        <w:t>vzhledem k tomu, že obtížné správní postupy řízení často odrazují od účasti méně zkušené žadatele, včetně mladých tvůrců, a rovněž malé organizace, zejména ze</w:t>
      </w:r>
      <w:r w:rsidR="00856D81" w:rsidRPr="000E5492">
        <w:t> </w:t>
      </w:r>
      <w:r w:rsidRPr="000E5492">
        <w:t>znevýhodněných oblastí; vzhledem k tomu, že je třeba zjednodušit a zlepšit postup podávání žádostí, především z důvodu zvýšení počtu procesních kroků a jeho rozhraní, jež není uživatelsky přívětivé a které nemusí být v souladu s obecně používanými aplikacemi;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I.</w:t>
      </w:r>
      <w:r w:rsidRPr="000E5492">
        <w:tab/>
        <w:t>vzhledem k tomu, že platforma pro programy zahrnuje složitý postup podávání zpráv, ve kterém je obtížné se orientovat a jenž nebyl původně navržen pro typ projektů financovaných z programu;</w:t>
      </w:r>
    </w:p>
    <w:p w:rsidR="00EA5808" w:rsidRPr="000E5492" w:rsidRDefault="00EA5808" w:rsidP="007D5CD8">
      <w:pPr>
        <w:pStyle w:val="NormalHanging12a"/>
      </w:pPr>
      <w:r w:rsidRPr="000E5492">
        <w:t>J.</w:t>
      </w:r>
      <w:r w:rsidRPr="000E5492">
        <w:tab/>
        <w:t>vzhledem k tomu, že složka Kultura podporuje vytváření sítí kreativních komunit a přeshraniční spolupráci se zvláštním zaměřením na projekty spolupráce; vzhledem k</w:t>
      </w:r>
      <w:r w:rsidR="00856D81" w:rsidRPr="000E5492">
        <w:t> </w:t>
      </w:r>
      <w:r w:rsidRPr="000E5492">
        <w:t>tomu, že během prvních dvou let provádění se režim projektů spolupráce stal nejpopulárnějším v rámci složky Kultura a poskytl podporu 291 projektům; vzhledem k</w:t>
      </w:r>
      <w:r w:rsidR="00856D81" w:rsidRPr="000E5492">
        <w:t> </w:t>
      </w:r>
      <w:r w:rsidRPr="000E5492">
        <w:t>tomu, že Komise by měla zvážit rozšíření informační činnosti složky Kultura za účelem zvýšení účasti napříč všemi kulturními a kreativními komunitami, včetně těch z</w:t>
      </w:r>
      <w:r w:rsidR="00856D81" w:rsidRPr="000E5492">
        <w:t> </w:t>
      </w:r>
      <w:r w:rsidRPr="000E5492">
        <w:t>periferních a venkovských oblastí;</w:t>
      </w:r>
    </w:p>
    <w:p w:rsidR="00EA5808" w:rsidRPr="000E5492" w:rsidRDefault="00EA5808" w:rsidP="007D5CD8">
      <w:pPr>
        <w:pStyle w:val="NormalHanging12a"/>
      </w:pPr>
      <w:r w:rsidRPr="000E5492">
        <w:t>K.</w:t>
      </w:r>
      <w:r w:rsidRPr="000E5492">
        <w:tab/>
        <w:t>vzhledem k tomu, že složka MEDIA hraje významnou roli při podpoře růstu a odolnosti v audiovizuálním odvětví; vzhledem k tomu, že ve dvouletém období 2021–2022 přilákala 2 124 žadatelů s průměrnou úspěšností 66 %;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L.</w:t>
      </w:r>
      <w:r w:rsidRPr="000E5492">
        <w:tab/>
        <w:t>vzhledem k tomu, že přípravná akce „Psát evropsky“ podporovaná od roku 2021 byla vypracována s cílem podpořit tvůrce, zejména autory, při vytváření a rozvoji vysoce kvalitních fiktivních seriálů schopných cestovat přes hranice a oslovit nové publikum;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M.</w:t>
      </w:r>
      <w:r w:rsidRPr="000E5492">
        <w:tab/>
        <w:t>vzhledem k tomu, že Meziodvětvová složka obsahuje větší počet novinek odrážejících nové cíle; vzhledem k tomu, že průřezové akce na podporu odvětví zpravodajských médií představují zcela nové zaměření programu Kreativní Evropa;</w:t>
      </w:r>
    </w:p>
    <w:p w:rsidR="00EA5808" w:rsidRPr="000E5492" w:rsidRDefault="00EA5808" w:rsidP="007D5CD8">
      <w:pPr>
        <w:pStyle w:val="NormalHanging12a"/>
      </w:pPr>
      <w:r w:rsidRPr="000E5492">
        <w:t>N.</w:t>
      </w:r>
      <w:r w:rsidRPr="000E5492">
        <w:tab/>
        <w:t>vzhledem k tomu, že posílení mobility v evropských kulturních a kreativních odvětvích je specifickým cílem programu, který je realizován prostřednictvím nového specializovaného programu v rámci složky Kultura;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O.</w:t>
      </w:r>
      <w:r w:rsidRPr="000E5492">
        <w:tab/>
        <w:t>vzhledem k tomu, že iniciativa Kultura hýbe Evropou je největším programem mobility EU pro kulturní a kreativní odvětví a do poloviny roku 2023 přilákala přibližně 4 660</w:t>
      </w:r>
      <w:r w:rsidR="00856D81" w:rsidRPr="000E5492">
        <w:t> </w:t>
      </w:r>
      <w:r w:rsidRPr="000E5492">
        <w:t xml:space="preserve">žádostí; vzhledem k tomu, že přibližně 85 % žádostí pochází z odvětví, jako je výtvarné umění, scénická umění a hudba; </w:t>
      </w:r>
    </w:p>
    <w:p w:rsidR="00EA5808" w:rsidRPr="000E5492" w:rsidRDefault="00EA5808" w:rsidP="007D5CD8">
      <w:pPr>
        <w:pStyle w:val="NormalHanging12a"/>
      </w:pPr>
      <w:r w:rsidRPr="000E5492">
        <w:t>P.</w:t>
      </w:r>
      <w:r w:rsidRPr="000E5492">
        <w:tab/>
        <w:t xml:space="preserve">vzhledem k tomu, že program uznává význam hudebního odvětví jako základní složky evropské kulturní rozmanitosti, která může těžit z horizontálního přístupu v rámci složky Kultura; vzhledem k tomu, že v období 2021–2022 </w:t>
      </w:r>
      <w:proofErr w:type="gramStart"/>
      <w:r w:rsidRPr="000E5492">
        <w:t>přidělila</w:t>
      </w:r>
      <w:proofErr w:type="gramEnd"/>
      <w:r w:rsidRPr="000E5492">
        <w:t xml:space="preserve"> iniciativa Hudba </w:t>
      </w:r>
      <w:proofErr w:type="gramStart"/>
      <w:r w:rsidRPr="000E5492">
        <w:t>hýbe</w:t>
      </w:r>
      <w:proofErr w:type="gramEnd"/>
      <w:r w:rsidRPr="000E5492">
        <w:t xml:space="preserve"> Evropou pět milionů EUR na posílení konkurenceschopnosti, inovací a rozmanitosti evropského hudebního odvětví;</w:t>
      </w:r>
    </w:p>
    <w:p w:rsidR="00EA5808" w:rsidRPr="000E5492" w:rsidRDefault="00EA5808" w:rsidP="007D5CD8">
      <w:pPr>
        <w:pStyle w:val="NormalHanging12a"/>
      </w:pPr>
      <w:r w:rsidRPr="000E5492">
        <w:t>Q.</w:t>
      </w:r>
      <w:r w:rsidRPr="000E5492">
        <w:tab/>
        <w:t xml:space="preserve">vzhledem k tomu, že akce zaměřená na literární překlad hraje jedinečnou úlohu </w:t>
      </w:r>
      <w:r w:rsidRPr="000E5492">
        <w:lastRenderedPageBreak/>
        <w:t>při</w:t>
      </w:r>
      <w:r w:rsidR="00856D81" w:rsidRPr="000E5492">
        <w:t> </w:t>
      </w:r>
      <w:r w:rsidRPr="000E5492">
        <w:t>přeshraniční propagaci autorů a oslovování nového publika a přispívá ke kulturně a jazykově rozmanitější Evropě;</w:t>
      </w:r>
    </w:p>
    <w:p w:rsidR="00EA5808" w:rsidRPr="000E5492" w:rsidRDefault="00EA5808" w:rsidP="007D5CD8">
      <w:pPr>
        <w:pStyle w:val="NormalHanging12a"/>
      </w:pPr>
      <w:r w:rsidRPr="000E5492">
        <w:t>R.</w:t>
      </w:r>
      <w:r w:rsidRPr="000E5492">
        <w:tab/>
        <w:t>vzhledem k tomu, že zdroj veřejné podpory audiovizuálního ekosystému v Evropě pochází převážně z vnitrostátní úrovně, přičemž složka MEDIA doplňuje vnitrostátní systémy podporou projektů s dlouhodobým dopadem;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S.</w:t>
      </w:r>
      <w:r w:rsidRPr="000E5492">
        <w:tab/>
        <w:t>vzhledem k tomu, že kanceláře programu Kreativní Evropa hrají klíčovou roli prostředníků mezi Komisí, Evropskou výkonnou agenturou pro vzdělávání a kulturu (EACEA), žadateli a příjemci; vzhledem k tomu, že více než 60 % všech žadatelů v</w:t>
      </w:r>
      <w:r w:rsidR="00856D81" w:rsidRPr="000E5492">
        <w:t> </w:t>
      </w:r>
      <w:r w:rsidRPr="000E5492">
        <w:t>letech 2021–2022 kontaktovalo před podáním žádosti svou místní kancelář;</w:t>
      </w:r>
    </w:p>
    <w:p w:rsidR="00EA5808" w:rsidRPr="000E5492" w:rsidRDefault="00EA5808" w:rsidP="007D5CD8">
      <w:pPr>
        <w:pStyle w:val="NormalHanging12a"/>
      </w:pPr>
      <w:r w:rsidRPr="000E5492">
        <w:t>T.</w:t>
      </w:r>
      <w:r w:rsidRPr="000E5492">
        <w:tab/>
        <w:t>vzhledem k tomu, že s ohledem na klíčovou úlohu kanceláří programu Kreativní Evropa při propagaci a informování kulturních a tvůrčích odvětví o všech aspektech programu je třeba posílit spolupráci a výměny mezi Komisí – včetně agentury EACEA – a kancelářemi programu Kreativní Evropa, přičemž je třeba zahrnout sdílení příslušných informací o nadcházejících výzvách k podávání návrhů;</w:t>
      </w:r>
    </w:p>
    <w:p w:rsidR="00EA5808" w:rsidRPr="000E5492" w:rsidRDefault="00EA5808" w:rsidP="007D5CD8">
      <w:pPr>
        <w:pStyle w:val="NormalHanging12a"/>
      </w:pPr>
      <w:r w:rsidRPr="000E5492">
        <w:t>U.</w:t>
      </w:r>
      <w:r w:rsidRPr="000E5492">
        <w:tab/>
        <w:t>vzhledem k tomu, že program Kreativní Evropa hraje strategickou úlohu při posilování vnějšího rozměru kulturních vztahů Evropské unie tím, že podporuje partnerství mezi</w:t>
      </w:r>
      <w:r w:rsidR="00856D81" w:rsidRPr="000E5492">
        <w:t> </w:t>
      </w:r>
      <w:r w:rsidRPr="000E5492">
        <w:t>různými aktéry z kulturních a kreativních odvětví, využívá přístup na osobní úrovni a dále podporuje kulturní rozmanitost v rámci Evropy a mimo ni;</w:t>
      </w:r>
    </w:p>
    <w:p w:rsidR="00EA5808" w:rsidRPr="000E5492" w:rsidRDefault="00EA5808" w:rsidP="007D5CD8">
      <w:pPr>
        <w:pStyle w:val="NormalHanging12a"/>
      </w:pPr>
      <w:r w:rsidRPr="000E5492">
        <w:t>V.</w:t>
      </w:r>
      <w:r w:rsidRPr="000E5492">
        <w:tab/>
        <w:t>vzhledem k tomu, že tento program uznává, že je důležité chránit a podporovat umělecká a řemeslná odvětví, zejména v oblasti kulturního dědictví, a dále ocenit jejich nepostradatelnou úlohu při podpoře městských a venkovských hospodářství v celé Evropě, jakož i jejich úlohu při posilování kulturní rozmanitosti;</w:t>
      </w:r>
    </w:p>
    <w:p w:rsidR="00EA5808" w:rsidRPr="000E5492" w:rsidRDefault="00EA5808" w:rsidP="007D5CD8">
      <w:pPr>
        <w:pStyle w:val="NormalHanging12a"/>
      </w:pPr>
      <w:r w:rsidRPr="000E5492">
        <w:t>W.</w:t>
      </w:r>
      <w:r w:rsidRPr="000E5492">
        <w:tab/>
        <w:t>vzhledem k tomu, že pečeť excelence je novinkou programu Kreativní Evropa na</w:t>
      </w:r>
      <w:r w:rsidR="00856D81" w:rsidRPr="000E5492">
        <w:t> </w:t>
      </w:r>
      <w:r w:rsidRPr="000E5492">
        <w:t xml:space="preserve">období 2021–2027, která byla zavedena s cílem posílit součinnost a zjednodušit hledání alternativního financování v případě rozpočtových omezení; </w:t>
      </w:r>
    </w:p>
    <w:p w:rsidR="00EA5808" w:rsidRPr="000E5492" w:rsidRDefault="00EA5808" w:rsidP="007D5CD8">
      <w:pPr>
        <w:pStyle w:val="NormalHanging12a"/>
      </w:pPr>
      <w:r w:rsidRPr="000E5492">
        <w:t>X.</w:t>
      </w:r>
      <w:r w:rsidRPr="000E5492">
        <w:tab/>
        <w:t>vzhledem k tomu, že Evropské hlavní město kultury je jakožto zvláštní akce prestižní iniciativou, která se těší zavedenému postavení v globálních kulturních programech a jež od svého vzniku v roce 1985 zdůrazňuje bohatství a jedinečnost rozmanitosti kultur a měst;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1.</w:t>
      </w:r>
      <w:r w:rsidRPr="000E5492">
        <w:tab/>
        <w:t>zdůrazňuje, že o novou generaci programu Kreativní Evropa je v kulturním, kreativním a audiovizuálním odvětví i mezi zpravodajskými médii nadále značný zájem, přičemž počet přijatých žádostí v rámci tří složek se zvyšuje, což má za následek úměrný pokles úspěšnosti žádostí, který v těchto odvětvích může vést k pocitu zklamání z programu;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2.</w:t>
      </w:r>
      <w:r w:rsidRPr="000E5492">
        <w:tab/>
        <w:t>vítá reakci programu, co se týče zmírnění dopadů pandemie COVID-19, která vážně narušila kulturní a kreativní odvětví ještě před zahájením současného programu; připomíná však svou výzvu určenou Komisi a členským státům, aby zvýšily úsilí s</w:t>
      </w:r>
      <w:r w:rsidR="00856D81" w:rsidRPr="000E5492">
        <w:t> </w:t>
      </w:r>
      <w:r w:rsidRPr="000E5492">
        <w:t>cílem řešit dlouhodobé dopady pandemie na tvůrce a kulturní pracovníky, zejména ty, které se týkají prohlubování jejich dovedností a změny kvalifikace za účelem řešení potřeb vyplývajících z vývoje a problémů zasahujících tato odvětví;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3.</w:t>
      </w:r>
      <w:r w:rsidRPr="000E5492">
        <w:tab/>
        <w:t>vyjadřuje politování nad tím, že ne všechny členské státy přidělily alespoň 2 % z</w:t>
      </w:r>
      <w:r w:rsidR="00856D81" w:rsidRPr="000E5492">
        <w:t> </w:t>
      </w:r>
      <w:r w:rsidRPr="000E5492">
        <w:t xml:space="preserve">Nástroje pro oživení a odolnost na zajištění odolnosti těchto odvětví, jak požadoval Parlament; vyzývá proto všechny členské státy, aby posílily součinnost a zajistily </w:t>
      </w:r>
      <w:r w:rsidRPr="000E5492">
        <w:lastRenderedPageBreak/>
        <w:t>dostatečné cílené investice pro tato odvětví prostřednictvím dalších programů EU;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4.</w:t>
      </w:r>
      <w:r w:rsidRPr="000E5492">
        <w:tab/>
        <w:t>oceňuje flexibilitu Komise a agentury EACEA při provádění programu, který byl upraven tak, aby zohledňoval důsledky pandemie COVID-19; zdůrazňuje však, že je třeba nalézt rovnováhu mezi harmonizovanými systémy správního řízení pro všechny programy EU na straně jedné a konkrétními potřebami různých příjemců na straně druhé; naléhavě proto vyzývá Komisi a agenturu EACEA, aby zvýšily své úsilí o</w:t>
      </w:r>
      <w:r w:rsidR="00856D81" w:rsidRPr="000E5492">
        <w:t> </w:t>
      </w:r>
      <w:r w:rsidRPr="000E5492">
        <w:t>zjednodušení postupů správního řízení programu Kreativní Evropa 2021–2027; připomíná však, že zefektivnění a zjednodušení by nemělo vést ke snížení finančních a lidských zdrojů určených na monitorování a hodnocení projektů;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5.</w:t>
      </w:r>
      <w:r w:rsidRPr="000E5492">
        <w:tab/>
        <w:t xml:space="preserve">uznává, že proces podávání žádostí je často složitý, zejména pro jednotlivce, </w:t>
      </w:r>
      <w:proofErr w:type="spellStart"/>
      <w:r w:rsidRPr="000E5492">
        <w:t>mikroorganizace</w:t>
      </w:r>
      <w:proofErr w:type="spellEnd"/>
      <w:r w:rsidRPr="000E5492">
        <w:t xml:space="preserve"> a malé organizace s omezenými finančními a lidskými zdroji; vyzývá proto Komisi a agenturu EACEA, aby umožnily, aby náklady spojené s postupem podávání žádostí byly zahrnuty do celkových odhadovaných rozpočtových nákladů; vyzývá kromě toho kanceláře programu Kreativní Evropa, aby dále posílily podporu všech žadatelů;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6.</w:t>
      </w:r>
      <w:r w:rsidRPr="000E5492">
        <w:tab/>
        <w:t>vyzývá Komisi, aby naplánovala pravidelné výměny s příjemci v oblasti budování kapacit s cílem nastínit novinky, jako jsou nové požadavky v rámci systému podávání zpráv, včetně výstupů v souladu s obecným nařízením o ochraně osobních údajů</w:t>
      </w:r>
      <w:r w:rsidRPr="000E5492">
        <w:rPr>
          <w:rStyle w:val="FootnoteReference"/>
          <w:rFonts w:eastAsiaTheme="minorHAnsi"/>
          <w:lang w:eastAsia="en-US"/>
        </w:rPr>
        <w:footnoteReference w:id="14"/>
      </w:r>
      <w:r w:rsidRPr="000E5492">
        <w:t>; zdůrazňuje, že v rámci snahy programu posílit rozmanitost, inkluzi a genderovou rovnost je naléhavě nutné zlepšit systém podávání zpráv, aby se zajistila přístupnost a snadnost používání pro všechny příjemce, včetně osob se zdravotním postižením;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7.</w:t>
      </w:r>
      <w:r w:rsidRPr="000E5492">
        <w:tab/>
        <w:t>bere na vědomí postupné zavádění pobídek k začleňování do všech složek v prvních dvou letech provádění programu; konstatuje však, že chybí komplexní údaje o tom, jak jsou cíle programu naplňovány způsobem, který podporuje začleňování, rovnost, rozmanitost a účast; naléhavě vyzývá Komisi, aby v tomto ohledu předložila podrobnou zprávu ve svém průběžném hodnocení;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8.</w:t>
      </w:r>
      <w:r w:rsidRPr="000E5492">
        <w:tab/>
        <w:t>uznává, že program prostřednictvím svých opatření přispívá k cíli udržitelnosti klimatu a životního prostředí; konstatuje však, že priority ekologizace byly ve všech třech programových složkách zavedeny odlišně; vyzývá Komisi, aby pečlivě sledovala provádění priorit v oblasti ekologizace a jejich dopad na tato odvětví a aby pravidelně podávala zprávy o svém hodnocení; zdůrazňuje, že je důležité rozvíjet aktivity v oblasti odborné přípravy a zvyšování povědomí s cílem podpořit přijetí udržitelnějších postupů ze strany kulturních a kreativních odvětví;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9.</w:t>
      </w:r>
      <w:r w:rsidRPr="000E5492">
        <w:tab/>
        <w:t xml:space="preserve">poukazuje na to, že je důležité podpořit kulturní a kreativní subjekty, aby se orientovaly v nabídce příležitostí na úrovni EU; vítá v tomto ohledu iniciativu </w:t>
      </w:r>
      <w:proofErr w:type="spellStart"/>
      <w:r w:rsidRPr="000E5492">
        <w:t>CulturEU</w:t>
      </w:r>
      <w:proofErr w:type="spellEnd"/>
      <w:r w:rsidRPr="000E5492">
        <w:t xml:space="preserve">, což je mnohojazyčná interaktivní příručka, která mapuje všechny dostupné možnosti financování; zdůrazňuje zásadní význam udržování pravidelných a případně cílených výměn s kulturním, kreativním a audiovizuálním odvětvím, jakož i se zpravodajskými médii s cílem dosáhnout prospěšné spolupráce; připomíná Komisi, že je důležité zajistit odpovídající zapojení zúčastněných stran do přípravy budoucích ročních pracovních programů; navrhuje, aby Komise posoudila, zda by mohl být program Kreativní Evropa </w:t>
      </w:r>
      <w:r w:rsidRPr="000E5492">
        <w:lastRenderedPageBreak/>
        <w:t>na období 2028–2034 lépe proveden prostřednictvím ročních nebo dvouletých pracovních programů;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10.</w:t>
      </w:r>
      <w:r w:rsidRPr="000E5492">
        <w:tab/>
        <w:t>požaduje posílení komunikace a výměn mezi Komisí, agenturou EACEA a kancelářemi programu Kreativní Evropa s cílem zajistit, aby posledně jmenované měly přístup ke</w:t>
      </w:r>
      <w:r w:rsidR="00856D81" w:rsidRPr="000E5492">
        <w:t> </w:t>
      </w:r>
      <w:r w:rsidRPr="000E5492">
        <w:t>všem příslušným informacím s cílem umožnit kvalitní podporu a poradenství pro</w:t>
      </w:r>
      <w:r w:rsidR="00856D81" w:rsidRPr="000E5492">
        <w:t> </w:t>
      </w:r>
      <w:r w:rsidRPr="000E5492">
        <w:t>žadatele a příjemce; připomíná také v tomto ohledu význam transparentnosti při</w:t>
      </w:r>
      <w:r w:rsidR="00856D81" w:rsidRPr="000E5492">
        <w:t> </w:t>
      </w:r>
      <w:r w:rsidRPr="000E5492">
        <w:t>šíření výsledků výzev; vyzývá proto Komisi, aby i nadále včas zveřejňovala seznam všech příjemců grantů spolu s přidělenými částkami;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11.</w:t>
      </w:r>
      <w:r w:rsidRPr="000E5492">
        <w:tab/>
        <w:t>zdůrazňuje, že je důležité program odlišit a zvýšit jeho viditelnost; vyzývá v tomto ohledu Komisi, aby Parlamentu podávala zprávy o provádění komunikační strategie programu, včetně používání oficiálních log;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12.</w:t>
      </w:r>
      <w:r w:rsidRPr="000E5492">
        <w:tab/>
        <w:t>zdůrazňuje ochotu značného počtu příjemců podělit se o své úspěchy a výsledky s</w:t>
      </w:r>
      <w:r w:rsidR="00856D81" w:rsidRPr="000E5492">
        <w:t> </w:t>
      </w:r>
      <w:r w:rsidRPr="000E5492">
        <w:t>kulturním, kreativním a audiovizuálním odvětvím i s evropskými občany; v této souvislosti poukazuje na to, že platforma, která je k tomuto účelu k dispozici, je považována za nevyhovující, a vyzývá proto Komisi, aby zapojila příjemce do vývoje vhodnější platformy;</w:t>
      </w:r>
    </w:p>
    <w:p w:rsidR="00EA5808" w:rsidRPr="000E5492" w:rsidRDefault="00EA5808" w:rsidP="007D5CD8">
      <w:pPr>
        <w:pStyle w:val="NormalHanging12a"/>
      </w:pPr>
      <w:r w:rsidRPr="000E5492">
        <w:t>13.</w:t>
      </w:r>
      <w:r w:rsidRPr="000E5492">
        <w:tab/>
        <w:t>konstatuje, že některé členské státy neposkytují vnitrostátní režimy odškodnění nebo pojistného krytí s cílem usnadnit mobilitu kulturních statků; uznává, že náklady na</w:t>
      </w:r>
      <w:r w:rsidR="00856D81" w:rsidRPr="000E5492">
        <w:t> </w:t>
      </w:r>
      <w:r w:rsidRPr="000E5492">
        <w:t>komerční pojištění mohou být pro řadu kulturních subjektů značné; navrhuje v tomto směru, aby Komise zveřejnila studii proveditelnosti týkající se celoevropského systému záruk na krytí nákladů na odškodnění coby první krok k řešení této otázky;</w:t>
      </w:r>
    </w:p>
    <w:p w:rsidR="00EA5808" w:rsidRPr="000E5492" w:rsidRDefault="00EA5808" w:rsidP="007D5CD8">
      <w:pPr>
        <w:pStyle w:val="NormalHanging12a"/>
      </w:pPr>
      <w:r w:rsidRPr="000E5492">
        <w:t>14.</w:t>
      </w:r>
      <w:r w:rsidRPr="000E5492">
        <w:tab/>
        <w:t>naléhavě vyzývá Komisi, aby v uměleckém a tvůrčím procesu prosazovala transparentní používání umělé inteligence se zaměřením na člověka tím, že vypracuje vhodné etické normy týkající se používání umělé inteligence; vyzývá Komisi, aby v tomto ohledu zajistila, aby žadatelé i příjemci poskytovali informace týkající se používání umělé inteligence v projektech, včetně při výrobě, distribuci a propagaci tvůrčích děl, aby se posoudil tento nový trend v kulturních a kreativních odvětvích a jeho dopad na</w:t>
      </w:r>
      <w:r w:rsidR="00856D81" w:rsidRPr="000E5492">
        <w:t> </w:t>
      </w:r>
      <w:r w:rsidRPr="000E5492">
        <w:t>program;</w:t>
      </w:r>
    </w:p>
    <w:p w:rsidR="00EA5808" w:rsidRPr="000E5492" w:rsidRDefault="00EA5808" w:rsidP="007D5CD8">
      <w:pPr>
        <w:pStyle w:val="NormalHanging12a"/>
      </w:pPr>
      <w:r w:rsidRPr="000E5492">
        <w:t>15.</w:t>
      </w:r>
      <w:r w:rsidRPr="000E5492">
        <w:tab/>
        <w:t>zdůrazňuje značný potenciál programu Kreativní Evropa pro rozvoj a posilování nadnárodních partnerství, čímž také přispívá k mezinárodním vztahům EU prostřednictvím kultury;</w:t>
      </w:r>
    </w:p>
    <w:p w:rsidR="00EA5808" w:rsidRPr="000E5492" w:rsidRDefault="00EA5808" w:rsidP="007D5CD8">
      <w:pPr>
        <w:pStyle w:val="NormalHanging12a"/>
      </w:pPr>
      <w:r w:rsidRPr="000E5492">
        <w:t>16.</w:t>
      </w:r>
      <w:r w:rsidRPr="000E5492">
        <w:tab/>
        <w:t>vyzývá Komisi, aby investovala odpovídající zdroje do vnějšího rozměru programu a aby podpořila další spolupráci mezi kulturními institucemi a organizacemi v členských státech, jakož i Evropskou sítí národních kulturních institucí (EUNIC) ve třetích zemích; vyzývá dále Komisi, aby pokud možno podpořila a usnadnila účast třetích zemí na programu;</w:t>
      </w:r>
    </w:p>
    <w:p w:rsidR="00EA5808" w:rsidRPr="000E5492" w:rsidRDefault="00EA5808" w:rsidP="007D5CD8">
      <w:pPr>
        <w:pStyle w:val="NormalHanging12a"/>
        <w:rPr>
          <w:rFonts w:eastAsiaTheme="minorHAnsi"/>
          <w:b/>
          <w:i/>
        </w:rPr>
      </w:pPr>
      <w:r w:rsidRPr="000E5492">
        <w:rPr>
          <w:b/>
          <w:i/>
        </w:rPr>
        <w:t>Rozpočet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17.</w:t>
      </w:r>
      <w:r w:rsidRPr="000E5492">
        <w:tab/>
        <w:t>zdůrazňuje, že u současného programu Kreativní Evropa i přes výrazně navýšený rozpočet na období 2021–2027 poptávka stále převyšuje nabídku; v této souvislosti vyzývá Komisi a členské státy, aby výrazně navýšily finanční příděl na program Kreativní Evropa na období 2028–2034;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18.</w:t>
      </w:r>
      <w:r w:rsidRPr="000E5492">
        <w:tab/>
        <w:t xml:space="preserve">uznává, že bylo naléhavě nutné ve dvouletém období 2021–2022 předsunout výdaje </w:t>
      </w:r>
      <w:r w:rsidRPr="000E5492">
        <w:lastRenderedPageBreak/>
        <w:t>s</w:t>
      </w:r>
      <w:r w:rsidR="00856D81" w:rsidRPr="000E5492">
        <w:t> </w:t>
      </w:r>
      <w:r w:rsidRPr="000E5492">
        <w:t>cílem zmírnit dopady pandemie COVID-19 a dopady ruské válečné agrese proti</w:t>
      </w:r>
      <w:r w:rsidR="00856D81" w:rsidRPr="000E5492">
        <w:t> </w:t>
      </w:r>
      <w:r w:rsidRPr="000E5492">
        <w:t>Ukrajině; zdůrazňuje však, že toto opatření bude mít v druhé polovině finančního cyklu nepříznivý dopad;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19.</w:t>
      </w:r>
      <w:r w:rsidRPr="000E5492">
        <w:tab/>
        <w:t>naléhavě žádá členské státy a Komisi, aby s ohledem na výzvy vyplývající z digitalizace a ekologizace a z vysoké míry účasti, na prudce rostoucí inflaci a související vysoké náklady na energii, které vážně ovlivňují provozní kapacitu příjemců, zajistily, že v</w:t>
      </w:r>
      <w:r w:rsidR="00856D81" w:rsidRPr="000E5492">
        <w:t> </w:t>
      </w:r>
      <w:r w:rsidRPr="000E5492">
        <w:t>nadcházejících rozpočtových letech nedojde ke krácení rozpočtových přídělů programu;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20.</w:t>
      </w:r>
      <w:r w:rsidRPr="000E5492">
        <w:tab/>
        <w:t>vyjadřuje politování nad tím, že dosud nebyla zavedena značka „pečeť excelence; vyzývá Komisi, aby tuto značku okamžitě zavedla, aby mohly projekty během tohoto programového cyklu využít příležitostí, které nabízí kumulativní a alternativní financování;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21.</w:t>
      </w:r>
      <w:r w:rsidRPr="000E5492">
        <w:tab/>
        <w:t>vyjadřuje politování nad tím, že víceletý finanční rámec (VFR) na období 2021–2027 není dostatečně pružný pro doplnění programu Kreativní Evropa, a zdůrazňuje, že to vylučuje financování nových iniciativ, hodnotných pilotních projektů a přípravných akcí; připomíná v tomto ohledu, že pilotní projekty a přípravné akce jsou důležitými nástroji pro testování nových iniciativ, které se mohou rozvinout ve stálé programy financování EU nebo se začlenit do stávajících programů;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22.</w:t>
      </w:r>
      <w:r w:rsidRPr="000E5492">
        <w:tab/>
        <w:t>vyjadřuje politování nad mezerou ve financování mezi dvěma cykly VFR, která postihla zejména systém sítí, a vyzývá Komisi, aby zajistila, že se tato situace v budoucnu nebude opakovat; vyzývá Komisi, aby s ohledem na klíčovou úlohu tohoto režimu při</w:t>
      </w:r>
      <w:r w:rsidR="00856D81" w:rsidRPr="000E5492">
        <w:t> </w:t>
      </w:r>
      <w:r w:rsidRPr="000E5492">
        <w:t>podpoře kapacity kulturního a tvůrčího odvětví fungovat na nadnárodní a mezinárodní úrovni poskytla přiměřené financování a kromě toho zvážila zavedení provozních grantů na tuto akci;</w:t>
      </w:r>
    </w:p>
    <w:p w:rsidR="00EA5808" w:rsidRPr="000E5492" w:rsidRDefault="00EA5808" w:rsidP="007D5CD8">
      <w:pPr>
        <w:pStyle w:val="NormalHanging12a"/>
        <w:rPr>
          <w:rFonts w:eastAsiaTheme="minorHAnsi"/>
          <w:b/>
          <w:i/>
        </w:rPr>
      </w:pPr>
      <w:r w:rsidRPr="000E5492">
        <w:rPr>
          <w:b/>
          <w:i/>
        </w:rPr>
        <w:t>Složka Kultura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23.</w:t>
      </w:r>
      <w:r w:rsidRPr="000E5492">
        <w:tab/>
        <w:t>vítá zavedení odvětvového přístupu jakožto nového prvku složky Kultura, který doplňuje horizontální akce; požaduje jeho posílení prostřednictvím přidělení odpovídajících rozpočtových prostředků se zajištěním, aby žádné odvětví nezůstalo opomenuto a aby nedošlo ke snížení přídělu na horizontální akce;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24.</w:t>
      </w:r>
      <w:r w:rsidRPr="000E5492">
        <w:tab/>
        <w:t>připomíná, že je důležité dále chránit a podporovat svobodu uměleckého projevu, zejména prostřednictvím příležitostí financování, které program poskytuje v rámci akce projekty kulturní spolupráce a režimu evropských sítí;</w:t>
      </w:r>
    </w:p>
    <w:p w:rsidR="00EA5808" w:rsidRPr="000E5492" w:rsidRDefault="00EA5808" w:rsidP="007D5CD8">
      <w:pPr>
        <w:pStyle w:val="NormalHanging12a"/>
      </w:pPr>
      <w:r w:rsidRPr="000E5492">
        <w:t>25.</w:t>
      </w:r>
      <w:r w:rsidRPr="000E5492">
        <w:tab/>
        <w:t>uznává, že zvýšená míra spolufinancování, zejména u projektů spolupráce malého rozsahu, je přínosná a usnadňuje účast malých organizací; v tomto ohledu vyzývá Komisi a agenturu EACEA, aby projektovým konsorciím umožnily nezávisle určit způsob rozdělování finančních prostředků mezi své partnery, pokud se celková míra spolufinancování uplatňuje na úrovni projektu;</w:t>
      </w:r>
    </w:p>
    <w:p w:rsidR="00EA5808" w:rsidRPr="000E5492" w:rsidRDefault="00EA5808" w:rsidP="007D5CD8">
      <w:pPr>
        <w:pStyle w:val="NormalHanging12a"/>
      </w:pPr>
      <w:r w:rsidRPr="000E5492">
        <w:t>26.</w:t>
      </w:r>
      <w:r w:rsidRPr="000E5492">
        <w:tab/>
        <w:t xml:space="preserve">zdůrazňuje, že pro všechny tvůrce je důležitá přeshraniční mobilita, neboť rozvíjí kreativní proces posilováním profesních příležitostí v zahraničí; </w:t>
      </w:r>
      <w:proofErr w:type="gramStart"/>
      <w:r w:rsidRPr="000E5492">
        <w:t>vítá</w:t>
      </w:r>
      <w:proofErr w:type="gramEnd"/>
      <w:r w:rsidRPr="000E5492">
        <w:t xml:space="preserve"> v tomto ohledu iniciativu Kultura </w:t>
      </w:r>
      <w:proofErr w:type="gramStart"/>
      <w:r w:rsidRPr="000E5492">
        <w:t>hýbe</w:t>
      </w:r>
      <w:proofErr w:type="gramEnd"/>
      <w:r w:rsidRPr="000E5492">
        <w:t xml:space="preserve"> Evropou coby novou akci v oblasti mobility v rámci programu Kreativní Evropa;</w:t>
      </w:r>
    </w:p>
    <w:p w:rsidR="00EA5808" w:rsidRPr="000E5492" w:rsidRDefault="00EA5808" w:rsidP="007D5CD8">
      <w:pPr>
        <w:pStyle w:val="NormalHanging12a"/>
      </w:pPr>
      <w:r w:rsidRPr="000E5492">
        <w:t>27.</w:t>
      </w:r>
      <w:r w:rsidRPr="000E5492">
        <w:tab/>
        <w:t xml:space="preserve">oceňuje vysokou kvalitu žádostí obdržených v rámci programu mobility; vyzývá však </w:t>
      </w:r>
      <w:r w:rsidRPr="000E5492">
        <w:lastRenderedPageBreak/>
        <w:t xml:space="preserve">Komisi, aby s pomocí a podporou všech kanceláří programu Kreativní Evropa </w:t>
      </w:r>
      <w:proofErr w:type="gramStart"/>
      <w:r w:rsidRPr="000E5492">
        <w:t>propagovala</w:t>
      </w:r>
      <w:proofErr w:type="gramEnd"/>
      <w:r w:rsidRPr="000E5492">
        <w:t xml:space="preserve"> iniciativu Kultura </w:t>
      </w:r>
      <w:proofErr w:type="gramStart"/>
      <w:r w:rsidRPr="000E5492">
        <w:t>hýbe</w:t>
      </w:r>
      <w:proofErr w:type="gramEnd"/>
      <w:r w:rsidRPr="000E5492">
        <w:t xml:space="preserve"> Evropou mezi širší veřejností prostřednictvím komunikačních a informačních činností; domnívá se, že tyto činnosti by se měly zaměřit zejména na jednotlivá odvětví, včetně tvůrců ze všech </w:t>
      </w:r>
      <w:proofErr w:type="spellStart"/>
      <w:r w:rsidRPr="000E5492">
        <w:t>marginalizovaných</w:t>
      </w:r>
      <w:proofErr w:type="spellEnd"/>
      <w:r w:rsidRPr="000E5492">
        <w:t xml:space="preserve"> skupin, jakož i méně zastoupených zemí a regionů, aby se zajistila zeměpisná vyváženost;</w:t>
      </w:r>
    </w:p>
    <w:p w:rsidR="00EA5808" w:rsidRPr="000E5492" w:rsidRDefault="00EA5808" w:rsidP="007D5CD8">
      <w:pPr>
        <w:pStyle w:val="NormalHanging12a"/>
      </w:pPr>
      <w:r w:rsidRPr="000E5492">
        <w:t>28.</w:t>
      </w:r>
      <w:r w:rsidRPr="000E5492">
        <w:tab/>
        <w:t>poukazuje na to, že ačkoli uznává velký úspěch nové akce v oblasti mobility, je naprosto nezbytné, aby byla do konce roku 2024 provedena analýza hlavních vznikajících trendů s cílem prozkoumat možnost dalšího rozšíření této akce za účelem začlenění nových aktérů, jako jsou zástupci z knižního odvětví; vyzývá v této souvislosti Komisi, aby od roku 2025 navýšila rozpočet přidělený na tuto akci;</w:t>
      </w:r>
    </w:p>
    <w:p w:rsidR="00EA5808" w:rsidRPr="000E5492" w:rsidRDefault="00EA5808" w:rsidP="007D5CD8">
      <w:pPr>
        <w:pStyle w:val="NormalHanging12a"/>
      </w:pPr>
      <w:r w:rsidRPr="000E5492">
        <w:t>29.</w:t>
      </w:r>
      <w:r w:rsidRPr="000E5492">
        <w:tab/>
        <w:t>zdůrazňuje pozitivní dopad zelených a rodinných navýšení zavedených v rámci programu mobility, která představují konkrétní příklad toho, jak může být program inkluzivnější; vyzývá proto Komisi, aby zvážila uplatnění tohoto přístupu v dalších akcích programu Kreativní Evropa;</w:t>
      </w:r>
    </w:p>
    <w:p w:rsidR="00EA5808" w:rsidRPr="000E5492" w:rsidRDefault="00EA5808" w:rsidP="007D5CD8">
      <w:pPr>
        <w:pStyle w:val="NormalHanging12a"/>
      </w:pPr>
      <w:r w:rsidRPr="000E5492">
        <w:t>30.</w:t>
      </w:r>
      <w:r w:rsidRPr="000E5492">
        <w:tab/>
        <w:t>vítá navýšení finančních prostředků pro evropské platformy na podporu začínajících umělců v rámci složky Kultura a vyzdvihuje pozitivní dopad, který má na rozmanitost tím, že zviditelňuje umělce a jejich díla v mezinárodním měřítku; vyzývá proto Komisi, aby tuto akci nadále rozvíjela zajištěním odpovídajícího financování a propagace;</w:t>
      </w:r>
    </w:p>
    <w:p w:rsidR="00EA5808" w:rsidRPr="000E5492" w:rsidRDefault="00EA5808" w:rsidP="007D5CD8">
      <w:pPr>
        <w:pStyle w:val="NormalHanging12a"/>
      </w:pPr>
      <w:r w:rsidRPr="000E5492">
        <w:t>31.</w:t>
      </w:r>
      <w:r w:rsidRPr="000E5492">
        <w:tab/>
        <w:t>poukazuje na význam režimu sítí při poskytování příležitostí k vytváření sítí a budování kapacit, které posílí rozmanitost a konkurenceschopnost evropských kulturních a kreativních odvětví; vyzývá v tomto směru Komisi, aby poskytla přiměřené financování pro tuto akci s cílem podpořit současné příjemce a nové sítě;</w:t>
      </w:r>
    </w:p>
    <w:p w:rsidR="00EA5808" w:rsidRPr="000E5492" w:rsidRDefault="00EA5808" w:rsidP="007D5CD8">
      <w:pPr>
        <w:pStyle w:val="NormalHanging12a"/>
      </w:pPr>
      <w:r w:rsidRPr="000E5492">
        <w:t>32.</w:t>
      </w:r>
      <w:r w:rsidRPr="000E5492">
        <w:tab/>
        <w:t>zdůrazňuje, že odvětvový přístup je vynikajícím nástrojem, který posílí knižní a vydavatelské odvětví a umožní společná opatření, která podpoří a podnítí přístup evropských děl na trh a jejich širší oběh;</w:t>
      </w:r>
    </w:p>
    <w:p w:rsidR="00EA5808" w:rsidRPr="000E5492" w:rsidRDefault="00EA5808" w:rsidP="007D5CD8">
      <w:pPr>
        <w:pStyle w:val="NormalHanging12a"/>
      </w:pPr>
      <w:r w:rsidRPr="000E5492">
        <w:t>33.</w:t>
      </w:r>
      <w:r w:rsidRPr="000E5492">
        <w:tab/>
        <w:t>připomíná, že hlavním podpůrným programem pro knižní odvětví je literární překlad; zdůrazňuje však, že je třeba tento program rozšířit, aby zahrnoval překlad evropských knih literatury faktu; vyzývá Komisi, aby s ohledem na přezkum programu v polovině období vytvořila měřitelné cíle týkající se toho, jak jsou finanční prostředky přidělovány za účelem zlepšení přístupnosti knih pro osoby se zdravotním postižením;</w:t>
      </w:r>
    </w:p>
    <w:p w:rsidR="00EA5808" w:rsidRPr="000E5492" w:rsidRDefault="00EA5808" w:rsidP="007D5CD8">
      <w:pPr>
        <w:pStyle w:val="NormalHanging12a"/>
      </w:pPr>
      <w:r w:rsidRPr="000E5492">
        <w:t>34.</w:t>
      </w:r>
      <w:r w:rsidRPr="000E5492">
        <w:tab/>
        <w:t>vítá nárůst opatření na podporu hudebního odvětví v rámci složky Kultura, což vedlo k</w:t>
      </w:r>
      <w:r w:rsidR="00856D81" w:rsidRPr="000E5492">
        <w:t> </w:t>
      </w:r>
      <w:r w:rsidRPr="000E5492">
        <w:t xml:space="preserve">tomu, že v rámci stávajícího programu je předkládán vyšší počet projektů souvisejících s hudbou; vyzývá však Komisi k vytvoření strategičtějšího a odvětvově orientovaného přístupu k hudebnímu odvětví, který by řešil nové a nadcházející výzvy, přičemž by </w:t>
      </w:r>
      <w:proofErr w:type="gramStart"/>
      <w:r w:rsidRPr="000E5492">
        <w:t>vycházel</w:t>
      </w:r>
      <w:proofErr w:type="gramEnd"/>
      <w:r w:rsidRPr="000E5492">
        <w:t xml:space="preserve"> z výsledků přípravné akce Hudba </w:t>
      </w:r>
      <w:proofErr w:type="gramStart"/>
      <w:r w:rsidRPr="000E5492">
        <w:t>hýbe</w:t>
      </w:r>
      <w:proofErr w:type="gramEnd"/>
      <w:r w:rsidRPr="000E5492">
        <w:t xml:space="preserve"> Evropou; zdůrazňuje v</w:t>
      </w:r>
      <w:r w:rsidR="00856D81" w:rsidRPr="000E5492">
        <w:t> </w:t>
      </w:r>
      <w:r w:rsidRPr="000E5492">
        <w:t xml:space="preserve">tomto ohledu význam pravidelného strukturovaného dialogu mezi hudebním ekosystémem a Komisí; vyzývá dále Komisi, aby ve spolupráci s odvětvím shromažďovala údaje o hudebních trzích členských států a podávala zprávy o všech nových problémech, které mají dopad na celý ekosystém; </w:t>
      </w:r>
    </w:p>
    <w:p w:rsidR="00EA5808" w:rsidRPr="000E5492" w:rsidRDefault="00EA5808" w:rsidP="007D5CD8">
      <w:pPr>
        <w:pStyle w:val="NormalHanging12a"/>
      </w:pPr>
      <w:r w:rsidRPr="000E5492">
        <w:t>35.</w:t>
      </w:r>
      <w:r w:rsidRPr="000E5492">
        <w:tab/>
        <w:t>zdůrazňuje význam zvláštní akce Evropské hlavní město kultury jako katalyzátoru kulturní a hospodářské obnovy měst a regionů; zdůrazňuje potřebu dlouho očekávaného zvýšeného financování této zvláštní akce s cílem pokrýt dodatečné náklady vzniklé v</w:t>
      </w:r>
      <w:r w:rsidR="00856D81" w:rsidRPr="000E5492">
        <w:t> </w:t>
      </w:r>
      <w:r w:rsidRPr="000E5492">
        <w:t xml:space="preserve">důsledku dlouhodobých dopadů pandemie COVID-19 a prudce rostoucí inflace; </w:t>
      </w:r>
      <w:r w:rsidRPr="000E5492">
        <w:lastRenderedPageBreak/>
        <w:t xml:space="preserve">vyzývá proto Komisi, aby zvýšila financování ceny </w:t>
      </w:r>
      <w:proofErr w:type="spellStart"/>
      <w:r w:rsidRPr="000E5492">
        <w:t>Meliny</w:t>
      </w:r>
      <w:proofErr w:type="spellEnd"/>
      <w:r w:rsidRPr="000E5492">
        <w:t xml:space="preserve"> </w:t>
      </w:r>
      <w:proofErr w:type="spellStart"/>
      <w:r w:rsidRPr="000E5492">
        <w:t>Mercouri</w:t>
      </w:r>
      <w:proofErr w:type="spellEnd"/>
      <w:r w:rsidRPr="000E5492">
        <w:t>, která je již několik let dotována pouze částkou 1,5 milionu EUR; dále vyzývá členské státy, aby zajistily trvalý odkaz této iniciativy a aby podpořily informování o ní s cílem zvýšit účast na kulturních aktivi</w:t>
      </w:r>
      <w:r w:rsidR="00856D81">
        <w:t>tách vytvořených v jejím rámci;</w:t>
      </w:r>
    </w:p>
    <w:p w:rsidR="00EA5808" w:rsidRPr="000E5492" w:rsidRDefault="00EA5808" w:rsidP="007D5CD8">
      <w:pPr>
        <w:pStyle w:val="NormalHanging12a"/>
      </w:pPr>
      <w:r w:rsidRPr="000E5492">
        <w:t>36.</w:t>
      </w:r>
      <w:r w:rsidRPr="000E5492">
        <w:tab/>
        <w:t>uznává, že označení „Evropské dědictví“ je cennou iniciativou, která podporuje významnou úlohu, kterou tyto pamětihodnosti hrají v dějinách a kultuře Evropy, a konstatuje, že v období 2013–2021 bylo toto označení přiznáno 60 pamětihodnostem; vyzývá však Komisi, aby zlepšila viditelnost označení „Evropské dědictví“ rozvíjením synergií s dalšími příslušnými finančními nástroji EU;</w:t>
      </w:r>
    </w:p>
    <w:p w:rsidR="00EA5808" w:rsidRPr="000E5492" w:rsidRDefault="00EA5808" w:rsidP="007D5CD8">
      <w:pPr>
        <w:pStyle w:val="NormalHanging12a"/>
      </w:pPr>
      <w:r w:rsidRPr="000E5492">
        <w:t>37.</w:t>
      </w:r>
      <w:r w:rsidRPr="000E5492">
        <w:tab/>
        <w:t>zdůrazňuje význam cen podporovaných programem Kreativní Evropa v oblasti literatury, architektury a dědictví, hudby (současné, rockové a popové) a audiovizuálních umění; zdůrazňuje, že tyto dlouhodobé iniciativy jsou v těchto odvětvích dobře známy a že zvyšují viditelnost evropských kulturních a kreativních odvětví tím, že oceňují výsledky dosažené v různých oblastech;</w:t>
      </w:r>
    </w:p>
    <w:p w:rsidR="00EA5808" w:rsidRPr="000E5492" w:rsidRDefault="00EA5808" w:rsidP="007D5CD8">
      <w:pPr>
        <w:pStyle w:val="NormalHanging12a"/>
        <w:rPr>
          <w:rFonts w:eastAsiaTheme="minorHAnsi"/>
          <w:b/>
          <w:i/>
        </w:rPr>
      </w:pPr>
      <w:r w:rsidRPr="000E5492">
        <w:rPr>
          <w:b/>
          <w:i/>
        </w:rPr>
        <w:t>Složka MEDIA</w:t>
      </w:r>
    </w:p>
    <w:p w:rsidR="00EA5808" w:rsidRPr="000E5492" w:rsidRDefault="00EA5808" w:rsidP="007D5CD8">
      <w:pPr>
        <w:pStyle w:val="NormalHanging12a"/>
      </w:pPr>
      <w:r w:rsidRPr="000E5492">
        <w:t>38.</w:t>
      </w:r>
      <w:r w:rsidRPr="000E5492">
        <w:tab/>
        <w:t>uznává, že složka MEDIA zůstává hlavním evropským nástrojem strategické podpory nezávislého audiovizuálního odvětví, které je tvořeno především malými a středními podniky; poukazuje na významnou mezinárodní konkurenci, které čelí evropské audiovizuální a filmové odvětví a odvětví videoher, a na zásadní podporu, kterou tato složka poskytuje pro oživení a transformaci těchto odvětví a zvýšení strategické autonomie EU; zdůrazňuje v tomto směru, že je důležité zajistit přidělení odpovídajících rozpočtových prostředků na složku MEDIA, a trvá na tom, že jsou zapotřebí komplexní údaje pro posouzení a sledování toho, zda a jak se programu účinně daří zvyšovat hospodářský a kul</w:t>
      </w:r>
      <w:r w:rsidR="00856D81">
        <w:t>turní potenciál těchto odvětví;</w:t>
      </w:r>
    </w:p>
    <w:p w:rsidR="00EA5808" w:rsidRPr="000E5492" w:rsidRDefault="00EA5808" w:rsidP="007D5CD8">
      <w:pPr>
        <w:pStyle w:val="NormalHanging12a"/>
      </w:pPr>
      <w:r w:rsidRPr="000E5492">
        <w:t>39.</w:t>
      </w:r>
      <w:r w:rsidRPr="000E5492">
        <w:tab/>
        <w:t>oceňuje pozitivní dopad cílených opatření zavedených v rámci složky MEDIA s cílem rozšířit účast zemí s různými audiovizuálními kapacitami a posílit přeshraniční spolupráci;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40.</w:t>
      </w:r>
      <w:r w:rsidRPr="000E5492">
        <w:tab/>
        <w:t xml:space="preserve">zdůrazňuje, že velký počet vysoce kvalitních projektů v rámci režimů společného rozvoje a vývoje </w:t>
      </w:r>
      <w:proofErr w:type="spellStart"/>
      <w:r w:rsidRPr="000E5492">
        <w:t>minisouborů</w:t>
      </w:r>
      <w:proofErr w:type="spellEnd"/>
      <w:r w:rsidRPr="000E5492">
        <w:t xml:space="preserve"> projektů byl v letech 2021–2022 zamítnut kvůli rozpočtovým omezením; vyzývá proto Komisi, aby na budoucí provádění těchto režimů vyčlenila větší rozpočet;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41.</w:t>
      </w:r>
      <w:r w:rsidRPr="000E5492">
        <w:tab/>
        <w:t>zdůrazňuje zásadní úlohu režimů podpory evropské distribuce filmů a prodeje evropského filmu, které přispívají ke kulturní rozmanitosti evropského audiovizuálního odvětví tím, že zvyšují přeshraniční oběh evropských filmů a kompenzují některá rizika, která distributoři podstupují při investování do produkce, distribuce a propagace zahraničních evropských filmů; zdůrazňuje proto, že je zásadní, aby bylo financování obou těchto režimů zvýšeno a aby bylo vyvinuto další úsilí o zajištění širšího oběhu a dostupnosti evropských děl on-line;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42.</w:t>
      </w:r>
      <w:r w:rsidRPr="000E5492">
        <w:tab/>
        <w:t>zdůrazňuje, že v mnoha evropských zemích neexistují žádné programy podpory pro</w:t>
      </w:r>
      <w:r w:rsidR="00856D81" w:rsidRPr="000E5492">
        <w:t> </w:t>
      </w:r>
      <w:r w:rsidRPr="000E5492">
        <w:t xml:space="preserve">promítání filmových děl; v této souvislosti zdůrazňuje, že je důležité zachovat odpovídající financování sítě Europa </w:t>
      </w:r>
      <w:proofErr w:type="spellStart"/>
      <w:r w:rsidRPr="000E5492">
        <w:t>Cinemas</w:t>
      </w:r>
      <w:proofErr w:type="spellEnd"/>
      <w:r w:rsidRPr="000E5492">
        <w:t>, stěžejní iniciativy složky MEDIA, která přispívá k šíření evropských filmů v kinech;</w:t>
      </w:r>
    </w:p>
    <w:p w:rsidR="00EA5808" w:rsidRPr="000E5492" w:rsidRDefault="00EA5808" w:rsidP="007D5CD8">
      <w:pPr>
        <w:pStyle w:val="NormalHanging12a"/>
      </w:pPr>
      <w:r w:rsidRPr="000E5492">
        <w:lastRenderedPageBreak/>
        <w:t>43.</w:t>
      </w:r>
      <w:r w:rsidRPr="000E5492">
        <w:tab/>
        <w:t>zdůrazňuje, že nařízení o programu Kreativní Evropa na období 2021–2027 rozšiřuje poskytování podpory na činnosti zaměřené na vytváření sítí pro odborníky v</w:t>
      </w:r>
      <w:r w:rsidR="00856D81" w:rsidRPr="000E5492">
        <w:t> </w:t>
      </w:r>
      <w:r w:rsidRPr="000E5492">
        <w:t>audiovizuální oblasti, včetně tvůrců; poukazuje na to, že tato akce dosud nebyla provedena; vyzývá proto Komisi, aby včas provedla zvláštní akci s cílem podpořit činnosti zaměřené na vytváření sítí a spolupráci evropských profesionálů a kulturních organizací v rámci audiovizuálního hodnotového řetězce;</w:t>
      </w:r>
    </w:p>
    <w:p w:rsidR="00EA5808" w:rsidRPr="000E5492" w:rsidRDefault="00EA5808" w:rsidP="007D5CD8">
      <w:pPr>
        <w:pStyle w:val="NormalHanging12a"/>
      </w:pPr>
      <w:r w:rsidRPr="000E5492">
        <w:t>44.</w:t>
      </w:r>
      <w:r w:rsidRPr="000E5492">
        <w:tab/>
        <w:t>připomíná úspěch přípravné akce „Psát evropsky“ a navrhuje, aby Komise začlenila cíle, které tato akce sleduje, do programu Kreativní Evropa;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45.</w:t>
      </w:r>
      <w:r w:rsidRPr="000E5492">
        <w:tab/>
        <w:t xml:space="preserve">vítá zavedení zvláštní akce na podporu vývoje videoher a </w:t>
      </w:r>
      <w:proofErr w:type="spellStart"/>
      <w:r w:rsidRPr="000E5492">
        <w:t>imerzivního</w:t>
      </w:r>
      <w:proofErr w:type="spellEnd"/>
      <w:r w:rsidRPr="000E5492">
        <w:t xml:space="preserve"> obsahu, která v</w:t>
      </w:r>
      <w:r w:rsidR="00856D81" w:rsidRPr="000E5492">
        <w:t> </w:t>
      </w:r>
      <w:r w:rsidRPr="000E5492">
        <w:t>tomto odvětví vyvolala značný zájem; vyzývá Komisi, aby podporovala kulturní a kreativní rozměr tohoto odvětví tím, že při přípravě relevantních výzev k předkládání návrhů zohlední jeho specifické rysy a související potřeby, včetně potřeby otestovat nové obchodní modely ve virtuálním světě s cílem umožnit rozvoj dovedností v této oblasti, a to se zvláštním důrazem na účast žen; konstatuje nicméně, že současný rozpočet by pro to mohl být nedostatečný, a požaduje dodatečné finanční prostředky na</w:t>
      </w:r>
      <w:r w:rsidR="00856D81" w:rsidRPr="000E5492">
        <w:t> </w:t>
      </w:r>
      <w:r w:rsidRPr="000E5492">
        <w:t>podporu růstu evropského ekosystému videoher a rozvoj a udržení evropských talentů;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46.</w:t>
      </w:r>
      <w:r w:rsidRPr="000E5492">
        <w:tab/>
        <w:t>zdůrazňuje, že rostoucí inflace na vysoce konkurenčním audiovizuálním trhu má dopad na výrobní náklady; vyzývá proto Komisi, aby zvýšila stropy financování s cílem zajistit, aby složka MEDIA poskytovala audiovizuálnímu odvětví podporu;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47.</w:t>
      </w:r>
      <w:r w:rsidRPr="000E5492">
        <w:tab/>
        <w:t>uznává úspěch výzvy týkající se sítě evropských festivalů, která podpořila 71 festivalů v</w:t>
      </w:r>
      <w:r w:rsidR="00856D81" w:rsidRPr="000E5492">
        <w:t> </w:t>
      </w:r>
      <w:r w:rsidRPr="000E5492">
        <w:t>rámci 12 sítí, jež spolupracovaly mimo jiné s cílem podpořit zapojení publika; vyzývá proto Komisi, aby v následujících letech střídavě nadále financovala dvě vzájemně se doplňující akce – evropské festivaly a síť evropských festivalů;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48.</w:t>
      </w:r>
      <w:r w:rsidRPr="000E5492">
        <w:tab/>
        <w:t xml:space="preserve">konstatuje, že vzhledem k tomu, že nástroj Media Invest přilákal velký počet žádostí, musí být pro jeho budoucí provádění zajištěna větší rozpočtová součinnost s programem </w:t>
      </w:r>
      <w:proofErr w:type="spellStart"/>
      <w:r w:rsidRPr="000E5492">
        <w:t>InvestEU</w:t>
      </w:r>
      <w:proofErr w:type="spellEnd"/>
      <w:r w:rsidRPr="000E5492">
        <w:t>; vyzývá Komisi, aby dále zlepšovala propagaci tohoto nástroje v</w:t>
      </w:r>
      <w:r w:rsidR="00856D81" w:rsidRPr="000E5492">
        <w:t> </w:t>
      </w:r>
      <w:r w:rsidRPr="000E5492">
        <w:t>audiovizuálním odvětví;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49.</w:t>
      </w:r>
      <w:r w:rsidRPr="000E5492">
        <w:tab/>
        <w:t>připomíná, že Evropský akt o svobodě sdělovacích prostředků předložený Komisí v září 2022 zřizuje Evropský výbor pro mediální služby, který nahrazuje skupinu evropských regulačních orgánů pro audiovizuální mediální služby (ERGA) ustavenou směrnicí 2010/13/EU</w:t>
      </w:r>
      <w:r w:rsidRPr="000E5492">
        <w:rPr>
          <w:rStyle w:val="FootnoteReference"/>
          <w:rFonts w:eastAsiaTheme="minorHAnsi"/>
        </w:rPr>
        <w:footnoteReference w:id="15"/>
      </w:r>
      <w:r w:rsidRPr="000E5492">
        <w:t>; zdůrazňuje s ohledem na omezené finanční zdroje dostupné pro</w:t>
      </w:r>
      <w:r w:rsidR="00856D81" w:rsidRPr="000E5492">
        <w:t> </w:t>
      </w:r>
      <w:r w:rsidRPr="000E5492">
        <w:t>provádění cílů programu, že rozpočet přidělený na složku MEDIA a další rozpočtové položky programu nesmí být přiděleny na financování výboru;</w:t>
      </w:r>
    </w:p>
    <w:p w:rsidR="00EA5808" w:rsidRPr="000E5492" w:rsidRDefault="00EA5808" w:rsidP="007D5CD8">
      <w:pPr>
        <w:pStyle w:val="NormalHanging12a"/>
        <w:rPr>
          <w:rFonts w:eastAsiaTheme="minorHAnsi"/>
          <w:b/>
          <w:i/>
        </w:rPr>
      </w:pPr>
      <w:r w:rsidRPr="000E5492">
        <w:rPr>
          <w:b/>
          <w:i/>
        </w:rPr>
        <w:t>Meziodvětvová složka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50.</w:t>
      </w:r>
      <w:r w:rsidRPr="000E5492">
        <w:tab/>
        <w:t>lituje, že akce naplánované v rámci Meziodvětvové složky zaznamenaly největší zpoždění v provádění, zejména v roce 2021, a to v důsledku novinek zavedených v této složce;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lastRenderedPageBreak/>
        <w:t>51.</w:t>
      </w:r>
      <w:r w:rsidRPr="000E5492">
        <w:tab/>
        <w:t>konstatuje, že ve výzvách zaměřených na partnerství v oblasti žurnalistiky a mediální gramotnost bylo v letech 2021–2022 podáno nejvíce žádostí, což zdůrazňuje naléhavou potřebu navýšit finanční podporu pro evropské mediální odvětví;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52.</w:t>
      </w:r>
      <w:r w:rsidRPr="000E5492">
        <w:tab/>
        <w:t>konstatuje, že nízká míra úspěšnosti žádostí v rámci Meziodvětvové složky, navzdory celkově vysoké kvalitě předložených žádostí, ukazuje na vysokou poptávku po finanční podpoře, kterou bohužel nelze v rámci stávajícího finančního přídělu uspokojit;</w:t>
      </w:r>
    </w:p>
    <w:p w:rsidR="00EA5808" w:rsidRPr="000E5492" w:rsidRDefault="00EA5808" w:rsidP="007D5CD8">
      <w:pPr>
        <w:pStyle w:val="NormalHanging12a"/>
        <w:rPr>
          <w:rFonts w:eastAsiaTheme="minorHAnsi"/>
        </w:rPr>
      </w:pPr>
      <w:r w:rsidRPr="000E5492">
        <w:t>53.</w:t>
      </w:r>
      <w:r w:rsidRPr="000E5492">
        <w:tab/>
        <w:t>vyzývá Komisi, aby zajistila, že ve zbývajícím programovém období bude nejméně 9 %</w:t>
      </w:r>
      <w:r w:rsidRPr="000E5492">
        <w:rPr>
          <w:rStyle w:val="FootnoteReference"/>
        </w:rPr>
        <w:footnoteReference w:id="16"/>
      </w:r>
      <w:r w:rsidRPr="000E5492">
        <w:t xml:space="preserve"> celkového rozpočtu na období 2021–2027 přiděleno na podporu cílů meziodvětvové složky;</w:t>
      </w:r>
    </w:p>
    <w:p w:rsidR="007D5CD8" w:rsidRDefault="007D5CD8" w:rsidP="007D5CD8">
      <w:pPr>
        <w:pStyle w:val="NormalHanging12a"/>
        <w:widowControl/>
        <w:jc w:val="center"/>
      </w:pPr>
      <w:r>
        <w:t>°</w:t>
      </w:r>
    </w:p>
    <w:p w:rsidR="007D5CD8" w:rsidRDefault="007D5CD8" w:rsidP="007D5CD8">
      <w:pPr>
        <w:pStyle w:val="NormalHanging12a"/>
        <w:widowControl/>
        <w:jc w:val="center"/>
      </w:pPr>
      <w:r>
        <w:t>°     °</w:t>
      </w:r>
    </w:p>
    <w:p w:rsidR="00E365E1" w:rsidRPr="007D5CD8" w:rsidRDefault="00EA5808" w:rsidP="00AD5FDF">
      <w:pPr>
        <w:pStyle w:val="NormalHanging12a"/>
        <w:rPr>
          <w:szCs w:val="24"/>
        </w:rPr>
      </w:pPr>
      <w:r w:rsidRPr="000E5492">
        <w:t>54.</w:t>
      </w:r>
      <w:r w:rsidRPr="000E5492">
        <w:tab/>
        <w:t>pověřuje svou předsedkyni, aby předala toto usnesení Radě, Komisi</w:t>
      </w:r>
      <w:r w:rsidRPr="000E5492">
        <w:rPr>
          <w:snapToGrid w:val="0"/>
        </w:rPr>
        <w:t xml:space="preserve"> a vnitrostátním kancelářím programu Kreativní Evropa.</w:t>
      </w:r>
      <w:bookmarkStart w:id="9" w:name="TextBodyEnd"/>
      <w:bookmarkEnd w:id="9"/>
    </w:p>
    <w:sectPr w:rsidR="00E365E1" w:rsidRPr="007D5CD8" w:rsidSect="000E54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3833" w:rsidRPr="000E5492" w:rsidRDefault="00293833">
      <w:r w:rsidRPr="000E5492">
        <w:separator/>
      </w:r>
    </w:p>
  </w:endnote>
  <w:endnote w:type="continuationSeparator" w:id="0">
    <w:p w:rsidR="00293833" w:rsidRPr="000E5492" w:rsidRDefault="00293833">
      <w:r w:rsidRPr="000E54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549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549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549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3833" w:rsidRPr="000E5492" w:rsidRDefault="00293833">
      <w:r w:rsidRPr="000E5492">
        <w:separator/>
      </w:r>
    </w:p>
  </w:footnote>
  <w:footnote w:type="continuationSeparator" w:id="0">
    <w:p w:rsidR="00293833" w:rsidRPr="000E5492" w:rsidRDefault="00293833">
      <w:r w:rsidRPr="000E5492">
        <w:continuationSeparator/>
      </w:r>
    </w:p>
  </w:footnote>
  <w:footnote w:id="1">
    <w:p w:rsidR="00EA5808" w:rsidRPr="000E5492" w:rsidRDefault="00EA5808" w:rsidP="000E5492">
      <w:pPr>
        <w:pStyle w:val="FootnoteText"/>
        <w:ind w:left="567" w:hanging="567"/>
        <w:rPr>
          <w:sz w:val="24"/>
          <w:lang w:val="cs-CZ"/>
        </w:rPr>
      </w:pPr>
      <w:r w:rsidRPr="000E5492">
        <w:rPr>
          <w:rStyle w:val="FootnoteReference"/>
          <w:sz w:val="24"/>
          <w:lang w:val="cs-CZ"/>
        </w:rPr>
        <w:footnoteRef/>
      </w:r>
      <w:r w:rsidR="000E5492" w:rsidRPr="000E5492">
        <w:rPr>
          <w:sz w:val="24"/>
          <w:lang w:val="cs-CZ"/>
        </w:rPr>
        <w:t xml:space="preserve"> </w:t>
      </w:r>
      <w:r w:rsidR="000E5492" w:rsidRPr="000E5492">
        <w:rPr>
          <w:sz w:val="24"/>
          <w:lang w:val="cs-CZ"/>
        </w:rPr>
        <w:tab/>
      </w:r>
      <w:proofErr w:type="spellStart"/>
      <w:r w:rsidRPr="000E5492">
        <w:rPr>
          <w:sz w:val="24"/>
          <w:lang w:val="cs-CZ"/>
        </w:rPr>
        <w:t>Úř</w:t>
      </w:r>
      <w:proofErr w:type="spellEnd"/>
      <w:r w:rsidRPr="000E5492">
        <w:rPr>
          <w:sz w:val="24"/>
          <w:lang w:val="cs-CZ"/>
        </w:rPr>
        <w:t xml:space="preserve">. </w:t>
      </w:r>
      <w:proofErr w:type="spellStart"/>
      <w:proofErr w:type="gramStart"/>
      <w:r w:rsidRPr="000E5492">
        <w:rPr>
          <w:sz w:val="24"/>
          <w:lang w:val="cs-CZ"/>
        </w:rPr>
        <w:t>věst</w:t>
      </w:r>
      <w:proofErr w:type="spellEnd"/>
      <w:proofErr w:type="gramEnd"/>
      <w:r w:rsidRPr="000E5492">
        <w:rPr>
          <w:sz w:val="24"/>
          <w:lang w:val="cs-CZ"/>
        </w:rPr>
        <w:t xml:space="preserve">. L 189, </w:t>
      </w:r>
      <w:proofErr w:type="gramStart"/>
      <w:r w:rsidRPr="000E5492">
        <w:rPr>
          <w:sz w:val="24"/>
          <w:lang w:val="cs-CZ"/>
        </w:rPr>
        <w:t>28.5.2021</w:t>
      </w:r>
      <w:proofErr w:type="gramEnd"/>
      <w:r w:rsidRPr="000E5492">
        <w:rPr>
          <w:sz w:val="24"/>
          <w:lang w:val="cs-CZ"/>
        </w:rPr>
        <w:t>, s. 34.</w:t>
      </w:r>
    </w:p>
  </w:footnote>
  <w:footnote w:id="2">
    <w:p w:rsidR="00EA5808" w:rsidRPr="000E5492" w:rsidRDefault="00EA5808" w:rsidP="000E5492">
      <w:pPr>
        <w:pStyle w:val="FootnoteText"/>
        <w:ind w:left="567" w:hanging="567"/>
        <w:rPr>
          <w:sz w:val="24"/>
          <w:lang w:val="cs-CZ"/>
        </w:rPr>
      </w:pPr>
      <w:r w:rsidRPr="000E5492">
        <w:rPr>
          <w:rStyle w:val="FootnoteReference"/>
          <w:sz w:val="24"/>
          <w:lang w:val="cs-CZ"/>
        </w:rPr>
        <w:footnoteRef/>
      </w:r>
      <w:r w:rsidR="000E5492" w:rsidRPr="000E5492">
        <w:rPr>
          <w:sz w:val="24"/>
          <w:lang w:val="cs-CZ"/>
        </w:rPr>
        <w:t xml:space="preserve"> </w:t>
      </w:r>
      <w:r w:rsidR="000E5492" w:rsidRPr="000E5492">
        <w:rPr>
          <w:sz w:val="24"/>
          <w:lang w:val="cs-CZ"/>
        </w:rPr>
        <w:tab/>
      </w:r>
      <w:proofErr w:type="spellStart"/>
      <w:r w:rsidRPr="000E5492">
        <w:rPr>
          <w:sz w:val="24"/>
          <w:lang w:val="cs-CZ"/>
        </w:rPr>
        <w:t>Úř</w:t>
      </w:r>
      <w:proofErr w:type="spellEnd"/>
      <w:r w:rsidRPr="000E5492">
        <w:rPr>
          <w:sz w:val="24"/>
          <w:lang w:val="cs-CZ"/>
        </w:rPr>
        <w:t xml:space="preserve">. </w:t>
      </w:r>
      <w:proofErr w:type="spellStart"/>
      <w:proofErr w:type="gramStart"/>
      <w:r w:rsidRPr="000E5492">
        <w:rPr>
          <w:sz w:val="24"/>
          <w:lang w:val="cs-CZ"/>
        </w:rPr>
        <w:t>věst</w:t>
      </w:r>
      <w:proofErr w:type="spellEnd"/>
      <w:proofErr w:type="gramEnd"/>
      <w:r w:rsidRPr="000E5492">
        <w:rPr>
          <w:sz w:val="24"/>
          <w:lang w:val="cs-CZ"/>
        </w:rPr>
        <w:t xml:space="preserve">. L 347, </w:t>
      </w:r>
      <w:proofErr w:type="gramStart"/>
      <w:r w:rsidRPr="000E5492">
        <w:rPr>
          <w:sz w:val="24"/>
          <w:lang w:val="cs-CZ"/>
        </w:rPr>
        <w:t>20.12.2013</w:t>
      </w:r>
      <w:proofErr w:type="gramEnd"/>
      <w:r w:rsidRPr="000E5492">
        <w:rPr>
          <w:sz w:val="24"/>
          <w:lang w:val="cs-CZ"/>
        </w:rPr>
        <w:t>, s. 221.</w:t>
      </w:r>
    </w:p>
  </w:footnote>
  <w:footnote w:id="3">
    <w:p w:rsidR="00EA5808" w:rsidRPr="000E5492" w:rsidRDefault="00EA5808" w:rsidP="000E5492">
      <w:pPr>
        <w:pStyle w:val="FootnoteText"/>
        <w:ind w:left="567" w:hanging="567"/>
        <w:rPr>
          <w:sz w:val="24"/>
          <w:lang w:val="cs-CZ"/>
        </w:rPr>
      </w:pPr>
      <w:r w:rsidRPr="000E5492">
        <w:rPr>
          <w:rStyle w:val="FootnoteReference"/>
          <w:sz w:val="24"/>
          <w:lang w:val="cs-CZ"/>
        </w:rPr>
        <w:footnoteRef/>
      </w:r>
      <w:r w:rsidR="000E5492" w:rsidRPr="000E5492">
        <w:rPr>
          <w:sz w:val="24"/>
          <w:lang w:val="cs-CZ"/>
        </w:rPr>
        <w:t xml:space="preserve"> </w:t>
      </w:r>
      <w:r w:rsidR="000E5492" w:rsidRPr="000E5492">
        <w:rPr>
          <w:sz w:val="24"/>
          <w:lang w:val="cs-CZ"/>
        </w:rPr>
        <w:tab/>
      </w:r>
      <w:proofErr w:type="spellStart"/>
      <w:r w:rsidRPr="000E5492">
        <w:rPr>
          <w:sz w:val="24"/>
          <w:lang w:val="cs-CZ"/>
        </w:rPr>
        <w:t>Úř</w:t>
      </w:r>
      <w:proofErr w:type="spellEnd"/>
      <w:r w:rsidRPr="000E5492">
        <w:rPr>
          <w:sz w:val="24"/>
          <w:lang w:val="cs-CZ"/>
        </w:rPr>
        <w:t xml:space="preserve">. </w:t>
      </w:r>
      <w:proofErr w:type="spellStart"/>
      <w:proofErr w:type="gramStart"/>
      <w:r w:rsidRPr="000E5492">
        <w:rPr>
          <w:sz w:val="24"/>
          <w:lang w:val="cs-CZ"/>
        </w:rPr>
        <w:t>věst</w:t>
      </w:r>
      <w:proofErr w:type="spellEnd"/>
      <w:proofErr w:type="gramEnd"/>
      <w:r w:rsidRPr="000E5492">
        <w:rPr>
          <w:sz w:val="24"/>
          <w:lang w:val="cs-CZ"/>
        </w:rPr>
        <w:t xml:space="preserve">. C 108, </w:t>
      </w:r>
      <w:proofErr w:type="gramStart"/>
      <w:r w:rsidRPr="000E5492">
        <w:rPr>
          <w:sz w:val="24"/>
          <w:lang w:val="cs-CZ"/>
        </w:rPr>
        <w:t>26.3.2021</w:t>
      </w:r>
      <w:proofErr w:type="gramEnd"/>
      <w:r w:rsidRPr="000E5492">
        <w:rPr>
          <w:sz w:val="24"/>
          <w:lang w:val="cs-CZ"/>
        </w:rPr>
        <w:t>, s. 934.</w:t>
      </w:r>
    </w:p>
  </w:footnote>
  <w:footnote w:id="4">
    <w:p w:rsidR="00EA5808" w:rsidRPr="000E5492" w:rsidRDefault="00EA5808" w:rsidP="000E5492">
      <w:pPr>
        <w:pStyle w:val="FootnoteText"/>
        <w:ind w:left="567" w:hanging="567"/>
        <w:rPr>
          <w:sz w:val="24"/>
          <w:lang w:val="cs-CZ"/>
        </w:rPr>
      </w:pPr>
      <w:r w:rsidRPr="000E5492">
        <w:rPr>
          <w:rStyle w:val="FootnoteReference"/>
          <w:sz w:val="24"/>
          <w:lang w:val="cs-CZ"/>
        </w:rPr>
        <w:footnoteRef/>
      </w:r>
      <w:r w:rsidR="000E5492" w:rsidRPr="000E5492">
        <w:rPr>
          <w:sz w:val="24"/>
          <w:lang w:val="cs-CZ"/>
        </w:rPr>
        <w:t xml:space="preserve"> </w:t>
      </w:r>
      <w:r w:rsidR="000E5492" w:rsidRPr="000E5492">
        <w:rPr>
          <w:sz w:val="24"/>
          <w:lang w:val="cs-CZ"/>
        </w:rPr>
        <w:tab/>
      </w:r>
      <w:proofErr w:type="spellStart"/>
      <w:r w:rsidRPr="000E5492">
        <w:rPr>
          <w:sz w:val="24"/>
          <w:lang w:val="cs-CZ"/>
        </w:rPr>
        <w:t>Úř</w:t>
      </w:r>
      <w:proofErr w:type="spellEnd"/>
      <w:r w:rsidRPr="000E5492">
        <w:rPr>
          <w:sz w:val="24"/>
          <w:lang w:val="cs-CZ"/>
        </w:rPr>
        <w:t xml:space="preserve">. </w:t>
      </w:r>
      <w:proofErr w:type="spellStart"/>
      <w:proofErr w:type="gramStart"/>
      <w:r w:rsidRPr="000E5492">
        <w:rPr>
          <w:sz w:val="24"/>
          <w:lang w:val="cs-CZ"/>
        </w:rPr>
        <w:t>věst</w:t>
      </w:r>
      <w:proofErr w:type="spellEnd"/>
      <w:proofErr w:type="gramEnd"/>
      <w:r w:rsidRPr="000E5492">
        <w:rPr>
          <w:sz w:val="24"/>
          <w:lang w:val="cs-CZ"/>
        </w:rPr>
        <w:t xml:space="preserve">. C 110, </w:t>
      </w:r>
      <w:proofErr w:type="gramStart"/>
      <w:r w:rsidRPr="000E5492">
        <w:rPr>
          <w:sz w:val="24"/>
          <w:lang w:val="cs-CZ"/>
        </w:rPr>
        <w:t>22.3.2019</w:t>
      </w:r>
      <w:proofErr w:type="gramEnd"/>
      <w:r w:rsidRPr="000E5492">
        <w:rPr>
          <w:sz w:val="24"/>
          <w:lang w:val="cs-CZ"/>
        </w:rPr>
        <w:t>, s. 87.</w:t>
      </w:r>
    </w:p>
  </w:footnote>
  <w:footnote w:id="5">
    <w:p w:rsidR="00EA5808" w:rsidRPr="000E5492" w:rsidRDefault="00EA5808" w:rsidP="000E5492">
      <w:pPr>
        <w:pStyle w:val="FootnoteText"/>
        <w:ind w:left="567" w:hanging="567"/>
        <w:rPr>
          <w:sz w:val="24"/>
          <w:lang w:val="cs-CZ"/>
        </w:rPr>
      </w:pPr>
      <w:r w:rsidRPr="000E5492">
        <w:rPr>
          <w:rStyle w:val="FootnoteReference"/>
          <w:sz w:val="24"/>
          <w:lang w:val="cs-CZ"/>
        </w:rPr>
        <w:footnoteRef/>
      </w:r>
      <w:r w:rsidR="000E5492" w:rsidRPr="000E5492">
        <w:rPr>
          <w:sz w:val="24"/>
          <w:lang w:val="cs-CZ"/>
        </w:rPr>
        <w:t xml:space="preserve"> </w:t>
      </w:r>
      <w:r w:rsidR="000E5492" w:rsidRPr="000E5492">
        <w:rPr>
          <w:sz w:val="24"/>
          <w:lang w:val="cs-CZ"/>
        </w:rPr>
        <w:tab/>
      </w:r>
      <w:proofErr w:type="spellStart"/>
      <w:r w:rsidRPr="000E5492">
        <w:rPr>
          <w:sz w:val="24"/>
          <w:lang w:val="cs-CZ"/>
        </w:rPr>
        <w:t>Úř</w:t>
      </w:r>
      <w:proofErr w:type="spellEnd"/>
      <w:r w:rsidRPr="000E5492">
        <w:rPr>
          <w:sz w:val="24"/>
          <w:lang w:val="cs-CZ"/>
        </w:rPr>
        <w:t xml:space="preserve">. </w:t>
      </w:r>
      <w:proofErr w:type="spellStart"/>
      <w:proofErr w:type="gramStart"/>
      <w:r w:rsidRPr="000E5492">
        <w:rPr>
          <w:sz w:val="24"/>
          <w:lang w:val="cs-CZ"/>
        </w:rPr>
        <w:t>věst</w:t>
      </w:r>
      <w:proofErr w:type="spellEnd"/>
      <w:proofErr w:type="gramEnd"/>
      <w:r w:rsidRPr="000E5492">
        <w:rPr>
          <w:sz w:val="24"/>
          <w:lang w:val="cs-CZ"/>
        </w:rPr>
        <w:t xml:space="preserve">. C 168, </w:t>
      </w:r>
      <w:proofErr w:type="gramStart"/>
      <w:r w:rsidRPr="000E5492">
        <w:rPr>
          <w:sz w:val="24"/>
          <w:lang w:val="cs-CZ"/>
        </w:rPr>
        <w:t>16.5.2019</w:t>
      </w:r>
      <w:proofErr w:type="gramEnd"/>
      <w:r w:rsidRPr="000E5492">
        <w:rPr>
          <w:sz w:val="24"/>
          <w:lang w:val="cs-CZ"/>
        </w:rPr>
        <w:t>, s. 37.</w:t>
      </w:r>
    </w:p>
  </w:footnote>
  <w:footnote w:id="6">
    <w:p w:rsidR="00EA5808" w:rsidRPr="000E5492" w:rsidRDefault="00EA5808" w:rsidP="000E5492">
      <w:pPr>
        <w:pStyle w:val="FootnoteText"/>
        <w:ind w:left="567" w:hanging="567"/>
        <w:rPr>
          <w:sz w:val="24"/>
          <w:lang w:val="cs-CZ"/>
        </w:rPr>
      </w:pPr>
      <w:r w:rsidRPr="000E5492">
        <w:rPr>
          <w:rStyle w:val="FootnoteReference"/>
          <w:sz w:val="24"/>
          <w:lang w:val="cs-CZ"/>
        </w:rPr>
        <w:footnoteRef/>
      </w:r>
      <w:r w:rsidR="000E5492" w:rsidRPr="000E5492">
        <w:rPr>
          <w:sz w:val="24"/>
          <w:lang w:val="cs-CZ"/>
        </w:rPr>
        <w:t xml:space="preserve"> </w:t>
      </w:r>
      <w:r w:rsidR="000E5492" w:rsidRPr="000E5492">
        <w:rPr>
          <w:sz w:val="24"/>
          <w:lang w:val="cs-CZ"/>
        </w:rPr>
        <w:tab/>
      </w:r>
      <w:proofErr w:type="spellStart"/>
      <w:r w:rsidRPr="000E5492">
        <w:rPr>
          <w:sz w:val="24"/>
          <w:lang w:val="cs-CZ"/>
        </w:rPr>
        <w:t>Úř</w:t>
      </w:r>
      <w:proofErr w:type="spellEnd"/>
      <w:r w:rsidRPr="000E5492">
        <w:rPr>
          <w:sz w:val="24"/>
          <w:lang w:val="cs-CZ"/>
        </w:rPr>
        <w:t xml:space="preserve">. </w:t>
      </w:r>
      <w:proofErr w:type="spellStart"/>
      <w:proofErr w:type="gramStart"/>
      <w:r w:rsidRPr="000E5492">
        <w:rPr>
          <w:sz w:val="24"/>
          <w:lang w:val="cs-CZ"/>
        </w:rPr>
        <w:t>věst</w:t>
      </w:r>
      <w:proofErr w:type="spellEnd"/>
      <w:proofErr w:type="gramEnd"/>
      <w:r w:rsidRPr="000E5492">
        <w:rPr>
          <w:sz w:val="24"/>
          <w:lang w:val="cs-CZ"/>
        </w:rPr>
        <w:t xml:space="preserve">. C 466, </w:t>
      </w:r>
      <w:proofErr w:type="gramStart"/>
      <w:r w:rsidRPr="000E5492">
        <w:rPr>
          <w:sz w:val="24"/>
          <w:lang w:val="cs-CZ"/>
        </w:rPr>
        <w:t>7.12.2022</w:t>
      </w:r>
      <w:proofErr w:type="gramEnd"/>
      <w:r w:rsidRPr="000E5492">
        <w:rPr>
          <w:sz w:val="24"/>
          <w:lang w:val="cs-CZ"/>
        </w:rPr>
        <w:t>, s. 1.</w:t>
      </w:r>
    </w:p>
  </w:footnote>
  <w:footnote w:id="7">
    <w:p w:rsidR="00EA5808" w:rsidRPr="000E5492" w:rsidRDefault="00EA5808" w:rsidP="000E5492">
      <w:pPr>
        <w:pStyle w:val="FootnoteText"/>
        <w:ind w:left="567" w:hanging="567"/>
        <w:rPr>
          <w:sz w:val="24"/>
          <w:lang w:val="cs-CZ"/>
        </w:rPr>
      </w:pPr>
      <w:r w:rsidRPr="000E5492">
        <w:rPr>
          <w:rStyle w:val="FootnoteReference"/>
          <w:sz w:val="24"/>
          <w:lang w:val="cs-CZ"/>
        </w:rPr>
        <w:footnoteRef/>
      </w:r>
      <w:r w:rsidR="000E5492" w:rsidRPr="000E5492">
        <w:rPr>
          <w:sz w:val="24"/>
          <w:lang w:val="cs-CZ"/>
        </w:rPr>
        <w:t xml:space="preserve"> </w:t>
      </w:r>
      <w:r w:rsidR="000E5492" w:rsidRPr="000E5492">
        <w:rPr>
          <w:sz w:val="24"/>
          <w:lang w:val="cs-CZ"/>
        </w:rPr>
        <w:tab/>
      </w:r>
      <w:r w:rsidRPr="000E5492">
        <w:rPr>
          <w:sz w:val="24"/>
          <w:lang w:val="cs-CZ"/>
        </w:rPr>
        <w:t>Přijaté texty, P9_TA(2023)0329.</w:t>
      </w:r>
    </w:p>
  </w:footnote>
  <w:footnote w:id="8">
    <w:p w:rsidR="00EA5808" w:rsidRPr="000E5492" w:rsidRDefault="00EA5808" w:rsidP="000E5492">
      <w:pPr>
        <w:pStyle w:val="FootnoteText"/>
        <w:ind w:left="567" w:hanging="567"/>
        <w:rPr>
          <w:sz w:val="24"/>
          <w:lang w:val="cs-CZ"/>
        </w:rPr>
      </w:pPr>
      <w:r w:rsidRPr="000E5492">
        <w:rPr>
          <w:rStyle w:val="FootnoteReference"/>
          <w:sz w:val="24"/>
          <w:lang w:val="cs-CZ"/>
        </w:rPr>
        <w:footnoteRef/>
      </w:r>
      <w:r w:rsidR="000E5492" w:rsidRPr="000E5492">
        <w:rPr>
          <w:sz w:val="24"/>
          <w:lang w:val="cs-CZ"/>
        </w:rPr>
        <w:t xml:space="preserve"> </w:t>
      </w:r>
      <w:r w:rsidR="000E5492" w:rsidRPr="000E5492">
        <w:rPr>
          <w:sz w:val="24"/>
          <w:lang w:val="cs-CZ"/>
        </w:rPr>
        <w:tab/>
      </w:r>
      <w:proofErr w:type="spellStart"/>
      <w:r w:rsidRPr="000E5492">
        <w:rPr>
          <w:sz w:val="24"/>
          <w:lang w:val="cs-CZ"/>
        </w:rPr>
        <w:t>Úř</w:t>
      </w:r>
      <w:proofErr w:type="spellEnd"/>
      <w:r w:rsidRPr="000E5492">
        <w:rPr>
          <w:sz w:val="24"/>
          <w:lang w:val="cs-CZ"/>
        </w:rPr>
        <w:t xml:space="preserve">. </w:t>
      </w:r>
      <w:proofErr w:type="spellStart"/>
      <w:proofErr w:type="gramStart"/>
      <w:r w:rsidRPr="000E5492">
        <w:rPr>
          <w:sz w:val="24"/>
          <w:lang w:val="cs-CZ"/>
        </w:rPr>
        <w:t>věst</w:t>
      </w:r>
      <w:proofErr w:type="spellEnd"/>
      <w:proofErr w:type="gramEnd"/>
      <w:r w:rsidRPr="000E5492">
        <w:rPr>
          <w:sz w:val="24"/>
          <w:lang w:val="cs-CZ"/>
        </w:rPr>
        <w:t xml:space="preserve">. C 177, </w:t>
      </w:r>
      <w:proofErr w:type="gramStart"/>
      <w:r w:rsidRPr="000E5492">
        <w:rPr>
          <w:sz w:val="24"/>
          <w:lang w:val="cs-CZ"/>
        </w:rPr>
        <w:t>17.5.2023</w:t>
      </w:r>
      <w:proofErr w:type="gramEnd"/>
      <w:r w:rsidRPr="000E5492">
        <w:rPr>
          <w:sz w:val="24"/>
          <w:lang w:val="cs-CZ"/>
        </w:rPr>
        <w:t>, s. 78.</w:t>
      </w:r>
    </w:p>
  </w:footnote>
  <w:footnote w:id="9">
    <w:p w:rsidR="00EA5808" w:rsidRPr="000E5492" w:rsidRDefault="00EA5808" w:rsidP="000E5492">
      <w:pPr>
        <w:pStyle w:val="FootnoteText"/>
        <w:ind w:left="567" w:hanging="567"/>
        <w:rPr>
          <w:sz w:val="24"/>
          <w:lang w:val="cs-CZ"/>
        </w:rPr>
      </w:pPr>
      <w:r w:rsidRPr="000E5492">
        <w:rPr>
          <w:rStyle w:val="FootnoteReference"/>
          <w:sz w:val="24"/>
          <w:lang w:val="cs-CZ"/>
        </w:rPr>
        <w:footnoteRef/>
      </w:r>
      <w:r w:rsidR="000E5492" w:rsidRPr="000E5492">
        <w:rPr>
          <w:sz w:val="24"/>
          <w:lang w:val="cs-CZ"/>
        </w:rPr>
        <w:t xml:space="preserve"> </w:t>
      </w:r>
      <w:r w:rsidR="000E5492" w:rsidRPr="000E5492">
        <w:rPr>
          <w:sz w:val="24"/>
          <w:lang w:val="cs-CZ"/>
        </w:rPr>
        <w:tab/>
      </w:r>
      <w:proofErr w:type="spellStart"/>
      <w:r w:rsidRPr="000E5492">
        <w:rPr>
          <w:sz w:val="24"/>
          <w:lang w:val="cs-CZ"/>
        </w:rPr>
        <w:t>Úř</w:t>
      </w:r>
      <w:proofErr w:type="spellEnd"/>
      <w:r w:rsidRPr="000E5492">
        <w:rPr>
          <w:sz w:val="24"/>
          <w:lang w:val="cs-CZ"/>
        </w:rPr>
        <w:t xml:space="preserve">. </w:t>
      </w:r>
      <w:proofErr w:type="spellStart"/>
      <w:proofErr w:type="gramStart"/>
      <w:r w:rsidRPr="000E5492">
        <w:rPr>
          <w:sz w:val="24"/>
          <w:lang w:val="cs-CZ"/>
        </w:rPr>
        <w:t>věst</w:t>
      </w:r>
      <w:proofErr w:type="spellEnd"/>
      <w:proofErr w:type="gramEnd"/>
      <w:r w:rsidRPr="000E5492">
        <w:rPr>
          <w:sz w:val="24"/>
          <w:lang w:val="cs-CZ"/>
        </w:rPr>
        <w:t xml:space="preserve">. C 184, </w:t>
      </w:r>
      <w:proofErr w:type="gramStart"/>
      <w:r w:rsidRPr="000E5492">
        <w:rPr>
          <w:sz w:val="24"/>
          <w:lang w:val="cs-CZ"/>
        </w:rPr>
        <w:t>5.5.2022</w:t>
      </w:r>
      <w:proofErr w:type="gramEnd"/>
      <w:r w:rsidRPr="000E5492">
        <w:rPr>
          <w:sz w:val="24"/>
          <w:lang w:val="cs-CZ"/>
        </w:rPr>
        <w:t>, s. 71.</w:t>
      </w:r>
    </w:p>
  </w:footnote>
  <w:footnote w:id="10">
    <w:p w:rsidR="00EA5808" w:rsidRPr="000E5492" w:rsidRDefault="00EA5808" w:rsidP="000E5492">
      <w:pPr>
        <w:pStyle w:val="FootnoteText"/>
        <w:ind w:left="567" w:hanging="567"/>
        <w:rPr>
          <w:sz w:val="24"/>
          <w:lang w:val="cs-CZ"/>
        </w:rPr>
      </w:pPr>
      <w:r w:rsidRPr="000E5492">
        <w:rPr>
          <w:rStyle w:val="FootnoteReference"/>
          <w:sz w:val="24"/>
          <w:lang w:val="cs-CZ"/>
        </w:rPr>
        <w:footnoteRef/>
      </w:r>
      <w:r w:rsidR="000E5492" w:rsidRPr="000E5492">
        <w:rPr>
          <w:sz w:val="24"/>
          <w:lang w:val="cs-CZ"/>
        </w:rPr>
        <w:t xml:space="preserve"> </w:t>
      </w:r>
      <w:r w:rsidR="000E5492" w:rsidRPr="000E5492">
        <w:rPr>
          <w:sz w:val="24"/>
          <w:lang w:val="cs-CZ"/>
        </w:rPr>
        <w:tab/>
      </w:r>
      <w:proofErr w:type="spellStart"/>
      <w:r w:rsidRPr="000E5492">
        <w:rPr>
          <w:sz w:val="24"/>
          <w:lang w:val="cs-CZ"/>
        </w:rPr>
        <w:t>Úř</w:t>
      </w:r>
      <w:proofErr w:type="spellEnd"/>
      <w:r w:rsidRPr="000E5492">
        <w:rPr>
          <w:sz w:val="24"/>
          <w:lang w:val="cs-CZ"/>
        </w:rPr>
        <w:t>. </w:t>
      </w:r>
      <w:proofErr w:type="spellStart"/>
      <w:proofErr w:type="gramStart"/>
      <w:r w:rsidRPr="000E5492">
        <w:rPr>
          <w:sz w:val="24"/>
          <w:lang w:val="cs-CZ"/>
        </w:rPr>
        <w:t>věst</w:t>
      </w:r>
      <w:proofErr w:type="spellEnd"/>
      <w:proofErr w:type="gramEnd"/>
      <w:r w:rsidRPr="000E5492">
        <w:rPr>
          <w:sz w:val="24"/>
          <w:lang w:val="cs-CZ"/>
        </w:rPr>
        <w:t xml:space="preserve">. C 316, </w:t>
      </w:r>
      <w:proofErr w:type="gramStart"/>
      <w:r w:rsidRPr="000E5492">
        <w:rPr>
          <w:sz w:val="24"/>
          <w:lang w:val="cs-CZ"/>
        </w:rPr>
        <w:t>6.8.2021</w:t>
      </w:r>
      <w:proofErr w:type="gramEnd"/>
      <w:r w:rsidRPr="000E5492">
        <w:rPr>
          <w:sz w:val="24"/>
          <w:lang w:val="cs-CZ"/>
        </w:rPr>
        <w:t>, s. 2.</w:t>
      </w:r>
    </w:p>
  </w:footnote>
  <w:footnote w:id="11">
    <w:p w:rsidR="00EA5808" w:rsidRPr="000E5492" w:rsidRDefault="00EA5808" w:rsidP="000E5492">
      <w:pPr>
        <w:pStyle w:val="FootnoteText"/>
        <w:ind w:left="567" w:hanging="567"/>
        <w:rPr>
          <w:sz w:val="24"/>
          <w:lang w:val="cs-CZ"/>
        </w:rPr>
      </w:pPr>
      <w:r w:rsidRPr="000E5492">
        <w:rPr>
          <w:rStyle w:val="FootnoteReference"/>
          <w:sz w:val="24"/>
          <w:lang w:val="cs-CZ"/>
        </w:rPr>
        <w:footnoteRef/>
      </w:r>
      <w:r w:rsidR="000E5492" w:rsidRPr="000E5492">
        <w:rPr>
          <w:sz w:val="24"/>
          <w:lang w:val="cs-CZ"/>
        </w:rPr>
        <w:t xml:space="preserve"> </w:t>
      </w:r>
      <w:r w:rsidR="000E5492" w:rsidRPr="000E5492">
        <w:rPr>
          <w:sz w:val="24"/>
          <w:lang w:val="cs-CZ"/>
        </w:rPr>
        <w:tab/>
      </w:r>
      <w:proofErr w:type="spellStart"/>
      <w:r w:rsidRPr="000E5492">
        <w:rPr>
          <w:sz w:val="24"/>
          <w:lang w:val="cs-CZ"/>
        </w:rPr>
        <w:t>Úř</w:t>
      </w:r>
      <w:proofErr w:type="spellEnd"/>
      <w:r w:rsidRPr="000E5492">
        <w:rPr>
          <w:sz w:val="24"/>
          <w:lang w:val="cs-CZ"/>
        </w:rPr>
        <w:t xml:space="preserve">. </w:t>
      </w:r>
      <w:proofErr w:type="spellStart"/>
      <w:proofErr w:type="gramStart"/>
      <w:r w:rsidRPr="000E5492">
        <w:rPr>
          <w:sz w:val="24"/>
          <w:lang w:val="cs-CZ"/>
        </w:rPr>
        <w:t>věst</w:t>
      </w:r>
      <w:proofErr w:type="spellEnd"/>
      <w:proofErr w:type="gramEnd"/>
      <w:r w:rsidRPr="000E5492">
        <w:rPr>
          <w:sz w:val="24"/>
          <w:lang w:val="cs-CZ"/>
        </w:rPr>
        <w:t xml:space="preserve">. C 385, </w:t>
      </w:r>
      <w:proofErr w:type="gramStart"/>
      <w:r w:rsidRPr="000E5492">
        <w:rPr>
          <w:sz w:val="24"/>
          <w:lang w:val="cs-CZ"/>
        </w:rPr>
        <w:t>22.9.2021</w:t>
      </w:r>
      <w:proofErr w:type="gramEnd"/>
      <w:r w:rsidRPr="000E5492">
        <w:rPr>
          <w:sz w:val="24"/>
          <w:lang w:val="cs-CZ"/>
        </w:rPr>
        <w:t>, s. 2.</w:t>
      </w:r>
    </w:p>
  </w:footnote>
  <w:footnote w:id="12">
    <w:p w:rsidR="00EA5808" w:rsidRPr="000E5492" w:rsidRDefault="00EA5808" w:rsidP="000E5492">
      <w:pPr>
        <w:pStyle w:val="FootnoteText"/>
        <w:ind w:left="567" w:hanging="567"/>
        <w:rPr>
          <w:sz w:val="24"/>
          <w:lang w:val="cs-CZ"/>
        </w:rPr>
      </w:pPr>
      <w:r w:rsidRPr="000E5492">
        <w:rPr>
          <w:rStyle w:val="FootnoteReference"/>
          <w:sz w:val="24"/>
          <w:lang w:val="cs-CZ"/>
        </w:rPr>
        <w:footnoteRef/>
      </w:r>
      <w:r w:rsidR="000E5492" w:rsidRPr="000E5492">
        <w:rPr>
          <w:sz w:val="24"/>
          <w:lang w:val="cs-CZ"/>
        </w:rPr>
        <w:t xml:space="preserve"> </w:t>
      </w:r>
      <w:r w:rsidR="000E5492" w:rsidRPr="000E5492">
        <w:rPr>
          <w:sz w:val="24"/>
          <w:lang w:val="cs-CZ"/>
        </w:rPr>
        <w:tab/>
      </w:r>
      <w:proofErr w:type="spellStart"/>
      <w:r w:rsidRPr="000E5492">
        <w:rPr>
          <w:sz w:val="24"/>
          <w:lang w:val="cs-CZ"/>
        </w:rPr>
        <w:t>Úř</w:t>
      </w:r>
      <w:proofErr w:type="spellEnd"/>
      <w:r w:rsidRPr="000E5492">
        <w:rPr>
          <w:sz w:val="24"/>
          <w:lang w:val="cs-CZ"/>
        </w:rPr>
        <w:t xml:space="preserve">. </w:t>
      </w:r>
      <w:proofErr w:type="spellStart"/>
      <w:proofErr w:type="gramStart"/>
      <w:r w:rsidRPr="000E5492">
        <w:rPr>
          <w:sz w:val="24"/>
          <w:lang w:val="cs-CZ"/>
        </w:rPr>
        <w:t>věst</w:t>
      </w:r>
      <w:proofErr w:type="spellEnd"/>
      <w:proofErr w:type="gramEnd"/>
      <w:r w:rsidRPr="000E5492">
        <w:rPr>
          <w:sz w:val="24"/>
          <w:lang w:val="cs-CZ"/>
        </w:rPr>
        <w:t xml:space="preserve">. C 385, </w:t>
      </w:r>
      <w:proofErr w:type="gramStart"/>
      <w:r w:rsidRPr="000E5492">
        <w:rPr>
          <w:sz w:val="24"/>
          <w:lang w:val="cs-CZ"/>
        </w:rPr>
        <w:t>22.9.2021</w:t>
      </w:r>
      <w:proofErr w:type="gramEnd"/>
      <w:r w:rsidRPr="000E5492">
        <w:rPr>
          <w:sz w:val="24"/>
          <w:lang w:val="cs-CZ"/>
        </w:rPr>
        <w:t>, s. 152.</w:t>
      </w:r>
    </w:p>
  </w:footnote>
  <w:footnote w:id="13">
    <w:p w:rsidR="00EA5808" w:rsidRPr="000E5492" w:rsidRDefault="00EA5808" w:rsidP="000E5492">
      <w:pPr>
        <w:pStyle w:val="FootnoteText"/>
        <w:ind w:left="567" w:hanging="567"/>
        <w:rPr>
          <w:sz w:val="24"/>
          <w:lang w:val="cs-CZ"/>
        </w:rPr>
      </w:pPr>
      <w:r w:rsidRPr="000E5492">
        <w:rPr>
          <w:rStyle w:val="FootnoteReference"/>
          <w:sz w:val="24"/>
          <w:lang w:val="cs-CZ"/>
        </w:rPr>
        <w:footnoteRef/>
      </w:r>
      <w:r w:rsidR="000E5492" w:rsidRPr="000E5492">
        <w:rPr>
          <w:sz w:val="24"/>
          <w:lang w:val="cs-CZ"/>
        </w:rPr>
        <w:t xml:space="preserve"> </w:t>
      </w:r>
      <w:r w:rsidR="000E5492" w:rsidRPr="000E5492">
        <w:rPr>
          <w:sz w:val="24"/>
          <w:lang w:val="cs-CZ"/>
        </w:rPr>
        <w:tab/>
      </w:r>
      <w:hyperlink r:id="rId1" w:history="1">
        <w:r w:rsidRPr="00856D81">
          <w:rPr>
            <w:rStyle w:val="Hyperlink"/>
            <w:sz w:val="24"/>
            <w:lang w:val="cs-CZ"/>
          </w:rPr>
          <w:t>https://ec.europa.eu/eurostat/web/products-eurostat-news/w/ddn-20230309-2</w:t>
        </w:r>
      </w:hyperlink>
      <w:r w:rsidRPr="000E5492">
        <w:rPr>
          <w:sz w:val="24"/>
          <w:lang w:val="cs-CZ"/>
        </w:rPr>
        <w:t>.</w:t>
      </w:r>
    </w:p>
  </w:footnote>
  <w:footnote w:id="14">
    <w:p w:rsidR="00EA5808" w:rsidRPr="000E5492" w:rsidRDefault="00EA5808" w:rsidP="000E5492">
      <w:pPr>
        <w:pStyle w:val="FootnoteText"/>
        <w:ind w:left="567" w:hanging="567"/>
        <w:rPr>
          <w:sz w:val="24"/>
          <w:lang w:val="cs-CZ"/>
        </w:rPr>
      </w:pPr>
      <w:r w:rsidRPr="000E5492">
        <w:rPr>
          <w:rStyle w:val="FootnoteReference"/>
          <w:sz w:val="24"/>
          <w:lang w:val="cs-CZ"/>
        </w:rPr>
        <w:footnoteRef/>
      </w:r>
      <w:r w:rsidR="000E5492" w:rsidRPr="000E5492">
        <w:rPr>
          <w:sz w:val="24"/>
          <w:lang w:val="cs-CZ"/>
        </w:rPr>
        <w:t xml:space="preserve"> </w:t>
      </w:r>
      <w:r w:rsidR="000E5492" w:rsidRPr="000E5492">
        <w:rPr>
          <w:sz w:val="24"/>
          <w:lang w:val="cs-CZ"/>
        </w:rPr>
        <w:tab/>
      </w:r>
      <w:r w:rsidRPr="000E5492">
        <w:rPr>
          <w:sz w:val="24"/>
          <w:lang w:val="cs-CZ"/>
        </w:rPr>
        <w:t>Nařízení Evropského parlamentu a Rady (EU) 2016/679 ze dne 27. dubna 2016 o</w:t>
      </w:r>
      <w:r w:rsidR="00856D81" w:rsidRPr="000E5492">
        <w:rPr>
          <w:lang w:val="cs-CZ"/>
        </w:rPr>
        <w:t> </w:t>
      </w:r>
      <w:r w:rsidRPr="000E5492">
        <w:rPr>
          <w:sz w:val="24"/>
          <w:lang w:val="cs-CZ"/>
        </w:rPr>
        <w:t xml:space="preserve">ochraně fyzických osob v souvislosti se zpracováním osobních údajů a o volném pohybu těchto údajů a o zrušení směrnice 95/46/ES </w:t>
      </w:r>
      <w:r w:rsidR="00856D81">
        <w:rPr>
          <w:sz w:val="24"/>
          <w:lang w:val="cs-CZ"/>
        </w:rPr>
        <w:t>(</w:t>
      </w:r>
      <w:proofErr w:type="spellStart"/>
      <w:r w:rsidRPr="000E5492">
        <w:rPr>
          <w:sz w:val="24"/>
          <w:lang w:val="cs-CZ"/>
        </w:rPr>
        <w:t>Úř</w:t>
      </w:r>
      <w:proofErr w:type="spellEnd"/>
      <w:r w:rsidRPr="000E5492">
        <w:rPr>
          <w:sz w:val="24"/>
          <w:lang w:val="cs-CZ"/>
        </w:rPr>
        <w:t xml:space="preserve">. </w:t>
      </w:r>
      <w:proofErr w:type="spellStart"/>
      <w:proofErr w:type="gramStart"/>
      <w:r w:rsidRPr="000E5492">
        <w:rPr>
          <w:sz w:val="24"/>
          <w:lang w:val="cs-CZ"/>
        </w:rPr>
        <w:t>věst</w:t>
      </w:r>
      <w:proofErr w:type="spellEnd"/>
      <w:proofErr w:type="gramEnd"/>
      <w:r w:rsidRPr="000E5492">
        <w:rPr>
          <w:sz w:val="24"/>
          <w:lang w:val="cs-CZ"/>
        </w:rPr>
        <w:t xml:space="preserve">. L 119, </w:t>
      </w:r>
      <w:proofErr w:type="gramStart"/>
      <w:r w:rsidRPr="000E5492">
        <w:rPr>
          <w:sz w:val="24"/>
          <w:lang w:val="cs-CZ"/>
        </w:rPr>
        <w:t>4.5.2016</w:t>
      </w:r>
      <w:proofErr w:type="gramEnd"/>
      <w:r w:rsidRPr="000E5492">
        <w:rPr>
          <w:sz w:val="24"/>
          <w:lang w:val="cs-CZ"/>
        </w:rPr>
        <w:t>, s. 1</w:t>
      </w:r>
      <w:r w:rsidR="00856D81">
        <w:rPr>
          <w:sz w:val="24"/>
          <w:lang w:val="cs-CZ"/>
        </w:rPr>
        <w:t>)</w:t>
      </w:r>
      <w:r w:rsidRPr="000E5492">
        <w:rPr>
          <w:sz w:val="24"/>
          <w:lang w:val="cs-CZ"/>
        </w:rPr>
        <w:t>.</w:t>
      </w:r>
    </w:p>
  </w:footnote>
  <w:footnote w:id="15">
    <w:p w:rsidR="00EA5808" w:rsidRPr="000E5492" w:rsidRDefault="00EA5808" w:rsidP="00314BCB">
      <w:pPr>
        <w:pStyle w:val="FootnoteText"/>
        <w:ind w:left="567" w:hanging="567"/>
        <w:rPr>
          <w:sz w:val="24"/>
          <w:lang w:val="cs-CZ"/>
        </w:rPr>
      </w:pPr>
      <w:r w:rsidRPr="000E5492">
        <w:rPr>
          <w:rStyle w:val="FootnoteReference"/>
          <w:sz w:val="24"/>
          <w:lang w:val="cs-CZ"/>
        </w:rPr>
        <w:footnoteRef/>
      </w:r>
      <w:r w:rsidR="000E5492" w:rsidRPr="000E5492">
        <w:rPr>
          <w:sz w:val="24"/>
          <w:lang w:val="cs-CZ"/>
        </w:rPr>
        <w:t xml:space="preserve"> </w:t>
      </w:r>
      <w:r w:rsidR="000E5492" w:rsidRPr="000E5492">
        <w:rPr>
          <w:sz w:val="24"/>
          <w:lang w:val="cs-CZ"/>
        </w:rPr>
        <w:tab/>
      </w:r>
      <w:r w:rsidRPr="000E5492">
        <w:rPr>
          <w:sz w:val="24"/>
          <w:lang w:val="cs-CZ"/>
        </w:rPr>
        <w:t>Směrnice Evropského parlamentu a Rady 2010/13/E</w:t>
      </w:r>
      <w:r w:rsidR="00314BCB">
        <w:rPr>
          <w:sz w:val="24"/>
          <w:lang w:val="cs-CZ"/>
        </w:rPr>
        <w:t>U</w:t>
      </w:r>
      <w:r w:rsidRPr="000E5492">
        <w:rPr>
          <w:sz w:val="24"/>
          <w:lang w:val="cs-CZ"/>
        </w:rPr>
        <w:t xml:space="preserve"> ze dne 10. března 2010 o</w:t>
      </w:r>
      <w:r w:rsidR="00856D81" w:rsidRPr="000E5492">
        <w:rPr>
          <w:lang w:val="cs-CZ"/>
        </w:rPr>
        <w:t> </w:t>
      </w:r>
      <w:r w:rsidRPr="000E5492">
        <w:rPr>
          <w:sz w:val="24"/>
          <w:lang w:val="cs-CZ"/>
        </w:rPr>
        <w:t xml:space="preserve">koordinaci některých právních a správních předpisů členských států upravujících poskytování audiovizuálních mediálních služeb (směrnice o audiovizuálních mediálních službách) </w:t>
      </w:r>
      <w:r w:rsidR="00856D81">
        <w:rPr>
          <w:sz w:val="24"/>
          <w:lang w:val="cs-CZ"/>
        </w:rPr>
        <w:t>(</w:t>
      </w:r>
      <w:proofErr w:type="spellStart"/>
      <w:r w:rsidRPr="000E5492">
        <w:rPr>
          <w:sz w:val="24"/>
          <w:lang w:val="cs-CZ"/>
        </w:rPr>
        <w:t>Úř</w:t>
      </w:r>
      <w:proofErr w:type="spellEnd"/>
      <w:r w:rsidRPr="000E5492">
        <w:rPr>
          <w:sz w:val="24"/>
          <w:lang w:val="cs-CZ"/>
        </w:rPr>
        <w:t xml:space="preserve">. </w:t>
      </w:r>
      <w:proofErr w:type="spellStart"/>
      <w:proofErr w:type="gramStart"/>
      <w:r w:rsidRPr="000E5492">
        <w:rPr>
          <w:sz w:val="24"/>
          <w:lang w:val="cs-CZ"/>
        </w:rPr>
        <w:t>věst</w:t>
      </w:r>
      <w:proofErr w:type="spellEnd"/>
      <w:proofErr w:type="gramEnd"/>
      <w:r w:rsidRPr="000E5492">
        <w:rPr>
          <w:sz w:val="24"/>
          <w:lang w:val="cs-CZ"/>
        </w:rPr>
        <w:t xml:space="preserve">. L 95, </w:t>
      </w:r>
      <w:proofErr w:type="gramStart"/>
      <w:r w:rsidRPr="000E5492">
        <w:rPr>
          <w:sz w:val="24"/>
          <w:lang w:val="cs-CZ"/>
        </w:rPr>
        <w:t>15.4.2010</w:t>
      </w:r>
      <w:proofErr w:type="gramEnd"/>
      <w:r w:rsidRPr="000E5492">
        <w:rPr>
          <w:sz w:val="24"/>
          <w:lang w:val="cs-CZ"/>
        </w:rPr>
        <w:t>, s. 1</w:t>
      </w:r>
      <w:bookmarkStart w:id="8" w:name="_GoBack"/>
      <w:bookmarkEnd w:id="8"/>
      <w:r w:rsidR="00856D81">
        <w:rPr>
          <w:sz w:val="24"/>
          <w:lang w:val="cs-CZ"/>
        </w:rPr>
        <w:t>)</w:t>
      </w:r>
      <w:r w:rsidRPr="000E5492">
        <w:rPr>
          <w:sz w:val="24"/>
          <w:lang w:val="cs-CZ"/>
        </w:rPr>
        <w:t>.</w:t>
      </w:r>
    </w:p>
  </w:footnote>
  <w:footnote w:id="16">
    <w:p w:rsidR="00EA5808" w:rsidRPr="000E5492" w:rsidRDefault="00EA5808" w:rsidP="000E5492">
      <w:pPr>
        <w:pStyle w:val="FootnoteText"/>
        <w:ind w:left="567" w:hanging="567"/>
        <w:rPr>
          <w:sz w:val="24"/>
          <w:lang w:val="cs-CZ"/>
        </w:rPr>
      </w:pPr>
      <w:r w:rsidRPr="000E5492">
        <w:rPr>
          <w:rStyle w:val="FootnoteReference"/>
          <w:sz w:val="24"/>
          <w:lang w:val="cs-CZ"/>
        </w:rPr>
        <w:footnoteRef/>
      </w:r>
      <w:r w:rsidR="000E5492" w:rsidRPr="000E5492">
        <w:rPr>
          <w:sz w:val="24"/>
          <w:lang w:val="cs-CZ"/>
        </w:rPr>
        <w:t xml:space="preserve"> </w:t>
      </w:r>
      <w:r w:rsidR="000E5492" w:rsidRPr="000E5492">
        <w:rPr>
          <w:sz w:val="24"/>
          <w:lang w:val="cs-CZ"/>
        </w:rPr>
        <w:tab/>
      </w:r>
      <w:r w:rsidRPr="000E5492">
        <w:rPr>
          <w:sz w:val="24"/>
          <w:lang w:val="cs-CZ"/>
        </w:rPr>
        <w:t>Článek 8 nařízení (EU) 2021/818, kterým se zavádí program Kreativní Evropa (2021–2027).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549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549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549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5/2023"/>
    <w:docVar w:name="dvlangue" w:val="CS"/>
    <w:docVar w:name="dvnumam" w:val="0"/>
    <w:docVar w:name="dvpe" w:val="750.020"/>
    <w:docVar w:name="dvrapporteur" w:val="Zpravodaj: "/>
    <w:docVar w:name="dvtitre" w:val="Usnesení Evropského parlamentu ze dne 16. ledna 2024 o provádění programu Kreativní Evropa na období 2021–2027(2023/2003(INI))"/>
  </w:docVars>
  <w:rsids>
    <w:rsidRoot w:val="00293833"/>
    <w:rsid w:val="00002272"/>
    <w:rsid w:val="00064002"/>
    <w:rsid w:val="000677B9"/>
    <w:rsid w:val="000831BA"/>
    <w:rsid w:val="000A42CC"/>
    <w:rsid w:val="000E5492"/>
    <w:rsid w:val="000E7DD9"/>
    <w:rsid w:val="0010095E"/>
    <w:rsid w:val="00125B37"/>
    <w:rsid w:val="00187494"/>
    <w:rsid w:val="001F32AE"/>
    <w:rsid w:val="00252244"/>
    <w:rsid w:val="002767FF"/>
    <w:rsid w:val="00293833"/>
    <w:rsid w:val="002B18FE"/>
    <w:rsid w:val="002B5493"/>
    <w:rsid w:val="00314BC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87907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5CD8"/>
    <w:rsid w:val="007E22AD"/>
    <w:rsid w:val="00817416"/>
    <w:rsid w:val="00842779"/>
    <w:rsid w:val="00856D81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5FDF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6B37"/>
    <w:rsid w:val="00D872DF"/>
    <w:rsid w:val="00D91E21"/>
    <w:rsid w:val="00DA7FCD"/>
    <w:rsid w:val="00DB0234"/>
    <w:rsid w:val="00E365E1"/>
    <w:rsid w:val="00E820A4"/>
    <w:rsid w:val="00EA5808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B947E5"/>
  <w15:chartTrackingRefBased/>
  <w15:docId w15:val="{3F48ABA4-180A-42CD-ACD3-C40C4289B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 reference number,Times 10 Point,Exposant 3 Point,Ref,de nota al pie,note TESI,SUPERS,EN Footnote Reference,EN Footnote text,Footnote Reference Number,Footnote Reference_LVL6,Footnote Reference_LVL61,R,Footnote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rsid w:val="00EA580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EA5808"/>
    <w:pPr>
      <w:spacing w:after="240"/>
      <w:ind w:left="567" w:hanging="567"/>
    </w:pPr>
  </w:style>
  <w:style w:type="paragraph" w:customStyle="1" w:styleId="EPComma">
    <w:name w:val="EPComma"/>
    <w:basedOn w:val="Normal"/>
    <w:rsid w:val="00EA5808"/>
    <w:pPr>
      <w:spacing w:before="480" w:after="240"/>
    </w:pPr>
  </w:style>
  <w:style w:type="paragraph" w:customStyle="1" w:styleId="Normal24a">
    <w:name w:val="Normal24a"/>
    <w:basedOn w:val="Normal"/>
    <w:rsid w:val="00EA5808"/>
    <w:pPr>
      <w:spacing w:after="480"/>
    </w:pPr>
  </w:style>
  <w:style w:type="paragraph" w:customStyle="1" w:styleId="NormalBoldCenter">
    <w:name w:val="NormalBoldCenter"/>
    <w:basedOn w:val="Normal"/>
    <w:rsid w:val="00EA5808"/>
    <w:pPr>
      <w:jc w:val="center"/>
    </w:pPr>
    <w:rPr>
      <w:b/>
      <w:lang w:val="en-GB"/>
    </w:rPr>
  </w:style>
  <w:style w:type="paragraph" w:styleId="Header">
    <w:name w:val="header"/>
    <w:basedOn w:val="Normal"/>
    <w:link w:val="HeaderChar"/>
    <w:rsid w:val="000E549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E5492"/>
    <w:rPr>
      <w:sz w:val="24"/>
      <w:lang w:val="cs-CZ"/>
    </w:rPr>
  </w:style>
  <w:style w:type="paragraph" w:styleId="Footer">
    <w:name w:val="footer"/>
    <w:basedOn w:val="Normal"/>
    <w:link w:val="FooterChar"/>
    <w:rsid w:val="000E549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E5492"/>
    <w:rPr>
      <w:sz w:val="24"/>
      <w:lang w:val="cs-CZ"/>
    </w:rPr>
  </w:style>
  <w:style w:type="character" w:styleId="Hyperlink">
    <w:name w:val="Hyperlink"/>
    <w:basedOn w:val="DefaultParagraphFont"/>
    <w:rsid w:val="00856D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c.europa.eu/eurostat/web/products-eurostat-news/w/ddn-20230309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D19DE-0E40-456C-B8B1-B68B94127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4599</Words>
  <Characters>27433</Characters>
  <Application>Microsoft Office Word</Application>
  <DocSecurity>0</DocSecurity>
  <Lines>228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SMAKALOVA Sona</cp:lastModifiedBy>
  <cp:revision>2</cp:revision>
  <cp:lastPrinted>2004-11-19T15:42:00Z</cp:lastPrinted>
  <dcterms:created xsi:type="dcterms:W3CDTF">2024-02-24T09:41:00Z</dcterms:created>
  <dcterms:modified xsi:type="dcterms:W3CDTF">2024-02-24T09:41:00Z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A9-0425/2023</vt:lpwstr>
  </property>
  <property fmtid="{D5CDD505-2E9C-101B-9397-08002B2CF9AE}" pid="4" name="&lt;Type&gt;">
    <vt:lpwstr>RR</vt:lpwstr>
  </property>
</Properties>
</file>