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268E" w:rsidTr="0010095E">
        <w:trPr>
          <w:trHeight w:hRule="exact" w:val="1418"/>
        </w:trPr>
        <w:tc>
          <w:tcPr>
            <w:tcW w:w="6804" w:type="dxa"/>
            <w:shd w:val="clear" w:color="auto" w:fill="auto"/>
            <w:vAlign w:val="center"/>
          </w:tcPr>
          <w:p w:rsidR="00751A4A" w:rsidRPr="003628F5" w:rsidRDefault="00CF14A9" w:rsidP="0010095E">
            <w:pPr>
              <w:pStyle w:val="EPName"/>
            </w:pPr>
            <w:r w:rsidRPr="003628F5">
              <w:t>Europa-Parlamentet</w:t>
            </w:r>
          </w:p>
          <w:p w:rsidR="00751A4A" w:rsidRPr="0045268E" w:rsidRDefault="00817416" w:rsidP="00756632">
            <w:pPr>
              <w:pStyle w:val="EPTerm"/>
              <w:rPr>
                <w:rStyle w:val="HideTWBExt"/>
                <w:noProof w:val="0"/>
                <w:vanish w:val="0"/>
                <w:color w:val="auto"/>
              </w:rPr>
            </w:pPr>
            <w:r w:rsidRPr="0045268E">
              <w:t>2019-2024</w:t>
            </w:r>
          </w:p>
        </w:tc>
        <w:tc>
          <w:tcPr>
            <w:tcW w:w="2268" w:type="dxa"/>
            <w:shd w:val="clear" w:color="auto" w:fill="auto"/>
          </w:tcPr>
          <w:p w:rsidR="00751A4A" w:rsidRPr="003628F5" w:rsidRDefault="00187494" w:rsidP="0010095E">
            <w:pPr>
              <w:pStyle w:val="EPLogo"/>
            </w:pPr>
            <w:r w:rsidRPr="003628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268E" w:rsidRDefault="00D058B8" w:rsidP="004C5D52">
      <w:pPr>
        <w:pStyle w:val="LineTop"/>
      </w:pPr>
    </w:p>
    <w:p w:rsidR="00680577" w:rsidRPr="0045268E" w:rsidRDefault="00CF14A9" w:rsidP="00680577">
      <w:pPr>
        <w:pStyle w:val="EPBodyTA1"/>
      </w:pPr>
      <w:r w:rsidRPr="0045268E">
        <w:t>VEDTAGNE TEKSTER</w:t>
      </w:r>
    </w:p>
    <w:p w:rsidR="00D058B8" w:rsidRPr="0045268E" w:rsidRDefault="00D058B8" w:rsidP="00D058B8">
      <w:pPr>
        <w:pStyle w:val="LineBottom"/>
      </w:pPr>
    </w:p>
    <w:p w:rsidR="00CF14A9" w:rsidRPr="0014476B" w:rsidRDefault="00CF14A9" w:rsidP="00CF14A9">
      <w:pPr>
        <w:pStyle w:val="ATHeading1"/>
      </w:pPr>
      <w:bookmarkStart w:id="0" w:name="TANumber"/>
      <w:r w:rsidRPr="0014476B">
        <w:t>P9_TA(2024)000</w:t>
      </w:r>
      <w:r w:rsidR="0034375B">
        <w:t>8</w:t>
      </w:r>
      <w:bookmarkStart w:id="1" w:name="_GoBack"/>
      <w:bookmarkEnd w:id="0"/>
      <w:bookmarkEnd w:id="1"/>
    </w:p>
    <w:p w:rsidR="00CF14A9" w:rsidRPr="0014476B" w:rsidRDefault="00CF14A9" w:rsidP="00CF14A9">
      <w:pPr>
        <w:pStyle w:val="ATHeading2"/>
      </w:pPr>
      <w:bookmarkStart w:id="2" w:name="title"/>
      <w:r w:rsidRPr="0014476B">
        <w:t>Gennemførelse af programmet Et Kreativt Europa 2021-2027</w:t>
      </w:r>
      <w:bookmarkEnd w:id="2"/>
    </w:p>
    <w:p w:rsidR="00CF14A9" w:rsidRPr="003628F5" w:rsidRDefault="00CF14A9" w:rsidP="00CF14A9">
      <w:pPr>
        <w:rPr>
          <w:i/>
          <w:vanish/>
        </w:rPr>
      </w:pPr>
      <w:r w:rsidRPr="003628F5">
        <w:rPr>
          <w:i/>
        </w:rPr>
        <w:fldChar w:fldCharType="begin"/>
      </w:r>
      <w:r w:rsidRPr="003628F5">
        <w:rPr>
          <w:i/>
        </w:rPr>
        <w:instrText xml:space="preserve"> TC"(</w:instrText>
      </w:r>
      <w:bookmarkStart w:id="3" w:name="DocNumber"/>
      <w:r w:rsidRPr="003628F5">
        <w:rPr>
          <w:i/>
        </w:rPr>
        <w:instrText>A</w:instrText>
      </w:r>
      <w:r w:rsidRPr="0045268E">
        <w:rPr>
          <w:i/>
        </w:rPr>
        <w:instrText>9</w:instrText>
      </w:r>
      <w:r w:rsidRPr="0014476B">
        <w:rPr>
          <w:i/>
        </w:rPr>
        <w:instrText>-0425/2023</w:instrText>
      </w:r>
      <w:bookmarkEnd w:id="3"/>
      <w:r w:rsidRPr="0014476B">
        <w:rPr>
          <w:i/>
        </w:rPr>
        <w:instrText xml:space="preserve"> - Ordfører: </w:instrText>
      </w:r>
      <w:proofErr w:type="spellStart"/>
      <w:r w:rsidRPr="0014476B">
        <w:rPr>
          <w:i/>
        </w:rPr>
        <w:instrText>Massimiliano</w:instrText>
      </w:r>
      <w:proofErr w:type="spellEnd"/>
      <w:r w:rsidRPr="0014476B">
        <w:rPr>
          <w:i/>
        </w:rPr>
        <w:instrText xml:space="preserve"> </w:instrText>
      </w:r>
      <w:proofErr w:type="spellStart"/>
      <w:r w:rsidRPr="0014476B">
        <w:rPr>
          <w:i/>
        </w:rPr>
        <w:instrText>Smeriglio</w:instrText>
      </w:r>
      <w:proofErr w:type="spellEnd"/>
      <w:r w:rsidRPr="0014476B">
        <w:rPr>
          <w:i/>
        </w:rPr>
        <w:instrText xml:space="preserve">)"\l3 \n&gt; \* MERGEFORMAT </w:instrText>
      </w:r>
      <w:r w:rsidRPr="003628F5">
        <w:rPr>
          <w:i/>
        </w:rPr>
        <w:fldChar w:fldCharType="end"/>
      </w:r>
    </w:p>
    <w:p w:rsidR="00CF14A9" w:rsidRPr="0014476B" w:rsidRDefault="00CF14A9" w:rsidP="00CF14A9">
      <w:pPr>
        <w:rPr>
          <w:vanish/>
        </w:rPr>
      </w:pPr>
      <w:bookmarkStart w:id="4" w:name="Commission"/>
      <w:r w:rsidRPr="0045268E">
        <w:rPr>
          <w:vanish/>
        </w:rPr>
        <w:t>Kultur- og Uddannelsesudvalget</w:t>
      </w:r>
      <w:bookmarkEnd w:id="4"/>
    </w:p>
    <w:p w:rsidR="00CF14A9" w:rsidRPr="0014476B" w:rsidRDefault="00CF14A9" w:rsidP="00CF14A9">
      <w:pPr>
        <w:rPr>
          <w:vanish/>
        </w:rPr>
      </w:pPr>
      <w:bookmarkStart w:id="5" w:name="PE"/>
      <w:r w:rsidRPr="0014476B">
        <w:rPr>
          <w:vanish/>
        </w:rPr>
        <w:t>PE750.020</w:t>
      </w:r>
      <w:bookmarkEnd w:id="5"/>
    </w:p>
    <w:p w:rsidR="00CF14A9" w:rsidRPr="0014476B" w:rsidRDefault="00CF14A9" w:rsidP="00CF14A9">
      <w:pPr>
        <w:pStyle w:val="ATHeading3"/>
      </w:pPr>
      <w:bookmarkStart w:id="6" w:name="Sujet"/>
      <w:r w:rsidRPr="0014476B">
        <w:t xml:space="preserve">Europa-Parlamentets beslutning af </w:t>
      </w:r>
      <w:r w:rsidR="003628F5" w:rsidRPr="0014476B">
        <w:t>16</w:t>
      </w:r>
      <w:r w:rsidRPr="0014476B">
        <w:t>. januar 2024 om gennemførelse af programmet Et Kreativt Europa 2021-2027</w:t>
      </w:r>
      <w:bookmarkEnd w:id="6"/>
      <w:r w:rsidRPr="0014476B">
        <w:t xml:space="preserve"> </w:t>
      </w:r>
      <w:bookmarkStart w:id="7" w:name="References"/>
      <w:r w:rsidRPr="0014476B">
        <w:t>(2023/2003(INI))</w:t>
      </w:r>
      <w:bookmarkEnd w:id="7"/>
    </w:p>
    <w:p w:rsidR="006304FE" w:rsidRPr="0014476B" w:rsidRDefault="006304FE" w:rsidP="006304FE">
      <w:pPr>
        <w:pStyle w:val="EPComma"/>
      </w:pPr>
      <w:bookmarkStart w:id="8" w:name="TextBodyBegin"/>
      <w:bookmarkEnd w:id="8"/>
      <w:r w:rsidRPr="003628F5">
        <w:rPr>
          <w:i/>
        </w:rPr>
        <w:t>Europa-Parlamentet</w:t>
      </w:r>
      <w:r w:rsidRPr="0045268E">
        <w:t>,</w:t>
      </w:r>
    </w:p>
    <w:p w:rsidR="006304FE" w:rsidRPr="0014476B" w:rsidRDefault="006304FE" w:rsidP="006304FE">
      <w:pPr>
        <w:pStyle w:val="NormalHanging12a"/>
      </w:pPr>
      <w:r w:rsidRPr="0014476B">
        <w:t>–</w:t>
      </w:r>
      <w:r w:rsidRPr="0014476B">
        <w:tab/>
        <w:t>der henviser til traktaten om Den Europæiske Unions funktionsmåde, særlig artikel 167, artikel 173, stk. 3, og artikel 294, stk. 7,</w:t>
      </w:r>
    </w:p>
    <w:p w:rsidR="006304FE" w:rsidRPr="0045268E" w:rsidRDefault="006304FE" w:rsidP="006304FE">
      <w:pPr>
        <w:pStyle w:val="NormalHanging12a"/>
      </w:pPr>
      <w:r w:rsidRPr="0014476B">
        <w:t>–</w:t>
      </w:r>
      <w:r w:rsidRPr="0014476B">
        <w:tab/>
        <w:t>der henviser til Europa-Parlamentets og Rådets forordning (EU) 2021/818 af 20. maj 2021 om oprettelse af programmet Et Kreativt Europa (2021-2027)</w:t>
      </w:r>
      <w:r w:rsidRPr="003628F5">
        <w:rPr>
          <w:rStyle w:val="FootnoteReference"/>
        </w:rPr>
        <w:footnoteReference w:id="1"/>
      </w:r>
      <w:r w:rsidRPr="003628F5">
        <w:t>,</w:t>
      </w:r>
    </w:p>
    <w:p w:rsidR="006304FE" w:rsidRPr="0045268E" w:rsidRDefault="006304FE" w:rsidP="006304FE">
      <w:pPr>
        <w:pStyle w:val="NormalHanging12a"/>
      </w:pPr>
      <w:r w:rsidRPr="0014476B">
        <w:t>–</w:t>
      </w:r>
      <w:r w:rsidRPr="0014476B">
        <w:tab/>
        <w:t>der henviser til Europa-Parlamentets og Rådets forordning (EU) nr. 1295/2013 af 11. december 2013 om oprettelse af programmet Et Kreativt Europa (2014-2020)</w:t>
      </w:r>
      <w:r w:rsidRPr="003628F5">
        <w:rPr>
          <w:rStyle w:val="FootnoteReference"/>
          <w:color w:val="000000"/>
          <w:szCs w:val="24"/>
        </w:rPr>
        <w:footnoteReference w:id="2"/>
      </w:r>
      <w:r w:rsidRPr="003628F5">
        <w:t>,</w:t>
      </w:r>
    </w:p>
    <w:p w:rsidR="006304FE" w:rsidRPr="0014476B" w:rsidRDefault="006304FE" w:rsidP="006304FE">
      <w:pPr>
        <w:pStyle w:val="NormalHanging12a"/>
      </w:pPr>
      <w:r w:rsidRPr="0014476B">
        <w:t>–</w:t>
      </w:r>
      <w:r w:rsidRPr="0014476B">
        <w:tab/>
        <w:t>der henviser til Kommissionens forslag af 5. maj 2018 til Europa-Parlamentets og Rådets forordning om oprettelse af programmet Et Kreativt Europa (2021-2027) og om ophævelse af forordning (EU) nr. 1295/2013 (</w:t>
      </w:r>
      <w:proofErr w:type="gramStart"/>
      <w:r w:rsidRPr="0014476B">
        <w:t>COM(</w:t>
      </w:r>
      <w:proofErr w:type="gramEnd"/>
      <w:r w:rsidRPr="0014476B">
        <w:t>2018)0366),</w:t>
      </w:r>
    </w:p>
    <w:p w:rsidR="006304FE" w:rsidRPr="0045268E" w:rsidRDefault="006304FE" w:rsidP="006304FE">
      <w:pPr>
        <w:pStyle w:val="NormalHanging12a"/>
      </w:pPr>
      <w:r w:rsidRPr="0014476B">
        <w:t>–</w:t>
      </w:r>
      <w:r w:rsidRPr="0014476B">
        <w:tab/>
        <w:t>der henviser til sin førstebehandlingsholdning af 28. marts 2019 om forslag til Europa-Parlamentets og Rådets forordning om oprettelse af programmet Et Kreativt Europa (2021-2027) og om ophævelse af forordning (EU) nr. 1295/2013</w:t>
      </w:r>
      <w:r w:rsidRPr="003628F5">
        <w:rPr>
          <w:rStyle w:val="FootnoteReference"/>
          <w:color w:val="000000"/>
        </w:rPr>
        <w:footnoteReference w:id="3"/>
      </w:r>
      <w:r w:rsidRPr="003628F5">
        <w:t>,</w:t>
      </w:r>
    </w:p>
    <w:p w:rsidR="006304FE" w:rsidRPr="0045268E" w:rsidRDefault="006304FE" w:rsidP="006304FE">
      <w:pPr>
        <w:pStyle w:val="NormalHanging12a"/>
      </w:pPr>
      <w:r w:rsidRPr="0014476B">
        <w:t>–</w:t>
      </w:r>
      <w:r w:rsidRPr="0014476B">
        <w:tab/>
        <w:t>der henviser til Det Europæiske Økonomiske og Sociale Udvalgs udtalelse af 12. december 2018 om "Forslag til Europa-Parlamentets og Rådets forordning om oprettelse af programmet Et Kreativt Europa (2021-2027) og om ophævelse af forordning (EU) nr. 1295/2013"</w:t>
      </w:r>
      <w:r w:rsidRPr="003628F5">
        <w:rPr>
          <w:rStyle w:val="FootnoteReference"/>
        </w:rPr>
        <w:footnoteReference w:id="4"/>
      </w:r>
      <w:r w:rsidRPr="003628F5">
        <w:t>,</w:t>
      </w:r>
    </w:p>
    <w:p w:rsidR="006304FE" w:rsidRPr="0045268E" w:rsidRDefault="006304FE" w:rsidP="006304FE">
      <w:pPr>
        <w:pStyle w:val="NormalHanging12a"/>
      </w:pPr>
      <w:r w:rsidRPr="0014476B">
        <w:t>–</w:t>
      </w:r>
      <w:r w:rsidRPr="0014476B">
        <w:tab/>
        <w:t xml:space="preserve">der henviser til Det Europæiske Regionsudvalgs udtalelse af 6. februar 2019 om "Et </w:t>
      </w:r>
      <w:r w:rsidRPr="0014476B">
        <w:lastRenderedPageBreak/>
        <w:t>Kreativt Europa og En ny europæisk kulturdagsorden"</w:t>
      </w:r>
      <w:r w:rsidRPr="003628F5">
        <w:rPr>
          <w:rStyle w:val="FootnoteReference"/>
          <w:color w:val="000000"/>
          <w:szCs w:val="24"/>
        </w:rPr>
        <w:footnoteReference w:id="5"/>
      </w:r>
      <w:r w:rsidRPr="003628F5">
        <w:t>,</w:t>
      </w:r>
    </w:p>
    <w:p w:rsidR="006304FE" w:rsidRPr="0014476B" w:rsidRDefault="006304FE" w:rsidP="006304FE">
      <w:pPr>
        <w:pStyle w:val="NormalHanging12a"/>
      </w:pPr>
      <w:r w:rsidRPr="0014476B">
        <w:t>–</w:t>
      </w:r>
      <w:r w:rsidRPr="0014476B">
        <w:tab/>
        <w:t>der henviser til Kommissionens rapport af 30. april 2018 med titlen "Midtvejsevaluering af programmet Et Kreativt Europa (2014-2020)" (</w:t>
      </w:r>
      <w:proofErr w:type="gramStart"/>
      <w:r w:rsidRPr="0014476B">
        <w:t>COM(</w:t>
      </w:r>
      <w:proofErr w:type="gramEnd"/>
      <w:r w:rsidRPr="0014476B">
        <w:t>2018)0248),</w:t>
      </w:r>
    </w:p>
    <w:p w:rsidR="006304FE" w:rsidRPr="0014476B" w:rsidRDefault="006304FE" w:rsidP="006304FE">
      <w:pPr>
        <w:pStyle w:val="NormalHanging12a"/>
      </w:pPr>
      <w:r w:rsidRPr="0014476B">
        <w:t>–</w:t>
      </w:r>
      <w:r w:rsidRPr="0014476B">
        <w:tab/>
        <w:t xml:space="preserve">der henviser til Kommissionens gennemførelsesafgørelse </w:t>
      </w:r>
      <w:proofErr w:type="gramStart"/>
      <w:r w:rsidRPr="0014476B">
        <w:t>C(</w:t>
      </w:r>
      <w:proofErr w:type="gramEnd"/>
      <w:r w:rsidRPr="0014476B">
        <w:t>2023)3227 af 5. juni 2023 om ændring af gennemførelsesafgørelsen C(2021)3563 om finansiering af programmet Et Kreativt Europa for 2021-2025 og vedtagelsen af arbejdsprogrammerne for 2021, 2022 og 2023,</w:t>
      </w:r>
    </w:p>
    <w:p w:rsidR="006304FE" w:rsidRPr="0014476B" w:rsidRDefault="006304FE" w:rsidP="006304FE">
      <w:pPr>
        <w:pStyle w:val="NormalHanging12a"/>
      </w:pPr>
      <w:r w:rsidRPr="0014476B">
        <w:t>–</w:t>
      </w:r>
      <w:r w:rsidRPr="0014476B">
        <w:tab/>
        <w:t xml:space="preserve">der henviser til Kommissionens gennemførelsesafgørelse </w:t>
      </w:r>
      <w:proofErr w:type="gramStart"/>
      <w:r w:rsidRPr="0014476B">
        <w:t>C(</w:t>
      </w:r>
      <w:proofErr w:type="gramEnd"/>
      <w:r w:rsidRPr="0014476B">
        <w:t>2022)6138 af 31. august 2022 om ændring af gennemførelsesafgørelsen C(2021)3563 om finansiering af programmet Et Kreativt Europa for 2021-2023 og vedtagelsen af arbejdsprogrammerne for 2021 og 2022,</w:t>
      </w:r>
    </w:p>
    <w:p w:rsidR="006304FE" w:rsidRPr="0014476B" w:rsidRDefault="006304FE" w:rsidP="006304FE">
      <w:pPr>
        <w:pStyle w:val="NormalHanging12a"/>
      </w:pPr>
      <w:r w:rsidRPr="0014476B">
        <w:t>–</w:t>
      </w:r>
      <w:r w:rsidRPr="0014476B">
        <w:tab/>
        <w:t xml:space="preserve">der henviser til Kommissionens gennemførelsesafgørelse </w:t>
      </w:r>
      <w:proofErr w:type="gramStart"/>
      <w:r w:rsidRPr="0014476B">
        <w:t>C(</w:t>
      </w:r>
      <w:proofErr w:type="gramEnd"/>
      <w:r w:rsidRPr="0014476B">
        <w:t>2021)3563 af 26. maj 2021 om vedtagelsen af arbejdsprogrammet for 2021 til gennemførelsen af programmet Et Kreativt Europa,</w:t>
      </w:r>
    </w:p>
    <w:p w:rsidR="006304FE" w:rsidRPr="0014476B" w:rsidRDefault="006304FE" w:rsidP="006304FE">
      <w:pPr>
        <w:pStyle w:val="NormalHanging12a"/>
      </w:pPr>
      <w:r w:rsidRPr="0014476B">
        <w:t>–</w:t>
      </w:r>
      <w:r w:rsidRPr="0014476B">
        <w:tab/>
        <w:t>der henviser til Kommissionens årlige arbejdsprogram for 2022 til gennemførelsen af programmet Et Kreativt Europa,</w:t>
      </w:r>
    </w:p>
    <w:p w:rsidR="006304FE" w:rsidRPr="0014476B" w:rsidRDefault="006304FE" w:rsidP="006304FE">
      <w:pPr>
        <w:pStyle w:val="NormalHanging12a"/>
      </w:pPr>
      <w:r w:rsidRPr="0014476B">
        <w:t>–</w:t>
      </w:r>
      <w:r w:rsidRPr="0014476B">
        <w:tab/>
        <w:t>der henviser til Kommissionens årlige arbejdsprogram for 2021 til gennemførelsen af programmet Et Kreativt Europa,</w:t>
      </w:r>
    </w:p>
    <w:p w:rsidR="006304FE" w:rsidRPr="0014476B" w:rsidRDefault="006304FE" w:rsidP="006304FE">
      <w:pPr>
        <w:pStyle w:val="NormalHanging12a"/>
      </w:pPr>
      <w:r w:rsidRPr="0014476B">
        <w:t>–</w:t>
      </w:r>
      <w:r w:rsidRPr="0014476B">
        <w:tab/>
        <w:t>der henviser til Kommissionens meddelelse af 11. juli ‏2023 med titlen "EU-initiativ om web 4.0 og virtuelle verdener: et forspring i den næste teknologiske omstilling" (</w:t>
      </w:r>
      <w:proofErr w:type="gramStart"/>
      <w:r w:rsidRPr="0014476B">
        <w:t>COM(</w:t>
      </w:r>
      <w:proofErr w:type="gramEnd"/>
      <w:r w:rsidRPr="0014476B">
        <w:t>2023)0442);</w:t>
      </w:r>
    </w:p>
    <w:p w:rsidR="006304FE" w:rsidRPr="0014476B" w:rsidRDefault="006304FE" w:rsidP="006304FE">
      <w:pPr>
        <w:pStyle w:val="NormalHanging12a"/>
      </w:pPr>
      <w:r w:rsidRPr="0014476B">
        <w:t>–</w:t>
      </w:r>
      <w:r w:rsidRPr="0014476B">
        <w:tab/>
        <w:t>der henviser til Kommissionens meddelelse af 3. december 2020 med titlen "Europas medier i det digitale årti: En handlingsplan til støtte for genopretning og transformering" (</w:t>
      </w:r>
      <w:proofErr w:type="gramStart"/>
      <w:r w:rsidRPr="0014476B">
        <w:t>COM(</w:t>
      </w:r>
      <w:proofErr w:type="gramEnd"/>
      <w:r w:rsidRPr="0014476B">
        <w:t>2020)0784),</w:t>
      </w:r>
    </w:p>
    <w:p w:rsidR="006304FE" w:rsidRPr="0014476B" w:rsidRDefault="006304FE" w:rsidP="006304FE">
      <w:pPr>
        <w:pStyle w:val="NormalHanging12a"/>
      </w:pPr>
      <w:r w:rsidRPr="0014476B">
        <w:t>–</w:t>
      </w:r>
      <w:r w:rsidRPr="0014476B">
        <w:tab/>
        <w:t>der henviser til Kommissionens meddelelse af 22. maj 2018 om "En ny europæisk kulturdagsorden" (</w:t>
      </w:r>
      <w:proofErr w:type="gramStart"/>
      <w:r w:rsidRPr="0014476B">
        <w:t>COM(</w:t>
      </w:r>
      <w:proofErr w:type="gramEnd"/>
      <w:r w:rsidRPr="0014476B">
        <w:t>2018)0267),</w:t>
      </w:r>
    </w:p>
    <w:p w:rsidR="006304FE" w:rsidRPr="0045268E" w:rsidRDefault="006304FE" w:rsidP="006304FE">
      <w:pPr>
        <w:pStyle w:val="NormalHanging12a"/>
      </w:pPr>
      <w:r w:rsidRPr="0014476B">
        <w:t>–</w:t>
      </w:r>
      <w:r w:rsidRPr="0014476B">
        <w:tab/>
        <w:t>der henviser til Rådets resolution af 7. december 2022 om EU's arbejdsplan på kulturområdet 2023-2026</w:t>
      </w:r>
      <w:r w:rsidRPr="003628F5">
        <w:rPr>
          <w:rStyle w:val="FootnoteReference"/>
          <w:color w:val="000000"/>
          <w:szCs w:val="24"/>
        </w:rPr>
        <w:footnoteReference w:id="6"/>
      </w:r>
      <w:r w:rsidRPr="003628F5">
        <w:t>,</w:t>
      </w:r>
    </w:p>
    <w:p w:rsidR="006304FE" w:rsidRPr="0045268E" w:rsidRDefault="006304FE" w:rsidP="006304FE">
      <w:pPr>
        <w:pStyle w:val="NormalHanging12a"/>
      </w:pPr>
      <w:r w:rsidRPr="0014476B">
        <w:t>–</w:t>
      </w:r>
      <w:r w:rsidRPr="0014476B">
        <w:tab/>
        <w:t>der henviser til sin beslutning af 14. september 2023 om fremtiden for den europæiske bogsektor</w:t>
      </w:r>
      <w:r w:rsidRPr="003628F5">
        <w:rPr>
          <w:rStyle w:val="FootnoteReference"/>
        </w:rPr>
        <w:footnoteReference w:id="7"/>
      </w:r>
      <w:r w:rsidRPr="003628F5">
        <w:t>,</w:t>
      </w:r>
    </w:p>
    <w:p w:rsidR="006304FE" w:rsidRPr="0045268E" w:rsidRDefault="006304FE" w:rsidP="006304FE">
      <w:pPr>
        <w:pStyle w:val="NormalHanging12a"/>
      </w:pPr>
      <w:r w:rsidRPr="0014476B">
        <w:t>–</w:t>
      </w:r>
      <w:r w:rsidRPr="0014476B">
        <w:tab/>
        <w:t>der henviser til sin beslutning af 14. december 2022 om gennemførelsen af den nye europæiske kulturdagsorden og EU-strategien for internationale kulturelle forbindelser</w:t>
      </w:r>
      <w:r w:rsidRPr="003628F5">
        <w:rPr>
          <w:rStyle w:val="FootnoteReference"/>
          <w:color w:val="000000"/>
          <w:szCs w:val="24"/>
        </w:rPr>
        <w:footnoteReference w:id="8"/>
      </w:r>
      <w:r w:rsidRPr="003628F5">
        <w:t>,</w:t>
      </w:r>
    </w:p>
    <w:p w:rsidR="006304FE" w:rsidRPr="0045268E" w:rsidRDefault="006304FE" w:rsidP="006304FE">
      <w:pPr>
        <w:pStyle w:val="NormalHanging12a"/>
      </w:pPr>
      <w:r w:rsidRPr="0014476B">
        <w:t>–</w:t>
      </w:r>
      <w:r w:rsidRPr="0014476B">
        <w:tab/>
        <w:t xml:space="preserve">der henviser til sin beslutning af 20. oktober 2021 om Europas medier i det digitale årti: </w:t>
      </w:r>
      <w:r w:rsidRPr="0014476B">
        <w:lastRenderedPageBreak/>
        <w:t>En handlingsplan til støtte for genopretning og transformering</w:t>
      </w:r>
      <w:r w:rsidRPr="003628F5">
        <w:rPr>
          <w:rStyle w:val="FootnoteReference"/>
          <w:color w:val="000000"/>
          <w:szCs w:val="24"/>
        </w:rPr>
        <w:footnoteReference w:id="9"/>
      </w:r>
      <w:r w:rsidRPr="003628F5">
        <w:t>,</w:t>
      </w:r>
    </w:p>
    <w:p w:rsidR="006304FE" w:rsidRPr="0045268E" w:rsidRDefault="006304FE" w:rsidP="006304FE">
      <w:pPr>
        <w:pStyle w:val="NormalHanging12a"/>
      </w:pPr>
      <w:r w:rsidRPr="0014476B">
        <w:t>–</w:t>
      </w:r>
      <w:r w:rsidRPr="0014476B">
        <w:tab/>
        <w:t>der henviser til sin beslutning af 17. april 2020 om en EU-koordineret indsats til bekæmpelse af covid-19-pandemien og dens konsekvenser</w:t>
      </w:r>
      <w:r w:rsidRPr="003628F5">
        <w:rPr>
          <w:rStyle w:val="FootnoteReference"/>
          <w:color w:val="000000"/>
          <w:szCs w:val="24"/>
        </w:rPr>
        <w:footnoteReference w:id="10"/>
      </w:r>
      <w:r w:rsidRPr="003628F5">
        <w:t>,</w:t>
      </w:r>
    </w:p>
    <w:p w:rsidR="006304FE" w:rsidRPr="0045268E" w:rsidRDefault="006304FE" w:rsidP="006304FE">
      <w:pPr>
        <w:pStyle w:val="NormalHanging12a"/>
      </w:pPr>
      <w:r w:rsidRPr="0014476B">
        <w:t>–</w:t>
      </w:r>
      <w:r w:rsidRPr="0014476B">
        <w:tab/>
        <w:t>der henviser til sin beslutning af 15. september 2020 om effektive foranstaltninger til at gøre Erasmus+, Et Kreativt Europa og Det Europæiske Solidaritetskorps grønnere</w:t>
      </w:r>
      <w:r w:rsidRPr="003628F5">
        <w:rPr>
          <w:rStyle w:val="FootnoteReference"/>
        </w:rPr>
        <w:footnoteReference w:id="11"/>
      </w:r>
      <w:r w:rsidRPr="003628F5">
        <w:t>,</w:t>
      </w:r>
    </w:p>
    <w:p w:rsidR="006304FE" w:rsidRPr="0045268E" w:rsidRDefault="006304FE" w:rsidP="006304FE">
      <w:pPr>
        <w:pStyle w:val="NormalHanging12a"/>
      </w:pPr>
      <w:r w:rsidRPr="0014476B">
        <w:t>–</w:t>
      </w:r>
      <w:r w:rsidRPr="0014476B">
        <w:tab/>
        <w:t>der henviser til sin beslutning af 17. september 2020 om kulturel genopbygning af Europa</w:t>
      </w:r>
      <w:r w:rsidRPr="003628F5">
        <w:rPr>
          <w:rStyle w:val="FootnoteReference"/>
        </w:rPr>
        <w:footnoteReference w:id="12"/>
      </w:r>
      <w:r w:rsidRPr="003628F5">
        <w:t xml:space="preserve">, </w:t>
      </w:r>
    </w:p>
    <w:p w:rsidR="006304FE" w:rsidRPr="0014476B" w:rsidRDefault="006304FE" w:rsidP="006304FE">
      <w:pPr>
        <w:pStyle w:val="NormalHanging12a"/>
      </w:pPr>
      <w:r w:rsidRPr="0014476B">
        <w:t>–</w:t>
      </w:r>
      <w:r w:rsidRPr="0014476B">
        <w:tab/>
        <w:t>der henviser til forretningsordenens artikel 54 og til artikel 1, stk. 1, litra e), i og bilag 3 til Formandskonferencens afgørelse af 12. december 2002 om proceduren for tilladelse til at udarbejde initiativbetænkninger,</w:t>
      </w:r>
    </w:p>
    <w:p w:rsidR="006304FE" w:rsidRPr="0014476B" w:rsidRDefault="006304FE" w:rsidP="006304FE">
      <w:pPr>
        <w:pStyle w:val="NormalHanging12a"/>
      </w:pPr>
      <w:r w:rsidRPr="0014476B">
        <w:t>–</w:t>
      </w:r>
      <w:r w:rsidRPr="0014476B">
        <w:tab/>
        <w:t>der henviser til betænkning fra Kultur- og Uddannelsesudvalget (A9-0425/2023),</w:t>
      </w:r>
    </w:p>
    <w:p w:rsidR="006304FE" w:rsidRPr="0014476B" w:rsidRDefault="006304FE" w:rsidP="006304FE">
      <w:pPr>
        <w:pStyle w:val="NormalHanging12a"/>
        <w:rPr>
          <w:rFonts w:eastAsiaTheme="minorHAnsi"/>
        </w:rPr>
      </w:pPr>
      <w:r w:rsidRPr="0014476B">
        <w:t>A.</w:t>
      </w:r>
      <w:r w:rsidRPr="0014476B">
        <w:tab/>
        <w:t>der henviser til, at de indsamlede data bekræfter de kulturelle og kreative sektorers betydelige interesse for programmet; der henviser til, at højere medfinansieringssatser for forskellige foranstaltninger under programområderne Kultur og Media har vist sig at være til gavn i forbindelse med levering af støtte til de kulturelle og kreative økosystemer og også har givet mindre projekter bedre muligheder, navnlig i perioden efter pandemien;</w:t>
      </w:r>
    </w:p>
    <w:p w:rsidR="006304FE" w:rsidRPr="0014476B" w:rsidRDefault="006304FE" w:rsidP="006304FE">
      <w:pPr>
        <w:pStyle w:val="NormalHanging12a"/>
        <w:rPr>
          <w:rFonts w:eastAsiaTheme="minorHAnsi"/>
        </w:rPr>
      </w:pPr>
      <w:r w:rsidRPr="0014476B">
        <w:t>B.</w:t>
      </w:r>
      <w:r w:rsidRPr="0014476B">
        <w:tab/>
        <w:t>der henviser til, at programmet Et Kreativt Europa 2021-2027 har en overordnet budgetstigning på ca. 68 % sammenlignet med det foregående program; der henviser til, at værdien af denne stigning udhules betydeligt som følge af den konstant stigende inflationsrate</w:t>
      </w:r>
      <w:r w:rsidRPr="003628F5">
        <w:rPr>
          <w:rStyle w:val="FootnoteReference"/>
          <w:rFonts w:eastAsiaTheme="minorHAnsi"/>
          <w:lang w:eastAsia="en-US"/>
        </w:rPr>
        <w:footnoteReference w:id="13"/>
      </w:r>
      <w:r w:rsidRPr="003628F5">
        <w:t>, der er knyttet til energiomkostningerne; der henviser</w:t>
      </w:r>
      <w:r w:rsidRPr="0045268E">
        <w:t xml:space="preserve"> til, at det samlede budget er blevet fremrykket, idet der var indgået forpligtelser for en tredjedel af den finansielle tildeling i årene </w:t>
      </w:r>
      <w:r w:rsidRPr="0014476B">
        <w:t>2021 og 2022 for bl.a. at tackle de negative virkninger af covid-19-pandemien;</w:t>
      </w:r>
    </w:p>
    <w:p w:rsidR="006304FE" w:rsidRPr="0014476B" w:rsidRDefault="006304FE" w:rsidP="006304FE">
      <w:pPr>
        <w:pStyle w:val="NormalHanging12a"/>
        <w:rPr>
          <w:rFonts w:eastAsiaTheme="minorHAnsi"/>
        </w:rPr>
      </w:pPr>
      <w:r w:rsidRPr="0014476B">
        <w:t>C.</w:t>
      </w:r>
      <w:r w:rsidRPr="0014476B">
        <w:tab/>
        <w:t>der henviser til, at Et Kreativt Europa er det eneste program, der udelukkende yder støtte til alle kulturelle og kreative sektorer, hvis aktiviteter er baseret på kulturelle og kunstneriske værdier, navnlig ved at støtte skabere og kunstnere såsom forfattere og udøvende kunstnere, ud over små projekter;</w:t>
      </w:r>
    </w:p>
    <w:p w:rsidR="006304FE" w:rsidRPr="0014476B" w:rsidRDefault="006304FE" w:rsidP="006304FE">
      <w:pPr>
        <w:pStyle w:val="NormalHanging12a"/>
        <w:rPr>
          <w:rFonts w:eastAsiaTheme="minorHAnsi"/>
        </w:rPr>
      </w:pPr>
      <w:r w:rsidRPr="0014476B">
        <w:t>D.</w:t>
      </w:r>
      <w:r w:rsidRPr="0014476B">
        <w:tab/>
        <w:t>der henviser til, at programmet anerkender kulturens iboende og kunstneriske værdi, som bør forblive kernen i programmet, samtidig med at der tilstræbes en lige balance med dets bredere bidrag til innovation og vækst; der henviser til, at Et Kreativt Europa som et EU-finansieret program bør bidrage til gennemførelsen af principperne i den europæiske søjle for sociale rettigheder og fremme fair praksis og arbejdsvilkår i de kulturelle og kreative sektorer;</w:t>
      </w:r>
    </w:p>
    <w:p w:rsidR="006304FE" w:rsidRPr="0014476B" w:rsidRDefault="006304FE" w:rsidP="006304FE">
      <w:pPr>
        <w:pStyle w:val="NormalHanging12a"/>
        <w:rPr>
          <w:rFonts w:eastAsiaTheme="minorHAnsi"/>
        </w:rPr>
      </w:pPr>
      <w:r w:rsidRPr="0014476B">
        <w:t>E.</w:t>
      </w:r>
      <w:r w:rsidRPr="0014476B">
        <w:tab/>
        <w:t xml:space="preserve">der henviser til, at en af programmets vigtigste nyskabelser er at integrere de tværgående prioriteter inklusion, mangfoldighed, navnlig kønsbalance, og grøn </w:t>
      </w:r>
      <w:r w:rsidRPr="0014476B">
        <w:lastRenderedPageBreak/>
        <w:t>omstilling; der henviser til, at der i de årlige arbejdsprogrammer for 2021 og 2022 lægges særlig vægt på at fremme social inklusion og ligestilling mellem kønnene; der henviser til, at gennemførelsen af programmet bør sikre den bredest mulige kulturelle deltagelse med henblik på bl.a. at inddrage personer med handicap og personer fra dårligt stillede miljøer;</w:t>
      </w:r>
    </w:p>
    <w:p w:rsidR="006304FE" w:rsidRPr="0014476B" w:rsidRDefault="006304FE" w:rsidP="006304FE">
      <w:pPr>
        <w:pStyle w:val="NormalHanging12a"/>
        <w:rPr>
          <w:rFonts w:eastAsiaTheme="minorHAnsi"/>
        </w:rPr>
      </w:pPr>
      <w:r w:rsidRPr="0014476B">
        <w:t>F.</w:t>
      </w:r>
      <w:r w:rsidRPr="0014476B">
        <w:tab/>
        <w:t>der henviser til, at programmet har til formål at støtte den digitale omstilling i de kulturelle og kreative sektorer, da teknologien har ændret måden, hvorpå der skabes, produceres og formidles indhold i disse sektorer; der henviser til, at selv om digitalisering kan give mulighed for at øge den kulturelle deltagelse, kan den også føre til andre udfordringer end dem i den analoge tidsalder;</w:t>
      </w:r>
    </w:p>
    <w:p w:rsidR="006304FE" w:rsidRPr="0014476B" w:rsidRDefault="006304FE" w:rsidP="006304FE">
      <w:pPr>
        <w:pStyle w:val="NormalHanging12a"/>
        <w:rPr>
          <w:rFonts w:eastAsiaTheme="minorHAnsi"/>
        </w:rPr>
      </w:pPr>
      <w:r w:rsidRPr="0014476B">
        <w:t>G.</w:t>
      </w:r>
      <w:r w:rsidRPr="0014476B">
        <w:tab/>
        <w:t>der henviser til, at procedurerne for administrativ forvaltning af programmet Et Kreativt Europa (ansøgning, evaluering og rapportering) stadig af et betydeligt antal modtagere og potentielle modtagere anses for at være yderst tidskrævende og byrdefulde på trods af visse fremskridt, hvad angår forenkling;</w:t>
      </w:r>
    </w:p>
    <w:p w:rsidR="006304FE" w:rsidRPr="0014476B" w:rsidRDefault="006304FE" w:rsidP="006304FE">
      <w:pPr>
        <w:pStyle w:val="NormalHanging12a"/>
        <w:rPr>
          <w:rFonts w:eastAsiaTheme="minorHAnsi"/>
        </w:rPr>
      </w:pPr>
      <w:r w:rsidRPr="0014476B">
        <w:t>H.</w:t>
      </w:r>
      <w:r w:rsidRPr="0014476B">
        <w:tab/>
        <w:t>der henviser til, at de besværlige procedurer for administrativ forvaltning ofte afskrækker mindre erfarne ansøgere, herunder unge skabere, samt små organisationer, navnlig organisationer fra ugunstigt stillede områder, fra at deltage; der henviser til, at ansøgningsproceduren skal forenkles og forbedres, primært på grund af stigningen i antallet af proceduremæssige trin og den brugeruvenlige grænseflade, hvilket ikke kan være foreneligt med applikationer, der anvendes i vidt omfang;</w:t>
      </w:r>
    </w:p>
    <w:p w:rsidR="006304FE" w:rsidRPr="0014476B" w:rsidRDefault="006304FE" w:rsidP="006304FE">
      <w:pPr>
        <w:pStyle w:val="NormalHanging12a"/>
        <w:rPr>
          <w:rFonts w:eastAsiaTheme="minorHAnsi"/>
        </w:rPr>
      </w:pPr>
      <w:r w:rsidRPr="0014476B">
        <w:t>I.</w:t>
      </w:r>
      <w:r w:rsidRPr="0014476B">
        <w:tab/>
        <w:t>der henviser til, at platformen for programmet omfatter en kompleks rapporteringsprocedure, som er vanskelig at navigere i, og som ikke oprindeligt var udformet til den type projekter, der finansieres af programmet;</w:t>
      </w:r>
    </w:p>
    <w:p w:rsidR="006304FE" w:rsidRPr="0014476B" w:rsidRDefault="006304FE" w:rsidP="006304FE">
      <w:pPr>
        <w:pStyle w:val="NormalHanging12a"/>
      </w:pPr>
      <w:r w:rsidRPr="0014476B">
        <w:t>J.</w:t>
      </w:r>
      <w:r w:rsidRPr="0014476B">
        <w:tab/>
        <w:t xml:space="preserve">der henviser til, at programområdet Kultur ansporer til netværkssamarbejde mellem kreative samfund og fremmer grænseoverskridende samarbejde med særligt fokus på samarbejdsprojekter; der henviser til, at ordningen for samarbejdsprojekter inden for de første to </w:t>
      </w:r>
      <w:proofErr w:type="spellStart"/>
      <w:r w:rsidRPr="0014476B">
        <w:t>gennemførelsesår</w:t>
      </w:r>
      <w:proofErr w:type="spellEnd"/>
      <w:r w:rsidRPr="0014476B">
        <w:t xml:space="preserve"> viste sig at blive den mest populære ordning under programområdet Kultur og leverede støtte til 291 projekter; der henviser til, at Kommissionen bør overveje at udvide programområdet Kulturs </w:t>
      </w:r>
      <w:proofErr w:type="spellStart"/>
      <w:r w:rsidRPr="0014476B">
        <w:t>outreachaktiviteter</w:t>
      </w:r>
      <w:proofErr w:type="spellEnd"/>
      <w:r w:rsidRPr="0014476B">
        <w:t xml:space="preserve"> for at øge deltagelsen på tværs af alle kulturelle og kreative samfund, herunder dem fra udkantsområder og landdistrikter;</w:t>
      </w:r>
    </w:p>
    <w:p w:rsidR="006304FE" w:rsidRPr="0014476B" w:rsidRDefault="006304FE" w:rsidP="006304FE">
      <w:pPr>
        <w:pStyle w:val="NormalHanging12a"/>
      </w:pPr>
      <w:r w:rsidRPr="0014476B">
        <w:t>K.</w:t>
      </w:r>
      <w:r w:rsidRPr="0014476B">
        <w:tab/>
        <w:t>der henviser til, at programområdet Media spiller en vigtig rolle i forbindelse med fremme af den audiovisuelle sektors vækst og modstandsdygtighed; der henviser til, at det havde 2 124 ansøgere i den toårige periode 2021-2022, med en gennemsnitlig succesrate på 66 %;</w:t>
      </w:r>
    </w:p>
    <w:p w:rsidR="006304FE" w:rsidRPr="0014476B" w:rsidRDefault="006304FE" w:rsidP="006304FE">
      <w:pPr>
        <w:pStyle w:val="NormalHanging12a"/>
        <w:rPr>
          <w:rFonts w:eastAsiaTheme="minorHAnsi"/>
        </w:rPr>
      </w:pPr>
      <w:r w:rsidRPr="0014476B">
        <w:t>L.</w:t>
      </w:r>
      <w:r w:rsidRPr="0014476B">
        <w:tab/>
        <w:t>der henviser til, at den forberedende foranstaltning "Skrivning på europæisk vis", der har modtaget støtte siden 2021, er udviklet med det formål at støtte skabere, især forfattere, i at udtænke og udvikle fiktionsserier af høj kvalitet, der kan krydse grænser og nå nye målgrupper;</w:t>
      </w:r>
    </w:p>
    <w:p w:rsidR="006304FE" w:rsidRPr="0014476B" w:rsidRDefault="006304FE" w:rsidP="006304FE">
      <w:pPr>
        <w:pStyle w:val="NormalHanging12a"/>
        <w:rPr>
          <w:rFonts w:eastAsiaTheme="minorHAnsi"/>
        </w:rPr>
      </w:pPr>
      <w:r w:rsidRPr="0014476B">
        <w:t>M.</w:t>
      </w:r>
      <w:r w:rsidRPr="0014476B">
        <w:tab/>
        <w:t>der henviser til, at det tværsektorielle programområde har en lang række nyskabelser, der afspejler nye mål; der henviser til, at tværgående foranstaltninger, der støtter nyhedsmediesektoren, udgør et helt nyt fokuspunkt for programmet Et Kreativt Europa;</w:t>
      </w:r>
    </w:p>
    <w:p w:rsidR="006304FE" w:rsidRPr="0014476B" w:rsidRDefault="006304FE" w:rsidP="006304FE">
      <w:pPr>
        <w:pStyle w:val="NormalHanging12a"/>
      </w:pPr>
      <w:r w:rsidRPr="0014476B">
        <w:lastRenderedPageBreak/>
        <w:t>N.</w:t>
      </w:r>
      <w:r w:rsidRPr="0014476B">
        <w:tab/>
        <w:t>der henviser til, at fremme af Europas kulturelle og kreative sektorers mobilitet er et specifikt mål for programmet, der efterstræbes med en særlig ny ordning under programområdet Kultur;</w:t>
      </w:r>
    </w:p>
    <w:p w:rsidR="006304FE" w:rsidRPr="0014476B" w:rsidRDefault="006304FE" w:rsidP="006304FE">
      <w:pPr>
        <w:pStyle w:val="NormalHanging12a"/>
        <w:rPr>
          <w:rFonts w:eastAsiaTheme="minorHAnsi"/>
        </w:rPr>
      </w:pPr>
      <w:r w:rsidRPr="0014476B">
        <w:t>O.</w:t>
      </w:r>
      <w:r w:rsidRPr="0014476B">
        <w:tab/>
        <w:t xml:space="preserve">der henviser til, at </w:t>
      </w:r>
      <w:proofErr w:type="spellStart"/>
      <w:r w:rsidRPr="0014476B">
        <w:t>Culture</w:t>
      </w:r>
      <w:proofErr w:type="spellEnd"/>
      <w:r w:rsidRPr="0014476B">
        <w:t xml:space="preserve"> </w:t>
      </w:r>
      <w:proofErr w:type="spellStart"/>
      <w:r w:rsidRPr="0014476B">
        <w:t>Moves</w:t>
      </w:r>
      <w:proofErr w:type="spellEnd"/>
      <w:r w:rsidRPr="0014476B">
        <w:t xml:space="preserve"> Europe ("Kultur bevæger Europa") er den største EU-mobilitetsordning for de kulturelle og kreative sektorer og havde tiltrukket omkring 4 660 ansøgninger ved midten af 2023; der henviser til, at ca. 85 % af ansøgningerne kommer fra sektorer som billedkunst, scenekunst og musik; </w:t>
      </w:r>
    </w:p>
    <w:p w:rsidR="006304FE" w:rsidRPr="0014476B" w:rsidRDefault="006304FE" w:rsidP="006304FE">
      <w:pPr>
        <w:pStyle w:val="NormalHanging12a"/>
      </w:pPr>
      <w:r w:rsidRPr="0014476B">
        <w:t>P.</w:t>
      </w:r>
      <w:r w:rsidRPr="0014476B">
        <w:tab/>
        <w:t xml:space="preserve">der henviser til, at programmet anerkender musiksektorens betydning som et væsentligt element i Europas kulturelle mangfoldighed, som kan drage fordel af den horisontale tilgang under programområdet Kultur; der henviser til, at initiativet Music </w:t>
      </w:r>
      <w:proofErr w:type="spellStart"/>
      <w:r w:rsidRPr="0014476B">
        <w:t>Moves</w:t>
      </w:r>
      <w:proofErr w:type="spellEnd"/>
      <w:r w:rsidRPr="0014476B">
        <w:t xml:space="preserve"> Europe ("Musik sætter Europa i bevægelse") i perioden 2021-2022 afsatte 5 mio. EUR til at styrke konkurrenceevnen, innovationen og mangfoldigheden i Europas musiksektor;</w:t>
      </w:r>
    </w:p>
    <w:p w:rsidR="006304FE" w:rsidRPr="0014476B" w:rsidRDefault="006304FE" w:rsidP="006304FE">
      <w:pPr>
        <w:pStyle w:val="NormalHanging12a"/>
      </w:pPr>
      <w:r w:rsidRPr="0014476B">
        <w:t>Q.</w:t>
      </w:r>
      <w:r w:rsidRPr="0014476B">
        <w:tab/>
        <w:t>der henviser til, at foranstaltningen for litterær oversættelse spiller en unik rolle ved at fremme forfattere på tværs af grænserne, nå nye målgrupper og bidrage til et mere kulturelt og sprogligt mangfoldigt Europa;</w:t>
      </w:r>
    </w:p>
    <w:p w:rsidR="006304FE" w:rsidRPr="0014476B" w:rsidRDefault="006304FE" w:rsidP="006304FE">
      <w:pPr>
        <w:pStyle w:val="NormalHanging12a"/>
      </w:pPr>
      <w:r w:rsidRPr="0014476B">
        <w:t>R.</w:t>
      </w:r>
      <w:r w:rsidRPr="0014476B">
        <w:tab/>
        <w:t>der henviser til, at de offentlige støttemidler til det audiovisuelle økosystem i Europa hovedsageligt stammer fra det nationale plan, og at programområdet Media supplerer de nationale systemer ved at støtte projekter med langvarige virkninger;</w:t>
      </w:r>
    </w:p>
    <w:p w:rsidR="006304FE" w:rsidRPr="0014476B" w:rsidRDefault="006304FE" w:rsidP="006304FE">
      <w:pPr>
        <w:pStyle w:val="NormalHanging12a"/>
        <w:rPr>
          <w:rFonts w:eastAsiaTheme="minorHAnsi"/>
        </w:rPr>
      </w:pPr>
      <w:r w:rsidRPr="0014476B">
        <w:t>S.</w:t>
      </w:r>
      <w:r w:rsidRPr="0014476B">
        <w:tab/>
        <w:t>der henviser til, at kontorerne for Et Kreativt Europa spiller en central rolle som mellemled mellem Kommissionen, Det Europæiske Forvaltningsorgan for Uddannelse og Kultur (EACEA), ansøgere og modtagere; der henviser til, at mere end 60 % af alle ansøgere i 2021-2022 kontaktede deres lokale kontor, inden de indgav en ansøgning;</w:t>
      </w:r>
    </w:p>
    <w:p w:rsidR="006304FE" w:rsidRPr="0014476B" w:rsidRDefault="006304FE" w:rsidP="006304FE">
      <w:pPr>
        <w:pStyle w:val="NormalHanging12a"/>
      </w:pPr>
      <w:r w:rsidRPr="0014476B">
        <w:t>T.</w:t>
      </w:r>
      <w:r w:rsidRPr="0014476B">
        <w:tab/>
        <w:t>der henviser til, at i lyset af den afgørende rolle, som kontorerne for Et Kreativt Europa spiller med hensyn til at fremme og informere de kulturelle og kreative sektorer om alle aspekter af programmet, skal samarbejdet og udvekslingen mellem Kommissionen - herunder EACEA - og kontorerne for Et Kreativt Europa styrkes og omfatte udvekslingen af relevante oplysninger om kommende indkaldelser af forslag;</w:t>
      </w:r>
    </w:p>
    <w:p w:rsidR="006304FE" w:rsidRPr="0014476B" w:rsidRDefault="006304FE" w:rsidP="006304FE">
      <w:pPr>
        <w:pStyle w:val="NormalHanging12a"/>
      </w:pPr>
      <w:r w:rsidRPr="0014476B">
        <w:t>U.</w:t>
      </w:r>
      <w:r w:rsidRPr="0014476B">
        <w:tab/>
        <w:t>der henviser til, at programmet Et Kreativt Europa spiller en strategisk rolle med hensyn til at styrke den eksterne dimension af Den Europæiske Unions kulturelle forbindelser ved at fremme partnerskaber mellem forskellige aktører fra de kulturelle og kreative sektorer og anvende en mellemfolkelig tilgang ud over at fremme kulturel mangfoldighed i og uden for Europa;</w:t>
      </w:r>
    </w:p>
    <w:p w:rsidR="006304FE" w:rsidRPr="0014476B" w:rsidRDefault="006304FE" w:rsidP="006304FE">
      <w:pPr>
        <w:pStyle w:val="NormalHanging12a"/>
      </w:pPr>
      <w:r w:rsidRPr="0014476B">
        <w:t>V.</w:t>
      </w:r>
      <w:r w:rsidRPr="0014476B">
        <w:tab/>
        <w:t>der henviser til, at programmet anerkender betydningen af at beskytte og fremme kunst- og håndværkssektorerne, navnlig på kulturarvsområdet, ud over at anerkende deres afgørende rolle med hensyn til at støtte økonomien i både byer og landdistrikter i hele Europa samt deres rolle med hensyn til at styrke den kulturelle mangfoldighed;</w:t>
      </w:r>
    </w:p>
    <w:p w:rsidR="006304FE" w:rsidRPr="0014476B" w:rsidRDefault="006304FE" w:rsidP="006304FE">
      <w:pPr>
        <w:pStyle w:val="NormalHanging12a"/>
      </w:pPr>
      <w:r w:rsidRPr="0014476B">
        <w:t>W.</w:t>
      </w:r>
      <w:r w:rsidRPr="0014476B">
        <w:tab/>
        <w:t xml:space="preserve">der henviser til, at </w:t>
      </w:r>
      <w:proofErr w:type="spellStart"/>
      <w:r w:rsidRPr="0014476B">
        <w:t>Seal</w:t>
      </w:r>
      <w:proofErr w:type="spellEnd"/>
      <w:r w:rsidRPr="0014476B">
        <w:t xml:space="preserve"> of Excellence er en nyhed i programmet Et Kreativt Europa 2021-2027, som blev indført med henblik på at øge </w:t>
      </w:r>
      <w:proofErr w:type="spellStart"/>
      <w:r w:rsidRPr="0014476B">
        <w:t>synergierne</w:t>
      </w:r>
      <w:proofErr w:type="spellEnd"/>
      <w:r w:rsidRPr="0014476B">
        <w:t xml:space="preserve"> og forenkle søgningen efter alternativ finansiering i tilfælde af budgetmæssige begrænsninger; </w:t>
      </w:r>
    </w:p>
    <w:p w:rsidR="006304FE" w:rsidRPr="0014476B" w:rsidRDefault="006304FE" w:rsidP="006304FE">
      <w:pPr>
        <w:pStyle w:val="NormalHanging12a"/>
      </w:pPr>
      <w:r w:rsidRPr="0014476B">
        <w:t>X.</w:t>
      </w:r>
      <w:r w:rsidRPr="0014476B">
        <w:tab/>
        <w:t xml:space="preserve">der henviser til, at Den Europæiske Kulturhovedstad som en særlig foranstaltning er et prestigefyldt initiativ, der nyder en veletableret plads på de globale kulturelle </w:t>
      </w:r>
      <w:r w:rsidRPr="0014476B">
        <w:lastRenderedPageBreak/>
        <w:t>dagsordener, og som siden dens indførelse i 1985 har fremhævet rigdommen og det unikke ved mangfoldigheden af kulturer og byer;</w:t>
      </w:r>
    </w:p>
    <w:p w:rsidR="006304FE" w:rsidRPr="0014476B" w:rsidRDefault="006304FE" w:rsidP="006304FE">
      <w:pPr>
        <w:pStyle w:val="NormalHanging12a"/>
        <w:rPr>
          <w:rFonts w:eastAsiaTheme="minorHAnsi"/>
        </w:rPr>
      </w:pPr>
      <w:r w:rsidRPr="0014476B">
        <w:t>1.</w:t>
      </w:r>
      <w:r w:rsidRPr="0014476B">
        <w:tab/>
        <w:t>fremhæver, at den nye generation af programmet Et Kreativt Europa fortsat vækker betydelig interesse i de kulturelle, kreative og audiovisuelle sektorer samt nyhedsmedierne med et sigende antal modtagne ansøgninger under de tre programområder, hvilket resulterer i et proportionelt fald i ansøgningernes succesrate, som kan føre til skuffelse over programmet i disse sektorer;</w:t>
      </w:r>
    </w:p>
    <w:p w:rsidR="006304FE" w:rsidRPr="0014476B" w:rsidRDefault="006304FE" w:rsidP="006304FE">
      <w:pPr>
        <w:pStyle w:val="NormalHanging12a"/>
        <w:rPr>
          <w:rFonts w:eastAsiaTheme="minorHAnsi"/>
        </w:rPr>
      </w:pPr>
      <w:r w:rsidRPr="0014476B">
        <w:t>2.</w:t>
      </w:r>
      <w:r w:rsidRPr="0014476B">
        <w:tab/>
        <w:t>glæder sig over programmets reaktion med hensyn til at afbøde virkningerne af covid-19-pandemien, der forstyrrede de kulturelle og kreative sektorer i alvorlig grad selv forud for påbegyndelsen af det nuværende program; gentager imidlertid sin opfordring til Kommissionen og medlemsstaterne om at styrke indsatsen for at håndtere pandemiens langsigtede virkninger for skabere og kulturarbejdere, navnlig dem, der vedrører deres opkvalificering og omskoling, for at imødekomme de behov, der opstår som følge af udviklinger og udfordringer, der påvirker sektorerne;</w:t>
      </w:r>
    </w:p>
    <w:p w:rsidR="006304FE" w:rsidRPr="0014476B" w:rsidRDefault="006304FE" w:rsidP="006304FE">
      <w:pPr>
        <w:pStyle w:val="NormalHanging12a"/>
        <w:rPr>
          <w:rFonts w:eastAsiaTheme="minorHAnsi"/>
        </w:rPr>
      </w:pPr>
      <w:r w:rsidRPr="0014476B">
        <w:t>3.</w:t>
      </w:r>
      <w:r w:rsidRPr="0014476B">
        <w:tab/>
        <w:t xml:space="preserve">beklager, at ikke alle medlemsstater tildelte mindst 2 % af genopretnings- og </w:t>
      </w:r>
      <w:proofErr w:type="spellStart"/>
      <w:r w:rsidRPr="0014476B">
        <w:t>resiliensfaciliteten</w:t>
      </w:r>
      <w:proofErr w:type="spellEnd"/>
      <w:r w:rsidRPr="0014476B">
        <w:t xml:space="preserve"> til at sikre disse sektorers modstandsdygtighed, således som Parlamentet har anmodet om; opfordrer derfor alle medlemsstater til at styrke </w:t>
      </w:r>
      <w:proofErr w:type="spellStart"/>
      <w:r w:rsidRPr="0014476B">
        <w:t>synergierne</w:t>
      </w:r>
      <w:proofErr w:type="spellEnd"/>
      <w:r w:rsidRPr="0014476B">
        <w:t xml:space="preserve"> og sikre tilstrækkelige målrettede investeringer i disse sektorer gennem andre EU-programmer;</w:t>
      </w:r>
    </w:p>
    <w:p w:rsidR="006304FE" w:rsidRPr="0014476B" w:rsidRDefault="006304FE" w:rsidP="006304FE">
      <w:pPr>
        <w:pStyle w:val="NormalHanging12a"/>
        <w:rPr>
          <w:rFonts w:eastAsiaTheme="minorHAnsi"/>
        </w:rPr>
      </w:pPr>
      <w:r w:rsidRPr="0014476B">
        <w:t>4.</w:t>
      </w:r>
      <w:r w:rsidRPr="0014476B">
        <w:tab/>
        <w:t xml:space="preserve">anerkender Kommissionens og </w:t>
      </w:r>
      <w:proofErr w:type="spellStart"/>
      <w:r w:rsidRPr="0014476B">
        <w:t>EACEA's</w:t>
      </w:r>
      <w:proofErr w:type="spellEnd"/>
      <w:r w:rsidRPr="0014476B">
        <w:t xml:space="preserve"> fleksibilitet i forbindelse med gennemførelsen af programmet, som blev tilpasset for at tage hensyn til konsekvenserne af covid-19-pandemien; fremhæver imidlertid behovet for at finde en balance mellem harmoniserede systemer for administrativ forvaltning for alle EU-programmer på den ene side og de forskellige modtageres specifikke behov på den anden side; opfordrer derfor indtrængende Kommissionen og EACEA til at øge deres bestræbelser på at forenkle procedurerne for administrativ forvaltning for programmet Et Kreativt Europa 2021-2027; understeger dog, at strømlining og forenkling ikke bør resultere i en reduktion af de finansielle og menneskelige ressourcer, der afsættes til projektovervågning og -evaluering;</w:t>
      </w:r>
    </w:p>
    <w:p w:rsidR="006304FE" w:rsidRPr="0014476B" w:rsidRDefault="006304FE" w:rsidP="006304FE">
      <w:pPr>
        <w:pStyle w:val="NormalHanging12a"/>
        <w:rPr>
          <w:rFonts w:eastAsiaTheme="minorHAnsi"/>
        </w:rPr>
      </w:pPr>
      <w:r w:rsidRPr="0014476B">
        <w:t>5.</w:t>
      </w:r>
      <w:r w:rsidRPr="0014476B">
        <w:tab/>
        <w:t xml:space="preserve">erkender, at ansøgningsprocessen ofte er kompleks, især for enkeltpersoner, </w:t>
      </w:r>
      <w:proofErr w:type="spellStart"/>
      <w:r w:rsidRPr="0014476B">
        <w:t>mikroorganisationer</w:t>
      </w:r>
      <w:proofErr w:type="spellEnd"/>
      <w:r w:rsidRPr="0014476B">
        <w:t xml:space="preserve"> og små organisationer med begrænsede finansielle og menneskelige ressourcer; opfordrer derfor Kommissionen og EACEA til at tillade, at omkostningerne i forbindelse med ansøgningsprocessen medtages i de samlede anslåede budgetomkostninger; opfordrer endvidere kontorerne for Et Kreativt Europa til yderligere at styrke støtten til alle ansøgere;</w:t>
      </w:r>
    </w:p>
    <w:p w:rsidR="006304FE" w:rsidRPr="0014476B" w:rsidRDefault="006304FE" w:rsidP="006304FE">
      <w:pPr>
        <w:pStyle w:val="NormalHanging12a"/>
        <w:rPr>
          <w:rFonts w:eastAsiaTheme="minorHAnsi"/>
        </w:rPr>
      </w:pPr>
      <w:r w:rsidRPr="0014476B">
        <w:t>6.</w:t>
      </w:r>
      <w:r w:rsidRPr="0014476B">
        <w:tab/>
        <w:t>opfordrer Kommissionen til at planlægge regelmæssig udveksling med modtagere vedrørende kapacitetsopbygning med henblik på at skitsere ændringer såsom nye krav for rapporteringssystemet, herunder resultater, der er i overensstemmelse med den generelle forordning om databeskyttelse</w:t>
      </w:r>
      <w:r w:rsidRPr="003628F5">
        <w:rPr>
          <w:rStyle w:val="FootnoteReference"/>
          <w:rFonts w:eastAsiaTheme="minorHAnsi"/>
          <w:lang w:eastAsia="en-US"/>
        </w:rPr>
        <w:footnoteReference w:id="14"/>
      </w:r>
      <w:r w:rsidRPr="003628F5">
        <w:t xml:space="preserve">; understreger, at der som led i programmets mål om at øge mangfoldighed, inklusion og ligestilling mellem kønnene er et </w:t>
      </w:r>
      <w:r w:rsidRPr="003628F5">
        <w:lastRenderedPageBreak/>
        <w:t>presserende behov for forbedringer af rapporteringssystemet for at sikre tilgængelighed og brugervenlighed for alle støttemodtagere, herunder personer med handicap;</w:t>
      </w:r>
    </w:p>
    <w:p w:rsidR="006304FE" w:rsidRPr="0014476B" w:rsidRDefault="006304FE" w:rsidP="006304FE">
      <w:pPr>
        <w:pStyle w:val="NormalHanging12a"/>
        <w:rPr>
          <w:rFonts w:eastAsiaTheme="minorHAnsi"/>
        </w:rPr>
      </w:pPr>
      <w:r w:rsidRPr="0014476B">
        <w:t>7.</w:t>
      </w:r>
      <w:r w:rsidRPr="0014476B">
        <w:tab/>
        <w:t>anerkender den gradvise indførelse af inklusionsincitamenter på tværs af alle områder i de første to år af programmets implementering; bemærker imidlertid manglen på omfattende data om, hvordan programmets mål forfølges på en måde, der tilskynder til inklusion, lighed, mangfoldighed og deltagelse; opfordrer indtrængende Kommissionen til i denne henseende at forelægge en detaljeret rapport om dette i sin midtvejsevaluering;</w:t>
      </w:r>
    </w:p>
    <w:p w:rsidR="006304FE" w:rsidRPr="0014476B" w:rsidRDefault="006304FE" w:rsidP="006304FE">
      <w:pPr>
        <w:pStyle w:val="NormalHanging12a"/>
        <w:rPr>
          <w:rFonts w:eastAsiaTheme="minorHAnsi"/>
        </w:rPr>
      </w:pPr>
      <w:r w:rsidRPr="0014476B">
        <w:t>8.</w:t>
      </w:r>
      <w:r w:rsidRPr="0014476B">
        <w:tab/>
        <w:t>anerkender, at programmet bidrager til målet om klima- og miljømæssig bæredygtighed gennem sine tiltag; bemærker dog, at prioriteter med henblik på grøn omstilling er blevet indført på forskellig vis i de tre programområder; opfordrer Kommissionen til nøje at overvåge gennemførelsen af prioriteter med henblik på grøn omstilling og deres indvirkning på sektorerne og til regelmæssigt at aflægge rapport om sin vurdering; understreger betydningen af at udvikle uddannelses- og oplysningsaktiviteter med henblik på at fremme indførelsen af mere bæredygtige praksis i de kulturelle og kreative sektorer;</w:t>
      </w:r>
    </w:p>
    <w:p w:rsidR="006304FE" w:rsidRPr="0014476B" w:rsidRDefault="006304FE" w:rsidP="006304FE">
      <w:pPr>
        <w:pStyle w:val="NormalHanging12a"/>
        <w:rPr>
          <w:rFonts w:eastAsiaTheme="minorHAnsi"/>
        </w:rPr>
      </w:pPr>
      <w:r w:rsidRPr="0014476B">
        <w:t>9.</w:t>
      </w:r>
      <w:r w:rsidRPr="0014476B">
        <w:tab/>
        <w:t xml:space="preserve">fremhæver betydningen af at støtte de kulturelle og kreative aktører i at navigere i de muligheder, der tilbydes på EU-plan; glæder sig i denne forbindelse over </w:t>
      </w:r>
      <w:proofErr w:type="spellStart"/>
      <w:r w:rsidRPr="0014476B">
        <w:t>CulturEU</w:t>
      </w:r>
      <w:proofErr w:type="spellEnd"/>
      <w:r w:rsidRPr="0014476B">
        <w:t>-initiativet, en flersproget interaktiv vejledning, der kortlægger alle tilgængelige finansieringsmuligheder; fremhæver, at det er af afgørende betydning at opretholde regelmæssig og, såfremt det er relevant, målrettet udveksling med de kulturelle, kreative og audiovisuelle sektorer samt med nyhedsmedierne med det formål at opnå et gavnligt samarbejde; minder Kommissionen om betydningen af at sikre hensigtsmæssig inddragelse af interessenter i udarbejdelsen af fremtidige årlige arbejdsprogrammer; foreslår, at Kommissionen vurderer, om Et Kreativt Europa 2028-2034 kan gennemføres bedre gennem årlige eller toårige arbejdsprogrammer;</w:t>
      </w:r>
    </w:p>
    <w:p w:rsidR="006304FE" w:rsidRPr="0014476B" w:rsidRDefault="006304FE" w:rsidP="006304FE">
      <w:pPr>
        <w:pStyle w:val="NormalHanging12a"/>
        <w:rPr>
          <w:rFonts w:eastAsiaTheme="minorHAnsi"/>
        </w:rPr>
      </w:pPr>
      <w:r w:rsidRPr="0014476B">
        <w:t>10.</w:t>
      </w:r>
      <w:r w:rsidRPr="0014476B">
        <w:tab/>
        <w:t>opfordrer til en styrkelse af kommunikationen og udvekslingen mellem Kommissionen, EACEA og Et Kreativt Europa for at sikre, at sidstnævnte har adgang til alle relevante oplysninger for at muliggøre kvalitetsstøtte og -vejledning til ansøgere og støttemodtagere; minder også i denne henseende om betydningen af gennemsigtighed i forbindelse med formidling af resultater af indkaldelser; opfordrer derfor Kommissionen til fortsat rettidigt at offentliggøre listen over alle tilskudsmodtagere sammen med de tildelte beløb;</w:t>
      </w:r>
    </w:p>
    <w:p w:rsidR="006304FE" w:rsidRPr="0014476B" w:rsidRDefault="006304FE" w:rsidP="006304FE">
      <w:pPr>
        <w:pStyle w:val="NormalHanging12a"/>
        <w:rPr>
          <w:rFonts w:eastAsiaTheme="minorHAnsi"/>
        </w:rPr>
      </w:pPr>
      <w:r w:rsidRPr="0014476B">
        <w:t>11.</w:t>
      </w:r>
      <w:r w:rsidRPr="0014476B">
        <w:tab/>
        <w:t>understreger betydningen af at identificere programmet og øge dets synlighed; opfordrer i denne forbindelse Kommissionen til at aflægge rapport til Parlamentet om gennemførelsen af programmets kommunikationsstrategi, herunder anvendelsen af officielle logoer;</w:t>
      </w:r>
    </w:p>
    <w:p w:rsidR="006304FE" w:rsidRPr="0014476B" w:rsidRDefault="006304FE" w:rsidP="006304FE">
      <w:pPr>
        <w:pStyle w:val="NormalHanging12a"/>
        <w:rPr>
          <w:rFonts w:eastAsiaTheme="minorHAnsi"/>
        </w:rPr>
      </w:pPr>
      <w:r w:rsidRPr="0014476B">
        <w:t>12.</w:t>
      </w:r>
      <w:r w:rsidRPr="0014476B">
        <w:tab/>
        <w:t>understreger, at et betydeligt antal modtagere er villige til at dele deres fremskridt og resultater med de kulturelle, kreative og audiovisuelle sektorer samt med europæiske borgere; påpeger i den forbindelse, at platformen, der er stillet til rådighed til dette formål, anses for at være utilfredsstillende; opfordrer derfor Kommissionen til at inddrage modtagerne i udviklingen af en mere passende platform;</w:t>
      </w:r>
    </w:p>
    <w:p w:rsidR="006304FE" w:rsidRPr="0014476B" w:rsidRDefault="006304FE" w:rsidP="006304FE">
      <w:pPr>
        <w:pStyle w:val="NormalHanging12a"/>
      </w:pPr>
      <w:r w:rsidRPr="0014476B">
        <w:t>13.</w:t>
      </w:r>
      <w:r w:rsidRPr="0014476B">
        <w:tab/>
        <w:t xml:space="preserve">bemærker, at nogle medlemsstater ikke tilbyder nationale godtgørelsesordninger eller forsikringsdækning for at fremme kulturgenstandes mobilitet; erkender, at </w:t>
      </w:r>
      <w:r w:rsidRPr="0014476B">
        <w:lastRenderedPageBreak/>
        <w:t>omkostningerne til kommercielle forsikringer kan være betydelige for mange kulturelle aktører; foreslår i denne forbindelse, at Kommissionen offentliggør en gennemførlighedsundersøgelse af en paneuropæisk garantiordning til dækning af godtgørelsesomkostninger som et første skridt til at løse dette problem;</w:t>
      </w:r>
    </w:p>
    <w:p w:rsidR="006304FE" w:rsidRPr="0014476B" w:rsidRDefault="006304FE" w:rsidP="006304FE">
      <w:pPr>
        <w:pStyle w:val="NormalHanging12a"/>
      </w:pPr>
      <w:r w:rsidRPr="0014476B">
        <w:t>14.</w:t>
      </w:r>
      <w:r w:rsidRPr="0014476B">
        <w:tab/>
        <w:t>opfordrer indtrængende Kommissionen til at fremme menneskecentreret og gennemsigtig anvendelse af kunstig intelligens (AI) i den kunstneriske og kreative proces ved at udvikle passende etiske standarder for anvendelse af AI; opfordrer i denne forbindelse Kommissionen til at sikre, at både ansøgere og støttemodtagere giver oplysninger om anvendelsen af AI i projekter, herunder i produktion, distribution og fremme af kreative værker, med henblik på at vurdere denne nye tendens i de kulturelle og kreative sektorer og dens indvirkning på programmet;</w:t>
      </w:r>
    </w:p>
    <w:p w:rsidR="006304FE" w:rsidRPr="0014476B" w:rsidRDefault="006304FE" w:rsidP="006304FE">
      <w:pPr>
        <w:pStyle w:val="NormalHanging12a"/>
      </w:pPr>
      <w:r w:rsidRPr="0014476B">
        <w:t>15.</w:t>
      </w:r>
      <w:r w:rsidRPr="0014476B">
        <w:tab/>
        <w:t>understreger det store potentiale i programmet Et Kreativt Europa med hensyn til at udvikle og styrke tværnationale partnerskaber og dermed også bidrage til EU's internationale forbindelser gennem kultur;</w:t>
      </w:r>
    </w:p>
    <w:p w:rsidR="006304FE" w:rsidRPr="0014476B" w:rsidRDefault="006304FE" w:rsidP="006304FE">
      <w:pPr>
        <w:pStyle w:val="NormalHanging12a"/>
      </w:pPr>
      <w:r w:rsidRPr="0014476B">
        <w:t>16.</w:t>
      </w:r>
      <w:r w:rsidRPr="0014476B">
        <w:tab/>
        <w:t>opfordrer Kommissionen til at investere passende ressourcer i programmets eksterne dimension og til at tilskynde til yderligere samarbejde mellem kulturinstitutter og -organisationer i medlemsstaterne samt klynger af nationale kulturinstitutter (EUNIC) i tredjelande; opfordrer endvidere Kommissionen til at støtte og lette tredjelandes deltagelse i programmet, hvor det er muligt;</w:t>
      </w:r>
    </w:p>
    <w:p w:rsidR="006304FE" w:rsidRPr="0014476B" w:rsidRDefault="006304FE" w:rsidP="006304FE">
      <w:pPr>
        <w:pStyle w:val="NormalHanging12a"/>
        <w:rPr>
          <w:rFonts w:eastAsiaTheme="minorHAnsi"/>
          <w:b/>
          <w:i/>
        </w:rPr>
      </w:pPr>
      <w:r w:rsidRPr="0014476B">
        <w:rPr>
          <w:b/>
          <w:i/>
        </w:rPr>
        <w:t>Budget</w:t>
      </w:r>
    </w:p>
    <w:p w:rsidR="006304FE" w:rsidRPr="0014476B" w:rsidRDefault="006304FE" w:rsidP="006304FE">
      <w:pPr>
        <w:pStyle w:val="NormalHanging12a"/>
        <w:rPr>
          <w:rFonts w:eastAsiaTheme="minorHAnsi"/>
        </w:rPr>
      </w:pPr>
      <w:r w:rsidRPr="0014476B">
        <w:t>17.</w:t>
      </w:r>
      <w:r w:rsidRPr="0014476B">
        <w:tab/>
        <w:t>fremhæver, at det nuværende program Et Kreativt Europa, på trods af det betydeligt øgede budget for perioden 2021-2027, stadig er overtegnet; opfordrer i den forbindelse Kommissionen og medlemsstaterne til at øge den finansielle tildeling til programmet Et Kreativt Europa 2028-2034 betydeligt;</w:t>
      </w:r>
    </w:p>
    <w:p w:rsidR="006304FE" w:rsidRPr="0014476B" w:rsidRDefault="006304FE" w:rsidP="006304FE">
      <w:pPr>
        <w:pStyle w:val="NormalHanging12a"/>
        <w:rPr>
          <w:rFonts w:eastAsiaTheme="minorHAnsi"/>
        </w:rPr>
      </w:pPr>
      <w:r w:rsidRPr="0014476B">
        <w:t>18.</w:t>
      </w:r>
      <w:r w:rsidRPr="0014476B">
        <w:tab/>
        <w:t>anerkender det presserende behov i den toårige periode 2021-2022 for at fremrykke udgifterne for at modvirke virkningerne af covid-19-pandemien og Ruslands angrebskrig mod Ukraine; understreger imidlertid den negative virkning, som denne foranstaltning vil have i den finansielle cyklus' anden halvdel;</w:t>
      </w:r>
    </w:p>
    <w:p w:rsidR="006304FE" w:rsidRPr="0014476B" w:rsidRDefault="006304FE" w:rsidP="006304FE">
      <w:pPr>
        <w:pStyle w:val="NormalHanging12a"/>
        <w:rPr>
          <w:rFonts w:eastAsiaTheme="minorHAnsi"/>
        </w:rPr>
      </w:pPr>
      <w:r w:rsidRPr="0014476B">
        <w:t>19.</w:t>
      </w:r>
      <w:r w:rsidRPr="0014476B">
        <w:tab/>
        <w:t>opfordrer indtrængende medlemsstaterne og Kommissionen til i lyset af de udfordringer, der opstår som følge af digitalisering og grøn omstilling samt høje tilmeldingssatser, den galoperende inflation og de tilknyttede høje energiomkostninger, der alle påvirker modtageres driftskapacitet i alvorlig grad, at sikre, at der ikke sker budgetnedskæringer i programmets tildeling i de kommende budgetår;</w:t>
      </w:r>
    </w:p>
    <w:p w:rsidR="006304FE" w:rsidRPr="0014476B" w:rsidRDefault="006304FE" w:rsidP="006304FE">
      <w:pPr>
        <w:pStyle w:val="NormalHanging12a"/>
        <w:rPr>
          <w:rFonts w:eastAsiaTheme="minorHAnsi"/>
        </w:rPr>
      </w:pPr>
      <w:r w:rsidRPr="0014476B">
        <w:t>20.</w:t>
      </w:r>
      <w:r w:rsidRPr="0014476B">
        <w:tab/>
        <w:t xml:space="preserve">beklager, at mærket </w:t>
      </w:r>
      <w:proofErr w:type="spellStart"/>
      <w:r w:rsidRPr="0014476B">
        <w:t>Seal</w:t>
      </w:r>
      <w:proofErr w:type="spellEnd"/>
      <w:r w:rsidRPr="0014476B">
        <w:t xml:space="preserve"> of Excellence endnu ikke er blevet gennemført; opfordrer Kommissionen til straks at indføre dette mærke, således at projekterne kan udnytte de muligheder, som kumulativ og alternativ finansiering giver i løbet af denne programmeringscyklus;</w:t>
      </w:r>
    </w:p>
    <w:p w:rsidR="006304FE" w:rsidRPr="0014476B" w:rsidRDefault="006304FE" w:rsidP="006304FE">
      <w:pPr>
        <w:pStyle w:val="NormalHanging12a"/>
        <w:rPr>
          <w:rFonts w:eastAsiaTheme="minorHAnsi"/>
        </w:rPr>
      </w:pPr>
      <w:r w:rsidRPr="0014476B">
        <w:t>21.</w:t>
      </w:r>
      <w:r w:rsidRPr="0014476B">
        <w:tab/>
        <w:t xml:space="preserve">beklager, at der under den flerårige finansielle ramme (FFR) for 2021-2027 ikke er nogen fleksibilitet til at supplere programmet Et Kreativt Europa, og understreger, at dette udelukker finansiering af nye initiativer, værdifulde pilotprojekter og forberedende foranstaltninger; minder i denne forbindelse om, at pilotprojekter og forberedende foranstaltninger er vigtige redskaber til afprøvning af nye initiativer, der kan udvikle sig </w:t>
      </w:r>
      <w:r w:rsidRPr="0014476B">
        <w:lastRenderedPageBreak/>
        <w:t>til stående EU-finansieringsprogrammer eller indgå i eksisterende;</w:t>
      </w:r>
    </w:p>
    <w:p w:rsidR="006304FE" w:rsidRPr="0014476B" w:rsidRDefault="006304FE" w:rsidP="006304FE">
      <w:pPr>
        <w:pStyle w:val="NormalHanging12a"/>
        <w:rPr>
          <w:rFonts w:eastAsiaTheme="minorHAnsi"/>
        </w:rPr>
      </w:pPr>
      <w:r w:rsidRPr="0014476B">
        <w:t>22.</w:t>
      </w:r>
      <w:r w:rsidRPr="0014476B">
        <w:tab/>
        <w:t>beklager finansieringskløften mellem de to FFR-cyklusser, som især påvirkede netværksordningen, og opfordrer Kommissionen til at sikre, at dette ikke gentager sig i fremtiden; opfordrer Kommissionen til i lyset af den centrale rolle, som denne ordning spiller med hensyn til at støtte de kulturelle og kreative sektorers evne til at operere tværnationalt og internationalt, at yde tilstrækkelig finansiering og desuden overveje at indføre operationelle tilskud til denne foranstaltning;</w:t>
      </w:r>
    </w:p>
    <w:p w:rsidR="006304FE" w:rsidRPr="0014476B" w:rsidRDefault="006304FE" w:rsidP="006304FE">
      <w:pPr>
        <w:pStyle w:val="NormalHanging12a"/>
        <w:rPr>
          <w:rFonts w:eastAsiaTheme="minorHAnsi"/>
          <w:b/>
          <w:i/>
        </w:rPr>
      </w:pPr>
      <w:r w:rsidRPr="0014476B">
        <w:rPr>
          <w:b/>
          <w:i/>
        </w:rPr>
        <w:t>Programområdet Kultur</w:t>
      </w:r>
    </w:p>
    <w:p w:rsidR="006304FE" w:rsidRPr="0014476B" w:rsidRDefault="006304FE" w:rsidP="006304FE">
      <w:pPr>
        <w:pStyle w:val="NormalHanging12a"/>
        <w:rPr>
          <w:rFonts w:eastAsiaTheme="minorHAnsi"/>
        </w:rPr>
      </w:pPr>
      <w:r w:rsidRPr="0014476B">
        <w:t>23.</w:t>
      </w:r>
      <w:r w:rsidRPr="0014476B">
        <w:tab/>
        <w:t>glæder sig over indførelsen af den sektorielle tilgang som et nyt element i programområdet Kultur, der supplerer de horisontale foranstaltninger; opfordrer til, at den styrkes gennem en passende budgettildeling, der sikrer, at ingen sektor lades i stikken, og at der ikke sker nogen reduktion af tildelingen til horisontale foranstaltninger;</w:t>
      </w:r>
    </w:p>
    <w:p w:rsidR="006304FE" w:rsidRPr="0014476B" w:rsidRDefault="006304FE" w:rsidP="006304FE">
      <w:pPr>
        <w:pStyle w:val="NormalHanging12a"/>
        <w:rPr>
          <w:rFonts w:eastAsiaTheme="minorHAnsi"/>
        </w:rPr>
      </w:pPr>
      <w:r w:rsidRPr="0014476B">
        <w:t>24.</w:t>
      </w:r>
      <w:r w:rsidRPr="0014476B">
        <w:tab/>
        <w:t>minder om betydningen af yderligere at beskytte og fremme friheden til kunstnerisk udfoldelse, navnlig i de finansieringsmuligheder, som programmet tilbyder under foranstaltningen vedrørende kultursamarbejdsprojekter og den europæiske netværksordning;</w:t>
      </w:r>
    </w:p>
    <w:p w:rsidR="006304FE" w:rsidRPr="0014476B" w:rsidRDefault="006304FE" w:rsidP="006304FE">
      <w:pPr>
        <w:pStyle w:val="NormalHanging12a"/>
      </w:pPr>
      <w:r w:rsidRPr="0014476B">
        <w:t>25.</w:t>
      </w:r>
      <w:r w:rsidRPr="0014476B">
        <w:tab/>
        <w:t>anerkender, at de øgede medfinansieringssatser, navnlig for små samarbejdsprojekter, er gavnlige og gør det lettere for små organisationer at deltage; opfordrer i den forbindelse Kommissionen og EACEA til at tillade projektkonsortier uafhængigt at bestemme, hvordan finansieringen fordeles blandt deres partnere, så længe den overordnede medfinansieringssats finder anvendelse på projektniveau;</w:t>
      </w:r>
    </w:p>
    <w:p w:rsidR="006304FE" w:rsidRPr="0014476B" w:rsidRDefault="006304FE" w:rsidP="006304FE">
      <w:pPr>
        <w:pStyle w:val="NormalHanging12a"/>
      </w:pPr>
      <w:r w:rsidRPr="0014476B">
        <w:t>26.</w:t>
      </w:r>
      <w:r w:rsidRPr="0014476B">
        <w:tab/>
        <w:t xml:space="preserve">understreger betydningen af grænseoverskridende mobilitet for alle skabere, da den fremmer den kreative proces ved at forbedre de faglige muligheder i udlandet; glæder sig i denne forbindelse over </w:t>
      </w:r>
      <w:proofErr w:type="spellStart"/>
      <w:r w:rsidRPr="0014476B">
        <w:t>Culture</w:t>
      </w:r>
      <w:proofErr w:type="spellEnd"/>
      <w:r w:rsidRPr="0014476B">
        <w:t xml:space="preserve"> </w:t>
      </w:r>
      <w:proofErr w:type="spellStart"/>
      <w:r w:rsidRPr="0014476B">
        <w:t>Moves</w:t>
      </w:r>
      <w:proofErr w:type="spellEnd"/>
      <w:r w:rsidRPr="0014476B">
        <w:t xml:space="preserve"> Europe som en ny mobilitetsaktion under programmet Et Kreativt Europa;</w:t>
      </w:r>
    </w:p>
    <w:p w:rsidR="006304FE" w:rsidRPr="0014476B" w:rsidRDefault="006304FE" w:rsidP="006304FE">
      <w:pPr>
        <w:pStyle w:val="NormalHanging12a"/>
      </w:pPr>
      <w:r w:rsidRPr="0014476B">
        <w:t>27.</w:t>
      </w:r>
      <w:r w:rsidRPr="0014476B">
        <w:tab/>
        <w:t xml:space="preserve">anerkender den høje kvalitet af de ansøgninger, der er modtaget under mobilitetsordningen; opfordrer imidlertid Kommissionen til at fremme </w:t>
      </w:r>
      <w:proofErr w:type="spellStart"/>
      <w:r w:rsidRPr="0014476B">
        <w:t>Culture</w:t>
      </w:r>
      <w:proofErr w:type="spellEnd"/>
      <w:r w:rsidRPr="0014476B">
        <w:t xml:space="preserve"> </w:t>
      </w:r>
      <w:proofErr w:type="spellStart"/>
      <w:r w:rsidRPr="0014476B">
        <w:t>Moves</w:t>
      </w:r>
      <w:proofErr w:type="spellEnd"/>
      <w:r w:rsidRPr="0014476B">
        <w:t xml:space="preserve"> Europe for et bredere publikum med støtte og bistand fra alle kontorerne for Et Kreativt Europa gennem kommunikations- og </w:t>
      </w:r>
      <w:proofErr w:type="spellStart"/>
      <w:r w:rsidRPr="0014476B">
        <w:t>outreachaktiviteter</w:t>
      </w:r>
      <w:proofErr w:type="spellEnd"/>
      <w:r w:rsidRPr="0014476B">
        <w:t>; mener, at disse aktiviteter specifikt bør være rettet mod individuelle sektorer, herunder skabere fra alle marginaliserede grupper samt mindre repræsenterede lande og regioner, for at sikre geografisk balance;</w:t>
      </w:r>
    </w:p>
    <w:p w:rsidR="006304FE" w:rsidRPr="0014476B" w:rsidRDefault="006304FE" w:rsidP="006304FE">
      <w:pPr>
        <w:pStyle w:val="NormalHanging12a"/>
      </w:pPr>
      <w:r w:rsidRPr="0014476B">
        <w:t>28.</w:t>
      </w:r>
      <w:r w:rsidRPr="0014476B">
        <w:tab/>
        <w:t>påpeger, at selv om den nye mobilitetsaktions store succes anerkendes, er det afgørende, at der foretages en analyse af de vigtigste nye tendenser inden udgangen af 2024 med henblik på at udforske muligheden for at udvide denne aktion med det formål at inddrage nye aktører, såsom repræsentanter fra bogsektoren; opfordrer Kommissionen til i denne forbindelse at øge det budget, der er tildelt til denne aktion fra 2025 og fremefter;</w:t>
      </w:r>
    </w:p>
    <w:p w:rsidR="006304FE" w:rsidRPr="0014476B" w:rsidRDefault="006304FE" w:rsidP="006304FE">
      <w:pPr>
        <w:pStyle w:val="NormalHanging12a"/>
      </w:pPr>
      <w:r w:rsidRPr="0014476B">
        <w:t>29.</w:t>
      </w:r>
      <w:r w:rsidRPr="0014476B">
        <w:tab/>
        <w:t xml:space="preserve">fremhæver den positive virkning af grønne tillæg og familietillæg, der er gennemført til mobilitetsordningen, og som er et konkret eksempel på, hvordan programmet kan være mere inkluderende; opfordrer derfor Kommissionen til at overveje at gennemføre denne </w:t>
      </w:r>
      <w:r w:rsidRPr="0014476B">
        <w:lastRenderedPageBreak/>
        <w:t>tilgang i andre aktioner i programmet Et Kreativt Europa;</w:t>
      </w:r>
    </w:p>
    <w:p w:rsidR="006304FE" w:rsidRPr="0014476B" w:rsidRDefault="006304FE" w:rsidP="006304FE">
      <w:pPr>
        <w:pStyle w:val="NormalHanging12a"/>
      </w:pPr>
      <w:r w:rsidRPr="0014476B">
        <w:t>30.</w:t>
      </w:r>
      <w:r w:rsidRPr="0014476B">
        <w:tab/>
        <w:t xml:space="preserve">glæder sig over den øgede finansiering til European Platforms for the promotion of </w:t>
      </w:r>
      <w:proofErr w:type="spellStart"/>
      <w:r w:rsidRPr="0014476B">
        <w:t>emerging</w:t>
      </w:r>
      <w:proofErr w:type="spellEnd"/>
      <w:r w:rsidRPr="0014476B">
        <w:t xml:space="preserve"> artists (europæiske platforme til fremme af nye kunstnere) under programområdet Kultur og fremhæver den positive virkning, det har haft på mangfoldigheden ved at øge synligheden af kunstnere og deres arbejde på internationalt plan; opfordrer derfor Kommissionen til fortsat at udvikle denne aktion ved at sikre passende finansiering og fremme;</w:t>
      </w:r>
    </w:p>
    <w:p w:rsidR="006304FE" w:rsidRPr="0014476B" w:rsidRDefault="006304FE" w:rsidP="006304FE">
      <w:pPr>
        <w:pStyle w:val="NormalHanging12a"/>
      </w:pPr>
      <w:r w:rsidRPr="0014476B">
        <w:t>31.</w:t>
      </w:r>
      <w:r w:rsidRPr="0014476B">
        <w:tab/>
        <w:t>understreger betydningen af netværksordningen med hensyn til at skabe netværks- og kapacitetsopbygningsmuligheder, som styrker mangfoldigheden og konkurrenceevnen i de europæiske kulturelle og kreative sektorer; opfordrer i denne forbindelse Kommissionen til at yde tilstrækkelig finansiering til denne foranstaltning med henblik på at støtte nuværende støttemodtagere og nye netværk;</w:t>
      </w:r>
    </w:p>
    <w:p w:rsidR="006304FE" w:rsidRPr="0014476B" w:rsidRDefault="006304FE" w:rsidP="006304FE">
      <w:pPr>
        <w:pStyle w:val="NormalHanging12a"/>
      </w:pPr>
      <w:r w:rsidRPr="0014476B">
        <w:t>32.</w:t>
      </w:r>
      <w:r w:rsidRPr="0014476B">
        <w:tab/>
        <w:t>understreger, at den sektorspecifikke tilgang er et fremragende værktøj, der styrker bog- og forlagssektoren og muliggør samordnede indsatser, der vil støtte og stimulere markedsadgang og den bredere udbredelse af europæiske værker;</w:t>
      </w:r>
    </w:p>
    <w:p w:rsidR="006304FE" w:rsidRPr="0014476B" w:rsidRDefault="006304FE" w:rsidP="006304FE">
      <w:pPr>
        <w:pStyle w:val="NormalHanging12a"/>
      </w:pPr>
      <w:r w:rsidRPr="0014476B">
        <w:t>33.</w:t>
      </w:r>
      <w:r w:rsidRPr="0014476B">
        <w:tab/>
        <w:t>minder om, at litterær oversættelse er den vigtigste støtteordning for bogsektoren; understreger imidlertid behovet for at udvide denne ordning til at omfatte oversættelse af europæisk faglitteratur; opfordrer Kommissionen til i lyset af midtvejsevalueringen af programmet at udvikle målbare mål for, hvordan finansieringen tildeles med henblik på at forbedre tilgængeligheden af bøger for personer med handicap;</w:t>
      </w:r>
    </w:p>
    <w:p w:rsidR="006304FE" w:rsidRPr="0014476B" w:rsidRDefault="006304FE" w:rsidP="006304FE">
      <w:pPr>
        <w:pStyle w:val="NormalHanging12a"/>
      </w:pPr>
      <w:r w:rsidRPr="0014476B">
        <w:t>34.</w:t>
      </w:r>
      <w:r w:rsidRPr="0014476B">
        <w:tab/>
        <w:t xml:space="preserve">glæder sig over stigningen i foranstaltninger, der yder støtte til musiksektoren under programområdet Kultur, hvilket resulterer i et større antal indgivne musikrelaterede projekter under det nuværende program; opfordrer imidlertid Kommissionen til at udvikle en mere strategisk og sektororienteret tilgang for musiksektoren for at tackle de nye og kommende udfordringer, idet der bygges videre på resultaterne af den forberedende foranstaltning Music </w:t>
      </w:r>
      <w:proofErr w:type="spellStart"/>
      <w:r w:rsidRPr="0014476B">
        <w:t>Moves</w:t>
      </w:r>
      <w:proofErr w:type="spellEnd"/>
      <w:r w:rsidRPr="0014476B">
        <w:t xml:space="preserve"> Europe; understreger i den forbindelse betydningen af en regelmæssig struktureret dialog mellem musikøkosystemet og Kommissionen; opfordrer endvidere Kommissionen til i samarbejde med sektoren at indsamle data om medlemsstaternes musikmarkeder og rapportere om alle nye udfordringer, der påvirker hele økosystemet;</w:t>
      </w:r>
    </w:p>
    <w:p w:rsidR="006304FE" w:rsidRPr="0014476B" w:rsidRDefault="006304FE" w:rsidP="006304FE">
      <w:pPr>
        <w:pStyle w:val="NormalHanging12a"/>
      </w:pPr>
      <w:r w:rsidRPr="0014476B">
        <w:t>35.</w:t>
      </w:r>
      <w:r w:rsidRPr="0014476B">
        <w:tab/>
        <w:t>fremhæver betydningen af den særlige foranstaltning Den Europæiske Kulturhovedstad som en katalysator for byers og regioners kulturelle og økonomiske genopretning; fremhæver behovet for omsider at øge finansieringen til denne særlige foranstaltning for at dække de yderligere udgifter, der skyldes de længerevarende virkninger af covid-19-pandemien og den galoperende inflation; opfordrer derfor Kommissionen til at øge finansieringen til Melina Mercouriprisen, der i årevis blot er blevet tildelt 1,5 mio. EUR; opfordrer endvidere medlemsstaterne til at sikre initiativets varige resultater og til at støtte dets opsøgende arbejde med henblik på at øge deltagelsen i de kulturelle aktiviteter, der udvikles under initiativet;</w:t>
      </w:r>
    </w:p>
    <w:p w:rsidR="006304FE" w:rsidRPr="0014476B" w:rsidRDefault="006304FE" w:rsidP="006304FE">
      <w:pPr>
        <w:pStyle w:val="NormalHanging12a"/>
      </w:pPr>
      <w:r w:rsidRPr="0014476B">
        <w:t>36.</w:t>
      </w:r>
      <w:r w:rsidRPr="0014476B">
        <w:tab/>
        <w:t xml:space="preserve">anerkender, at det europæiske kulturarvsmærke er et værdifuldt initiativ, der fremmer den betydelige rolle, disse steder spiller for Europas historie og kultur, og bemærker, at 60 steder i perioden fra 2013 til 2021 er blevet tildelt dette mærke; opfordrer imidlertid Kommissionen til at forbedre synligheden af det europæiske kulturarvsmærke ved at udvikle </w:t>
      </w:r>
      <w:proofErr w:type="spellStart"/>
      <w:r w:rsidRPr="0014476B">
        <w:t>synergier</w:t>
      </w:r>
      <w:proofErr w:type="spellEnd"/>
      <w:r w:rsidRPr="0014476B">
        <w:t xml:space="preserve"> med andre relevante finansielle EU-instrumenter;</w:t>
      </w:r>
    </w:p>
    <w:p w:rsidR="006304FE" w:rsidRPr="0014476B" w:rsidRDefault="006304FE" w:rsidP="006304FE">
      <w:pPr>
        <w:pStyle w:val="NormalHanging12a"/>
      </w:pPr>
      <w:r w:rsidRPr="0014476B">
        <w:lastRenderedPageBreak/>
        <w:t>37.</w:t>
      </w:r>
      <w:r w:rsidRPr="0014476B">
        <w:tab/>
        <w:t>understreger betydningen af de priser, der støttes af programmet Et Kreativt Europa inden for litteratur, arkitektur og kulturarv, musik (moderne, rock og pop) og audiovisuel kunst; understreger, at disse mangeårige initiativer er velkendte i disse sektorer, og at de øger synligheden af de europæiske kulturelle og kreative sektorer ved at belønne resultater på forskellige områder;</w:t>
      </w:r>
    </w:p>
    <w:p w:rsidR="006304FE" w:rsidRPr="0014476B" w:rsidRDefault="006304FE" w:rsidP="006304FE">
      <w:pPr>
        <w:pStyle w:val="NormalHanging12a"/>
        <w:rPr>
          <w:rFonts w:eastAsiaTheme="minorHAnsi"/>
          <w:b/>
          <w:i/>
        </w:rPr>
      </w:pPr>
      <w:r w:rsidRPr="0014476B">
        <w:rPr>
          <w:b/>
          <w:i/>
        </w:rPr>
        <w:t>Programområdet Media</w:t>
      </w:r>
    </w:p>
    <w:p w:rsidR="006304FE" w:rsidRPr="0014476B" w:rsidRDefault="006304FE" w:rsidP="006304FE">
      <w:pPr>
        <w:pStyle w:val="NormalHanging12a"/>
      </w:pPr>
      <w:r w:rsidRPr="0014476B">
        <w:t>38.</w:t>
      </w:r>
      <w:r w:rsidRPr="0014476B">
        <w:tab/>
        <w:t>anerkender, at programområdet Media fortsat er det vigtigste europæiske instrument, der leverer strategisk støtte til den uafhængige audiovisuelle sektor, der primært består af små og mellemstore virksomheder; fremhæver den betydelige internationale konkurrence, som den audiovisuelle sektor, biografsektoren og videospilsektoren står over for, og den afgørende støtte, som dette indsatsområde tilbyder til genopretning og omstilling af disse sektorer og til at øge EU's strategiske autonomi; understreger i denne forbindelse betydningen af at sikre en passende budgettildeling til programområdet Media og insisterer på, at der er behov for omfattende data til vurdering og overvågning af, hvorvidt og hvordan programmet effektivt kan øge disse sektorers økonomiske og kulturelle potentiale;</w:t>
      </w:r>
    </w:p>
    <w:p w:rsidR="006304FE" w:rsidRPr="0014476B" w:rsidRDefault="006304FE" w:rsidP="006304FE">
      <w:pPr>
        <w:pStyle w:val="NormalHanging12a"/>
      </w:pPr>
      <w:r w:rsidRPr="0014476B">
        <w:t>39.</w:t>
      </w:r>
      <w:r w:rsidRPr="0014476B">
        <w:tab/>
        <w:t>anerkender den positive indvirkning fra de målrettede foranstaltninger, der blev indført under programområdet Media for at udvide deltagelsen af lande med forskellige audiovisuelle kapaciteter og styrke det grænseoverskridende samarbejde;</w:t>
      </w:r>
    </w:p>
    <w:p w:rsidR="006304FE" w:rsidRPr="0014476B" w:rsidRDefault="006304FE" w:rsidP="006304FE">
      <w:pPr>
        <w:pStyle w:val="NormalHanging12a"/>
        <w:rPr>
          <w:rFonts w:eastAsiaTheme="minorHAnsi"/>
        </w:rPr>
      </w:pPr>
      <w:r w:rsidRPr="0014476B">
        <w:t>40.</w:t>
      </w:r>
      <w:r w:rsidRPr="0014476B">
        <w:tab/>
        <w:t xml:space="preserve">fremhæver, at et stort antal projekter af høj kvalitet under </w:t>
      </w:r>
      <w:proofErr w:type="spellStart"/>
      <w:r w:rsidRPr="0014476B">
        <w:t>samudviklings</w:t>
      </w:r>
      <w:proofErr w:type="spellEnd"/>
      <w:r w:rsidRPr="0014476B">
        <w:t>- og mini-slate-ordningerne blev afvist i 2021-2022 på grund af budgetmæssige begrænsninger; opfordrer derfor Kommissionen til at afsætte et større budget til den fremtidige gennemførelse af disse ordninger;</w:t>
      </w:r>
    </w:p>
    <w:p w:rsidR="006304FE" w:rsidRPr="0014476B" w:rsidRDefault="006304FE" w:rsidP="006304FE">
      <w:pPr>
        <w:pStyle w:val="NormalHanging12a"/>
        <w:rPr>
          <w:rFonts w:eastAsiaTheme="minorHAnsi"/>
        </w:rPr>
      </w:pPr>
      <w:r w:rsidRPr="0014476B">
        <w:t>41.</w:t>
      </w:r>
      <w:r w:rsidRPr="0014476B">
        <w:tab/>
        <w:t>understreger den vigtige rolle, som støtteordningerne European Film Distribution (europæisk filmdistribution) og European Film Sales (salg af europæiske film) spiller, hvad angår bidrag til den kulturelle mangfoldighed i den europæiske audiovisuelle sektor, ved at øge europæiske films grænseoverskridende cirkulation og udligne nogle af de risici, distributørerne tager, når de investerer i produktion, distribution og markedsføring af ikkenationale europæiske film; fremhæver derfor, at det er af afgørende betydning, at finansieringen af begge ordninger øges, og at der gøres en yderligere indsats for at sikre en bredere udbredelse af og onlineadgang til europæiske værker;</w:t>
      </w:r>
    </w:p>
    <w:p w:rsidR="006304FE" w:rsidRPr="0014476B" w:rsidRDefault="006304FE" w:rsidP="006304FE">
      <w:pPr>
        <w:pStyle w:val="NormalHanging12a"/>
        <w:rPr>
          <w:rFonts w:eastAsiaTheme="minorHAnsi"/>
        </w:rPr>
      </w:pPr>
      <w:r w:rsidRPr="0014476B">
        <w:t>42.</w:t>
      </w:r>
      <w:r w:rsidRPr="0014476B">
        <w:tab/>
        <w:t>understreger, at der i mange europæiske lande ikke er nogen støtteordninger, der er dedikeret til fremvisning af filmværker; fremhæver i denne henseende betydningen af at opretholde tilstrækkelig finansiering af Europa Cinemas-netværket, et flagskibsinitiativ fra programområdet Media, der bidrager til udbredelsen af europæiske film i biografer;</w:t>
      </w:r>
    </w:p>
    <w:p w:rsidR="006304FE" w:rsidRPr="0014476B" w:rsidRDefault="006304FE" w:rsidP="006304FE">
      <w:pPr>
        <w:pStyle w:val="NormalHanging12a"/>
      </w:pPr>
      <w:r w:rsidRPr="0014476B">
        <w:t>43.</w:t>
      </w:r>
      <w:r w:rsidRPr="0014476B">
        <w:tab/>
        <w:t>fremhæver, at forordningen om oprettelse af Et Kreativt Europa 2021-2027 udvider leveringen af støtte til netværksaktiviteter for audiovisuelle fagfolk, herunder skabende kunstnere; påpeger, at denne foranstaltning endnu ikke er blevet gennemført; opfordrer derfor Kommissionen til rettidig gennemførelse af en specifik foranstaltning med det formål at støtte aktiviteter, der er dedikeret til netværk og samarbejde mellem europæiske faglige og kulturelle organisationer inden for den audiovisuelle værdikæde;</w:t>
      </w:r>
    </w:p>
    <w:p w:rsidR="006304FE" w:rsidRPr="0014476B" w:rsidRDefault="006304FE" w:rsidP="006304FE">
      <w:pPr>
        <w:pStyle w:val="NormalHanging12a"/>
      </w:pPr>
      <w:r w:rsidRPr="0014476B">
        <w:t>44.</w:t>
      </w:r>
      <w:r w:rsidRPr="0014476B">
        <w:tab/>
        <w:t xml:space="preserve">minder om succesen med den forberedende foranstaltning Skrivning på europæisk vis </w:t>
      </w:r>
      <w:r w:rsidRPr="0014476B">
        <w:lastRenderedPageBreak/>
        <w:t>og foreslår, at Kommissionen medtager de mål, der forfølges med denne foranstaltning, i programmet Et Kreativt Europa;</w:t>
      </w:r>
    </w:p>
    <w:p w:rsidR="006304FE" w:rsidRPr="0014476B" w:rsidRDefault="006304FE" w:rsidP="006304FE">
      <w:pPr>
        <w:pStyle w:val="NormalHanging12a"/>
        <w:rPr>
          <w:rFonts w:eastAsiaTheme="minorHAnsi"/>
        </w:rPr>
      </w:pPr>
      <w:r w:rsidRPr="0014476B">
        <w:t>45.</w:t>
      </w:r>
      <w:r w:rsidRPr="0014476B">
        <w:tab/>
        <w:t xml:space="preserve">glæder sig over indførelsen af en dedikeret aktion til støtte for udviklingen af videospil og </w:t>
      </w:r>
      <w:proofErr w:type="spellStart"/>
      <w:r w:rsidRPr="0014476B">
        <w:t>immersivt</w:t>
      </w:r>
      <w:proofErr w:type="spellEnd"/>
      <w:r w:rsidRPr="0014476B">
        <w:t xml:space="preserve"> indhold, der har skabt betydelig interesse i sektoren; opfordrer Kommissionen til at støtte denne sektors kulturelle og kreative dimension ved at tage hensyn til dens særlige karakteristika og relaterede behov ved udformningen af de relevante indkaldelser af forslag, herunder behovet for at afprøve nye forretningsmodeller i den virtuelle verden for at muliggøre udvikling af færdigheder på dette område med særlig vægt på kvinders deltagelse; bemærker imidlertid, at det nuværende budget kan være utilstrækkeligt til dette, og opfordrer til yderligere finansiering for at støtte væksten i det europæiske videospiløkosystem og tilskynde til udvikling og fastholdelse af europæiske talenter;</w:t>
      </w:r>
    </w:p>
    <w:p w:rsidR="006304FE" w:rsidRPr="0014476B" w:rsidRDefault="006304FE" w:rsidP="006304FE">
      <w:pPr>
        <w:pStyle w:val="NormalHanging12a"/>
        <w:rPr>
          <w:rFonts w:eastAsiaTheme="minorHAnsi"/>
        </w:rPr>
      </w:pPr>
      <w:r w:rsidRPr="0014476B">
        <w:t>46.</w:t>
      </w:r>
      <w:r w:rsidRPr="0014476B">
        <w:tab/>
        <w:t>fremhæver, at den stigende inflation, på et yderst konkurrencepræget audiovisuelt marked, har indflydelse på produktionsomkostningerne; opfordrer derfor Kommissionen til at tilpasse finansieringsloftet opad for at sikre, at programområdet Media leverer sin støtte til den audiovisuelle industri;</w:t>
      </w:r>
    </w:p>
    <w:p w:rsidR="006304FE" w:rsidRPr="0014476B" w:rsidRDefault="006304FE" w:rsidP="006304FE">
      <w:pPr>
        <w:pStyle w:val="NormalHanging12a"/>
        <w:rPr>
          <w:rFonts w:eastAsiaTheme="minorHAnsi"/>
        </w:rPr>
      </w:pPr>
      <w:r w:rsidRPr="0014476B">
        <w:t>47.</w:t>
      </w:r>
      <w:r w:rsidRPr="0014476B">
        <w:tab/>
        <w:t>anerkender succesen med indkaldelsen vedrørende Network of European Festivals (netværket af europæiske festivaler), som har støttet 71 festivaler under 12 netværk, der bl.a. samarbejdede om at fremme publikumsinddragelse; opfordrer derfor Kommissionen til at fortsætte med at finansiere de to supplerende aktioner, de europæiske festivaler og Network of European Festivals, hvert andet år;</w:t>
      </w:r>
    </w:p>
    <w:p w:rsidR="006304FE" w:rsidRPr="0014476B" w:rsidRDefault="006304FE" w:rsidP="006304FE">
      <w:pPr>
        <w:pStyle w:val="NormalHanging12a"/>
        <w:rPr>
          <w:rFonts w:eastAsiaTheme="minorHAnsi"/>
        </w:rPr>
      </w:pPr>
      <w:r w:rsidRPr="0014476B">
        <w:t>48.</w:t>
      </w:r>
      <w:r w:rsidRPr="0014476B">
        <w:tab/>
        <w:t xml:space="preserve">bemærker, at eftersom Media Invest-faciliteten tiltrak et stort antal ansøgninger, skal der sikres større budgetmæssige </w:t>
      </w:r>
      <w:proofErr w:type="spellStart"/>
      <w:r w:rsidRPr="0014476B">
        <w:t>synergier</w:t>
      </w:r>
      <w:proofErr w:type="spellEnd"/>
      <w:r w:rsidRPr="0014476B">
        <w:t xml:space="preserve"> med </w:t>
      </w:r>
      <w:proofErr w:type="spellStart"/>
      <w:r w:rsidRPr="0014476B">
        <w:t>InvestEU</w:t>
      </w:r>
      <w:proofErr w:type="spellEnd"/>
      <w:r w:rsidRPr="0014476B">
        <w:t>-programmet med henblik på dets fremtidige gennemførelse; opfordrer Kommissionen til yderligere at forbedre promoveringen af denne facilitet i den audiovisuelle sektor;</w:t>
      </w:r>
    </w:p>
    <w:p w:rsidR="006304FE" w:rsidRPr="0014476B" w:rsidRDefault="006304FE" w:rsidP="006304FE">
      <w:pPr>
        <w:pStyle w:val="NormalHanging12a"/>
        <w:rPr>
          <w:rFonts w:eastAsiaTheme="minorHAnsi"/>
        </w:rPr>
      </w:pPr>
      <w:r w:rsidRPr="0014476B">
        <w:t>49.</w:t>
      </w:r>
      <w:r w:rsidRPr="0014476B">
        <w:tab/>
        <w:t>minder om, at der i Kommissionens forslag til en europæisk forordning om mediefrihed fra september 2022 oprettes et Europæisk Råd for Medietjenester til erstatning for Gruppen af Europæiske Tilsynsmyndigheder for Audiovisuelle Medietjenester (ERGA), der blev nedsat ved direktiv 2010/13/EU</w:t>
      </w:r>
      <w:r w:rsidRPr="0045268E">
        <w:rPr>
          <w:rStyle w:val="FootnoteReference"/>
          <w:rFonts w:eastAsiaTheme="minorHAnsi"/>
        </w:rPr>
        <w:footnoteReference w:id="15"/>
      </w:r>
      <w:r w:rsidRPr="0045268E">
        <w:t>; understreger i lyset af de begrænsede finansielle midler, der er til rådighed til gennemførelse af programmets mål, at det budget, der er tildelt til programområdet Media og andre programbudgetposter, ikke må afsættes til finansiering af rådet;</w:t>
      </w:r>
    </w:p>
    <w:p w:rsidR="006304FE" w:rsidRPr="0014476B" w:rsidRDefault="006304FE" w:rsidP="006304FE">
      <w:pPr>
        <w:pStyle w:val="NormalHanging12a"/>
        <w:rPr>
          <w:rFonts w:eastAsiaTheme="minorHAnsi"/>
          <w:b/>
          <w:i/>
        </w:rPr>
      </w:pPr>
      <w:r w:rsidRPr="0014476B">
        <w:rPr>
          <w:b/>
          <w:i/>
        </w:rPr>
        <w:t>Det tværsektorielle programområde</w:t>
      </w:r>
    </w:p>
    <w:p w:rsidR="006304FE" w:rsidRPr="0014476B" w:rsidRDefault="006304FE" w:rsidP="006304FE">
      <w:pPr>
        <w:pStyle w:val="NormalHanging12a"/>
        <w:rPr>
          <w:rFonts w:eastAsiaTheme="minorHAnsi"/>
        </w:rPr>
      </w:pPr>
      <w:r w:rsidRPr="0014476B">
        <w:t>50.</w:t>
      </w:r>
      <w:r w:rsidRPr="0014476B">
        <w:tab/>
        <w:t>beklager, at de aktioner, der er programmeret under det tværsektorielle programområde, har været mest forsinket i deres gennemførelse, navnlig i 2021, grundet de nyskabelser, der blev indført i programområdet;</w:t>
      </w:r>
    </w:p>
    <w:p w:rsidR="006304FE" w:rsidRPr="0014476B" w:rsidRDefault="006304FE" w:rsidP="006304FE">
      <w:pPr>
        <w:pStyle w:val="NormalHanging12a"/>
        <w:rPr>
          <w:rFonts w:eastAsiaTheme="minorHAnsi"/>
        </w:rPr>
      </w:pPr>
      <w:r w:rsidRPr="0014476B">
        <w:t>51.</w:t>
      </w:r>
      <w:r w:rsidRPr="0014476B">
        <w:tab/>
        <w:t xml:space="preserve">bemærker, at indkaldelserne for </w:t>
      </w:r>
      <w:proofErr w:type="spellStart"/>
      <w:r w:rsidRPr="0014476B">
        <w:t>Journalism</w:t>
      </w:r>
      <w:proofErr w:type="spellEnd"/>
      <w:r w:rsidRPr="0014476B">
        <w:t xml:space="preserve"> </w:t>
      </w:r>
      <w:proofErr w:type="spellStart"/>
      <w:r w:rsidRPr="0014476B">
        <w:t>Partnerships</w:t>
      </w:r>
      <w:proofErr w:type="spellEnd"/>
      <w:r w:rsidRPr="0014476B">
        <w:t xml:space="preserve"> (journalistiske partnerskaber) og Media </w:t>
      </w:r>
      <w:proofErr w:type="spellStart"/>
      <w:r w:rsidRPr="0014476B">
        <w:t>Literacy</w:t>
      </w:r>
      <w:proofErr w:type="spellEnd"/>
      <w:r w:rsidRPr="0014476B">
        <w:t xml:space="preserve"> (mediekendskab) medførte det højeste antal ansøgninger i 2021-2022, hvilket understregede det presserende behov for øget finansiel støtte til den </w:t>
      </w:r>
      <w:r w:rsidRPr="0014476B">
        <w:lastRenderedPageBreak/>
        <w:t>europæiske mediesektor;</w:t>
      </w:r>
    </w:p>
    <w:p w:rsidR="006304FE" w:rsidRPr="0014476B" w:rsidRDefault="006304FE" w:rsidP="006304FE">
      <w:pPr>
        <w:pStyle w:val="NormalHanging12a"/>
        <w:rPr>
          <w:rFonts w:eastAsiaTheme="minorHAnsi"/>
        </w:rPr>
      </w:pPr>
      <w:r w:rsidRPr="0014476B">
        <w:t>52.</w:t>
      </w:r>
      <w:r w:rsidRPr="0014476B">
        <w:tab/>
        <w:t>bemærker, at ansøgningernes lave succesrate under det tværsektorielle programområde, på trods af ansøgningernes overordnet set høje kvalitet, antyder en høj efterspørgsel efter finansiel støtte, der desværre ikke kan imødekommes med den nuværende finansielle ramme;</w:t>
      </w:r>
    </w:p>
    <w:p w:rsidR="006304FE" w:rsidRPr="0014476B" w:rsidRDefault="006304FE" w:rsidP="006304FE">
      <w:pPr>
        <w:pStyle w:val="NormalHanging12a"/>
        <w:rPr>
          <w:rFonts w:eastAsiaTheme="minorHAnsi"/>
        </w:rPr>
      </w:pPr>
      <w:r w:rsidRPr="0014476B">
        <w:t>53.</w:t>
      </w:r>
      <w:r w:rsidRPr="0014476B">
        <w:tab/>
        <w:t>opfordrer Kommissionen til at sikre, at mindst 9 %</w:t>
      </w:r>
      <w:r w:rsidRPr="0045268E">
        <w:rPr>
          <w:rStyle w:val="FootnoteReference"/>
        </w:rPr>
        <w:footnoteReference w:id="16"/>
      </w:r>
      <w:r w:rsidRPr="0045268E">
        <w:t xml:space="preserve"> af det samlede budget for 2021</w:t>
      </w:r>
      <w:r w:rsidRPr="0014476B">
        <w:t>-2027 i den resterende programmeringsperiode afsættes til at støtte målene for det tværsektorielle programområde;</w:t>
      </w:r>
    </w:p>
    <w:p w:rsidR="006304FE" w:rsidRPr="0014476B" w:rsidRDefault="006304FE" w:rsidP="006304FE">
      <w:pPr>
        <w:pStyle w:val="NormalHanging12a"/>
        <w:jc w:val="center"/>
        <w:rPr>
          <w:rFonts w:eastAsiaTheme="minorHAnsi"/>
        </w:rPr>
      </w:pPr>
      <w:r w:rsidRPr="0014476B">
        <w:t>°</w:t>
      </w:r>
    </w:p>
    <w:p w:rsidR="006304FE" w:rsidRPr="0014476B" w:rsidRDefault="006304FE" w:rsidP="006304FE">
      <w:pPr>
        <w:pStyle w:val="NormalHanging12a"/>
        <w:jc w:val="center"/>
        <w:rPr>
          <w:rFonts w:eastAsiaTheme="minorHAnsi"/>
        </w:rPr>
      </w:pPr>
      <w:r w:rsidRPr="0014476B">
        <w:t>°</w:t>
      </w:r>
      <w:r w:rsidRPr="0014476B">
        <w:tab/>
        <w:t>°</w:t>
      </w:r>
    </w:p>
    <w:p w:rsidR="006304FE" w:rsidRPr="0014476B" w:rsidRDefault="006304FE" w:rsidP="00D9383D">
      <w:pPr>
        <w:ind w:left="567" w:hanging="567"/>
      </w:pPr>
      <w:r w:rsidRPr="0014476B">
        <w:t>54.</w:t>
      </w:r>
      <w:r w:rsidRPr="0014476B">
        <w:tab/>
        <w:t>pålægger sin formand at sende denne beslutning til Rådet, Kommissionen</w:t>
      </w:r>
      <w:r w:rsidRPr="0014476B">
        <w:rPr>
          <w:snapToGrid w:val="0"/>
        </w:rPr>
        <w:t xml:space="preserve"> og de nationale kontorer for programmet Et Kreativt Europa.</w:t>
      </w:r>
    </w:p>
    <w:sectPr w:rsidR="006304FE" w:rsidRPr="0014476B" w:rsidSect="008757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4A9" w:rsidRPr="00875788" w:rsidRDefault="00CF14A9">
      <w:r w:rsidRPr="00875788">
        <w:separator/>
      </w:r>
    </w:p>
  </w:endnote>
  <w:endnote w:type="continuationSeparator" w:id="0">
    <w:p w:rsidR="00CF14A9" w:rsidRPr="00875788" w:rsidRDefault="00CF14A9">
      <w:r w:rsidRPr="008757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57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57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57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4A9" w:rsidRPr="00875788" w:rsidRDefault="00CF14A9">
      <w:r w:rsidRPr="00875788">
        <w:separator/>
      </w:r>
    </w:p>
  </w:footnote>
  <w:footnote w:type="continuationSeparator" w:id="0">
    <w:p w:rsidR="00CF14A9" w:rsidRPr="00875788" w:rsidRDefault="00CF14A9">
      <w:r w:rsidRPr="00875788">
        <w:continuationSeparator/>
      </w:r>
    </w:p>
  </w:footnote>
  <w:footnote w:id="1">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L </w:t>
      </w:r>
      <w:r w:rsidRPr="00531491">
        <w:rPr>
          <w:sz w:val="24"/>
          <w:lang w:val="da-DK"/>
        </w:rPr>
        <w:t>189</w:t>
      </w:r>
      <w:r w:rsidRPr="00875788">
        <w:rPr>
          <w:sz w:val="24"/>
          <w:lang w:val="da-DK"/>
        </w:rPr>
        <w:t xml:space="preserve"> af </w:t>
      </w:r>
      <w:r w:rsidRPr="00531491">
        <w:rPr>
          <w:sz w:val="24"/>
          <w:lang w:val="da-DK"/>
        </w:rPr>
        <w:t>28</w:t>
      </w:r>
      <w:r w:rsidRPr="00875788">
        <w:rPr>
          <w:sz w:val="24"/>
          <w:lang w:val="da-DK"/>
        </w:rPr>
        <w:t>.</w:t>
      </w:r>
      <w:r w:rsidRPr="00531491">
        <w:rPr>
          <w:sz w:val="24"/>
          <w:lang w:val="da-DK"/>
        </w:rPr>
        <w:t>5</w:t>
      </w:r>
      <w:r w:rsidRPr="00875788">
        <w:rPr>
          <w:sz w:val="24"/>
          <w:lang w:val="da-DK"/>
        </w:rPr>
        <w:t>.</w:t>
      </w:r>
      <w:r w:rsidRPr="00531491">
        <w:rPr>
          <w:sz w:val="24"/>
          <w:lang w:val="da-DK"/>
        </w:rPr>
        <w:t>2021</w:t>
      </w:r>
      <w:r w:rsidRPr="00875788">
        <w:rPr>
          <w:sz w:val="24"/>
          <w:lang w:val="da-DK"/>
        </w:rPr>
        <w:t xml:space="preserve">, s. </w:t>
      </w:r>
      <w:r w:rsidRPr="00531491">
        <w:rPr>
          <w:sz w:val="24"/>
          <w:lang w:val="da-DK"/>
        </w:rPr>
        <w:t>34</w:t>
      </w:r>
      <w:r w:rsidRPr="00875788">
        <w:rPr>
          <w:sz w:val="24"/>
          <w:lang w:val="da-DK"/>
        </w:rPr>
        <w:t>.</w:t>
      </w:r>
    </w:p>
  </w:footnote>
  <w:footnote w:id="2">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L </w:t>
      </w:r>
      <w:r w:rsidRPr="00531491">
        <w:rPr>
          <w:sz w:val="24"/>
          <w:lang w:val="da-DK"/>
        </w:rPr>
        <w:t>347</w:t>
      </w:r>
      <w:r w:rsidRPr="00875788">
        <w:rPr>
          <w:sz w:val="24"/>
          <w:lang w:val="da-DK"/>
        </w:rPr>
        <w:t xml:space="preserve"> af </w:t>
      </w:r>
      <w:r w:rsidRPr="00531491">
        <w:rPr>
          <w:sz w:val="24"/>
          <w:lang w:val="da-DK"/>
        </w:rPr>
        <w:t>20</w:t>
      </w:r>
      <w:r w:rsidRPr="00875788">
        <w:rPr>
          <w:sz w:val="24"/>
          <w:lang w:val="da-DK"/>
        </w:rPr>
        <w:t>.</w:t>
      </w:r>
      <w:r w:rsidRPr="00531491">
        <w:rPr>
          <w:sz w:val="24"/>
          <w:lang w:val="da-DK"/>
        </w:rPr>
        <w:t>12</w:t>
      </w:r>
      <w:r w:rsidRPr="00875788">
        <w:rPr>
          <w:sz w:val="24"/>
          <w:lang w:val="da-DK"/>
        </w:rPr>
        <w:t>.</w:t>
      </w:r>
      <w:r w:rsidRPr="00531491">
        <w:rPr>
          <w:sz w:val="24"/>
          <w:lang w:val="da-DK"/>
        </w:rPr>
        <w:t>2013</w:t>
      </w:r>
      <w:r w:rsidRPr="00875788">
        <w:rPr>
          <w:sz w:val="24"/>
          <w:lang w:val="da-DK"/>
        </w:rPr>
        <w:t>, s. </w:t>
      </w:r>
      <w:r w:rsidRPr="00531491">
        <w:rPr>
          <w:sz w:val="24"/>
          <w:lang w:val="da-DK"/>
        </w:rPr>
        <w:t>221</w:t>
      </w:r>
      <w:r w:rsidRPr="00875788">
        <w:rPr>
          <w:sz w:val="24"/>
          <w:lang w:val="da-DK"/>
        </w:rPr>
        <w:t>.</w:t>
      </w:r>
    </w:p>
  </w:footnote>
  <w:footnote w:id="3">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108</w:t>
      </w:r>
      <w:r w:rsidRPr="00875788">
        <w:rPr>
          <w:sz w:val="24"/>
          <w:lang w:val="da-DK"/>
        </w:rPr>
        <w:t xml:space="preserve"> af </w:t>
      </w:r>
      <w:r w:rsidRPr="00531491">
        <w:rPr>
          <w:sz w:val="24"/>
          <w:lang w:val="da-DK"/>
        </w:rPr>
        <w:t>26</w:t>
      </w:r>
      <w:r w:rsidRPr="00875788">
        <w:rPr>
          <w:sz w:val="24"/>
          <w:lang w:val="da-DK"/>
        </w:rPr>
        <w:t>.</w:t>
      </w:r>
      <w:r w:rsidRPr="00531491">
        <w:rPr>
          <w:sz w:val="24"/>
          <w:lang w:val="da-DK"/>
        </w:rPr>
        <w:t>3</w:t>
      </w:r>
      <w:r w:rsidRPr="00875788">
        <w:rPr>
          <w:sz w:val="24"/>
          <w:lang w:val="da-DK"/>
        </w:rPr>
        <w:t>.</w:t>
      </w:r>
      <w:r w:rsidRPr="00531491">
        <w:rPr>
          <w:sz w:val="24"/>
          <w:lang w:val="da-DK"/>
        </w:rPr>
        <w:t>2021</w:t>
      </w:r>
      <w:r w:rsidRPr="00875788">
        <w:rPr>
          <w:sz w:val="24"/>
          <w:lang w:val="da-DK"/>
        </w:rPr>
        <w:t xml:space="preserve">, s. </w:t>
      </w:r>
      <w:r w:rsidRPr="00531491">
        <w:rPr>
          <w:sz w:val="24"/>
          <w:lang w:val="da-DK"/>
        </w:rPr>
        <w:t>934</w:t>
      </w:r>
      <w:r w:rsidRPr="00875788">
        <w:rPr>
          <w:sz w:val="24"/>
          <w:lang w:val="da-DK"/>
        </w:rPr>
        <w:t>.</w:t>
      </w:r>
    </w:p>
  </w:footnote>
  <w:footnote w:id="4">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110</w:t>
      </w:r>
      <w:r w:rsidRPr="00875788">
        <w:rPr>
          <w:sz w:val="24"/>
          <w:lang w:val="da-DK"/>
        </w:rPr>
        <w:t xml:space="preserve"> af </w:t>
      </w:r>
      <w:r w:rsidRPr="00531491">
        <w:rPr>
          <w:sz w:val="24"/>
          <w:lang w:val="da-DK"/>
        </w:rPr>
        <w:t>22</w:t>
      </w:r>
      <w:r w:rsidRPr="00875788">
        <w:rPr>
          <w:sz w:val="24"/>
          <w:lang w:val="da-DK"/>
        </w:rPr>
        <w:t>.</w:t>
      </w:r>
      <w:r w:rsidRPr="00531491">
        <w:rPr>
          <w:sz w:val="24"/>
          <w:lang w:val="da-DK"/>
        </w:rPr>
        <w:t>3</w:t>
      </w:r>
      <w:r w:rsidRPr="00875788">
        <w:rPr>
          <w:sz w:val="24"/>
          <w:lang w:val="da-DK"/>
        </w:rPr>
        <w:t>.</w:t>
      </w:r>
      <w:r w:rsidRPr="00531491">
        <w:rPr>
          <w:sz w:val="24"/>
          <w:lang w:val="da-DK"/>
        </w:rPr>
        <w:t>2019</w:t>
      </w:r>
      <w:r w:rsidRPr="00875788">
        <w:rPr>
          <w:sz w:val="24"/>
          <w:lang w:val="da-DK"/>
        </w:rPr>
        <w:t xml:space="preserve">, s. </w:t>
      </w:r>
      <w:r w:rsidRPr="00531491">
        <w:rPr>
          <w:sz w:val="24"/>
          <w:lang w:val="da-DK"/>
        </w:rPr>
        <w:t>87</w:t>
      </w:r>
      <w:r w:rsidRPr="00875788">
        <w:rPr>
          <w:sz w:val="24"/>
          <w:lang w:val="da-DK"/>
        </w:rPr>
        <w:t>.</w:t>
      </w:r>
    </w:p>
  </w:footnote>
  <w:footnote w:id="5">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168</w:t>
      </w:r>
      <w:r w:rsidRPr="00875788">
        <w:rPr>
          <w:sz w:val="24"/>
          <w:lang w:val="da-DK"/>
        </w:rPr>
        <w:t xml:space="preserve"> af </w:t>
      </w:r>
      <w:r w:rsidRPr="00531491">
        <w:rPr>
          <w:sz w:val="24"/>
          <w:lang w:val="da-DK"/>
        </w:rPr>
        <w:t>16</w:t>
      </w:r>
      <w:r w:rsidRPr="00875788">
        <w:rPr>
          <w:sz w:val="24"/>
          <w:lang w:val="da-DK"/>
        </w:rPr>
        <w:t>.</w:t>
      </w:r>
      <w:r w:rsidRPr="00531491">
        <w:rPr>
          <w:sz w:val="24"/>
          <w:lang w:val="da-DK"/>
        </w:rPr>
        <w:t>5</w:t>
      </w:r>
      <w:r w:rsidRPr="00875788">
        <w:rPr>
          <w:sz w:val="24"/>
          <w:lang w:val="da-DK"/>
        </w:rPr>
        <w:t>.</w:t>
      </w:r>
      <w:r w:rsidRPr="00531491">
        <w:rPr>
          <w:sz w:val="24"/>
          <w:lang w:val="da-DK"/>
        </w:rPr>
        <w:t>2019</w:t>
      </w:r>
      <w:r w:rsidRPr="00875788">
        <w:rPr>
          <w:sz w:val="24"/>
          <w:lang w:val="da-DK"/>
        </w:rPr>
        <w:t xml:space="preserve">, s. </w:t>
      </w:r>
      <w:r w:rsidRPr="00531491">
        <w:rPr>
          <w:sz w:val="24"/>
          <w:lang w:val="da-DK"/>
        </w:rPr>
        <w:t>37</w:t>
      </w:r>
      <w:r w:rsidRPr="00875788">
        <w:rPr>
          <w:sz w:val="24"/>
          <w:lang w:val="da-DK"/>
        </w:rPr>
        <w:t>.</w:t>
      </w:r>
    </w:p>
  </w:footnote>
  <w:footnote w:id="6">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466</w:t>
      </w:r>
      <w:r w:rsidRPr="00875788">
        <w:rPr>
          <w:sz w:val="24"/>
          <w:lang w:val="da-DK"/>
        </w:rPr>
        <w:t xml:space="preserve"> af </w:t>
      </w:r>
      <w:r w:rsidRPr="00531491">
        <w:rPr>
          <w:sz w:val="24"/>
          <w:lang w:val="da-DK"/>
        </w:rPr>
        <w:t>7</w:t>
      </w:r>
      <w:r w:rsidRPr="00875788">
        <w:rPr>
          <w:sz w:val="24"/>
          <w:lang w:val="da-DK"/>
        </w:rPr>
        <w:t>.</w:t>
      </w:r>
      <w:r w:rsidRPr="00531491">
        <w:rPr>
          <w:sz w:val="24"/>
          <w:lang w:val="da-DK"/>
        </w:rPr>
        <w:t>12</w:t>
      </w:r>
      <w:r w:rsidRPr="00875788">
        <w:rPr>
          <w:sz w:val="24"/>
          <w:lang w:val="da-DK"/>
        </w:rPr>
        <w:t>.</w:t>
      </w:r>
      <w:r w:rsidRPr="00531491">
        <w:rPr>
          <w:sz w:val="24"/>
          <w:lang w:val="da-DK"/>
        </w:rPr>
        <w:t>2022</w:t>
      </w:r>
      <w:r w:rsidRPr="00875788">
        <w:rPr>
          <w:sz w:val="24"/>
          <w:lang w:val="da-DK"/>
        </w:rPr>
        <w:t xml:space="preserve">, s. </w:t>
      </w:r>
      <w:r w:rsidRPr="00531491">
        <w:rPr>
          <w:sz w:val="24"/>
          <w:lang w:val="da-DK"/>
        </w:rPr>
        <w:t>1</w:t>
      </w:r>
      <w:r w:rsidRPr="00875788">
        <w:rPr>
          <w:sz w:val="24"/>
          <w:lang w:val="da-DK"/>
        </w:rPr>
        <w:t>.</w:t>
      </w:r>
    </w:p>
  </w:footnote>
  <w:footnote w:id="7">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Vedtagne tekster, P</w:t>
      </w:r>
      <w:r w:rsidRPr="00531491">
        <w:rPr>
          <w:sz w:val="24"/>
          <w:lang w:val="da-DK"/>
        </w:rPr>
        <w:t>9</w:t>
      </w:r>
      <w:r w:rsidRPr="00875788">
        <w:rPr>
          <w:sz w:val="24"/>
          <w:lang w:val="da-DK"/>
        </w:rPr>
        <w:t>_</w:t>
      </w:r>
      <w:proofErr w:type="gramStart"/>
      <w:r w:rsidRPr="00875788">
        <w:rPr>
          <w:sz w:val="24"/>
          <w:lang w:val="da-DK"/>
        </w:rPr>
        <w:t>TA(</w:t>
      </w:r>
      <w:proofErr w:type="gramEnd"/>
      <w:r w:rsidRPr="00531491">
        <w:rPr>
          <w:sz w:val="24"/>
          <w:lang w:val="da-DK"/>
        </w:rPr>
        <w:t>2023</w:t>
      </w:r>
      <w:r w:rsidRPr="00875788">
        <w:rPr>
          <w:sz w:val="24"/>
          <w:lang w:val="da-DK"/>
        </w:rPr>
        <w:t>)</w:t>
      </w:r>
      <w:r w:rsidRPr="00531491">
        <w:rPr>
          <w:sz w:val="24"/>
          <w:lang w:val="da-DK"/>
        </w:rPr>
        <w:t>0329</w:t>
      </w:r>
      <w:r w:rsidRPr="00875788">
        <w:rPr>
          <w:sz w:val="24"/>
          <w:lang w:val="da-DK"/>
        </w:rPr>
        <w:t>.</w:t>
      </w:r>
    </w:p>
  </w:footnote>
  <w:footnote w:id="8">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177</w:t>
      </w:r>
      <w:r w:rsidRPr="00875788">
        <w:rPr>
          <w:sz w:val="24"/>
          <w:lang w:val="da-DK"/>
        </w:rPr>
        <w:t xml:space="preserve"> af </w:t>
      </w:r>
      <w:r w:rsidRPr="00531491">
        <w:rPr>
          <w:sz w:val="24"/>
          <w:lang w:val="da-DK"/>
        </w:rPr>
        <w:t>17</w:t>
      </w:r>
      <w:r w:rsidRPr="00875788">
        <w:rPr>
          <w:sz w:val="24"/>
          <w:lang w:val="da-DK"/>
        </w:rPr>
        <w:t>.</w:t>
      </w:r>
      <w:r w:rsidRPr="00531491">
        <w:rPr>
          <w:sz w:val="24"/>
          <w:lang w:val="da-DK"/>
        </w:rPr>
        <w:t>5</w:t>
      </w:r>
      <w:r w:rsidRPr="00875788">
        <w:rPr>
          <w:sz w:val="24"/>
          <w:lang w:val="da-DK"/>
        </w:rPr>
        <w:t>.</w:t>
      </w:r>
      <w:r w:rsidRPr="00531491">
        <w:rPr>
          <w:sz w:val="24"/>
          <w:lang w:val="da-DK"/>
        </w:rPr>
        <w:t>2023</w:t>
      </w:r>
      <w:r w:rsidRPr="00875788">
        <w:rPr>
          <w:sz w:val="24"/>
          <w:lang w:val="da-DK"/>
        </w:rPr>
        <w:t xml:space="preserve">, s. </w:t>
      </w:r>
      <w:r w:rsidRPr="00531491">
        <w:rPr>
          <w:sz w:val="24"/>
          <w:lang w:val="da-DK"/>
        </w:rPr>
        <w:t>78</w:t>
      </w:r>
      <w:r w:rsidRPr="00875788">
        <w:rPr>
          <w:sz w:val="24"/>
          <w:lang w:val="da-DK"/>
        </w:rPr>
        <w:t>.</w:t>
      </w:r>
    </w:p>
  </w:footnote>
  <w:footnote w:id="9">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184</w:t>
      </w:r>
      <w:r w:rsidRPr="00875788">
        <w:rPr>
          <w:sz w:val="24"/>
          <w:lang w:val="da-DK"/>
        </w:rPr>
        <w:t xml:space="preserve"> af </w:t>
      </w:r>
      <w:r w:rsidRPr="00531491">
        <w:rPr>
          <w:sz w:val="24"/>
          <w:lang w:val="da-DK"/>
        </w:rPr>
        <w:t>5</w:t>
      </w:r>
      <w:r w:rsidRPr="00875788">
        <w:rPr>
          <w:sz w:val="24"/>
          <w:lang w:val="da-DK"/>
        </w:rPr>
        <w:t>.</w:t>
      </w:r>
      <w:r w:rsidRPr="00531491">
        <w:rPr>
          <w:sz w:val="24"/>
          <w:lang w:val="da-DK"/>
        </w:rPr>
        <w:t>5</w:t>
      </w:r>
      <w:r w:rsidRPr="00875788">
        <w:rPr>
          <w:sz w:val="24"/>
          <w:lang w:val="da-DK"/>
        </w:rPr>
        <w:t>.</w:t>
      </w:r>
      <w:r w:rsidRPr="00531491">
        <w:rPr>
          <w:sz w:val="24"/>
          <w:lang w:val="da-DK"/>
        </w:rPr>
        <w:t>2022</w:t>
      </w:r>
      <w:r w:rsidRPr="00875788">
        <w:rPr>
          <w:sz w:val="24"/>
          <w:lang w:val="da-DK"/>
        </w:rPr>
        <w:t xml:space="preserve">, s. </w:t>
      </w:r>
      <w:r w:rsidRPr="00531491">
        <w:rPr>
          <w:sz w:val="24"/>
          <w:lang w:val="da-DK"/>
        </w:rPr>
        <w:t>71</w:t>
      </w:r>
      <w:r w:rsidRPr="00875788">
        <w:rPr>
          <w:sz w:val="24"/>
          <w:lang w:val="da-DK"/>
        </w:rPr>
        <w:t>.</w:t>
      </w:r>
    </w:p>
  </w:footnote>
  <w:footnote w:id="10">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316</w:t>
      </w:r>
      <w:r w:rsidRPr="00875788">
        <w:rPr>
          <w:sz w:val="24"/>
          <w:lang w:val="da-DK"/>
        </w:rPr>
        <w:t xml:space="preserve"> af </w:t>
      </w:r>
      <w:r w:rsidRPr="00531491">
        <w:rPr>
          <w:sz w:val="24"/>
          <w:lang w:val="da-DK"/>
        </w:rPr>
        <w:t>6</w:t>
      </w:r>
      <w:r w:rsidRPr="00875788">
        <w:rPr>
          <w:sz w:val="24"/>
          <w:lang w:val="da-DK"/>
        </w:rPr>
        <w:t>.</w:t>
      </w:r>
      <w:r w:rsidRPr="00531491">
        <w:rPr>
          <w:sz w:val="24"/>
          <w:lang w:val="da-DK"/>
        </w:rPr>
        <w:t>8</w:t>
      </w:r>
      <w:r w:rsidRPr="00875788">
        <w:rPr>
          <w:sz w:val="24"/>
          <w:lang w:val="da-DK"/>
        </w:rPr>
        <w:t>.</w:t>
      </w:r>
      <w:r w:rsidRPr="00531491">
        <w:rPr>
          <w:sz w:val="24"/>
          <w:lang w:val="da-DK"/>
        </w:rPr>
        <w:t>2021</w:t>
      </w:r>
      <w:r w:rsidRPr="00875788">
        <w:rPr>
          <w:sz w:val="24"/>
          <w:lang w:val="da-DK"/>
        </w:rPr>
        <w:t xml:space="preserve">, s. </w:t>
      </w:r>
      <w:r w:rsidRPr="00531491">
        <w:rPr>
          <w:sz w:val="24"/>
          <w:lang w:val="da-DK"/>
        </w:rPr>
        <w:t>2</w:t>
      </w:r>
      <w:r w:rsidRPr="00875788">
        <w:rPr>
          <w:sz w:val="24"/>
          <w:lang w:val="da-DK"/>
        </w:rPr>
        <w:t>.</w:t>
      </w:r>
    </w:p>
  </w:footnote>
  <w:footnote w:id="11">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EUT C </w:t>
      </w:r>
      <w:r w:rsidRPr="00531491">
        <w:rPr>
          <w:sz w:val="24"/>
          <w:lang w:val="da-DK"/>
        </w:rPr>
        <w:t>385</w:t>
      </w:r>
      <w:r w:rsidRPr="00875788">
        <w:rPr>
          <w:sz w:val="24"/>
          <w:lang w:val="da-DK"/>
        </w:rPr>
        <w:t xml:space="preserve"> af </w:t>
      </w:r>
      <w:r w:rsidRPr="00531491">
        <w:rPr>
          <w:sz w:val="24"/>
          <w:lang w:val="da-DK"/>
        </w:rPr>
        <w:t>22</w:t>
      </w:r>
      <w:r w:rsidRPr="00875788">
        <w:rPr>
          <w:sz w:val="24"/>
          <w:lang w:val="da-DK"/>
        </w:rPr>
        <w:t>.</w:t>
      </w:r>
      <w:r w:rsidRPr="00531491">
        <w:rPr>
          <w:sz w:val="24"/>
          <w:lang w:val="da-DK"/>
        </w:rPr>
        <w:t>9</w:t>
      </w:r>
      <w:r w:rsidR="00531491">
        <w:rPr>
          <w:sz w:val="24"/>
          <w:lang w:val="da-DK"/>
        </w:rPr>
        <w:t>.</w:t>
      </w:r>
      <w:r w:rsidRPr="00531491">
        <w:rPr>
          <w:sz w:val="24"/>
          <w:lang w:val="da-DK"/>
        </w:rPr>
        <w:t>2021</w:t>
      </w:r>
      <w:r w:rsidRPr="00875788">
        <w:rPr>
          <w:sz w:val="24"/>
          <w:lang w:val="da-DK"/>
        </w:rPr>
        <w:t>, s. </w:t>
      </w:r>
      <w:r w:rsidRPr="00531491">
        <w:rPr>
          <w:sz w:val="24"/>
          <w:lang w:val="da-DK"/>
        </w:rPr>
        <w:t>2</w:t>
      </w:r>
      <w:r w:rsidRPr="00875788">
        <w:rPr>
          <w:sz w:val="24"/>
          <w:lang w:val="da-DK"/>
        </w:rPr>
        <w:t>.</w:t>
      </w:r>
    </w:p>
  </w:footnote>
  <w:footnote w:id="12">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EUT C </w:t>
      </w:r>
      <w:r w:rsidRPr="00531491">
        <w:rPr>
          <w:sz w:val="24"/>
          <w:lang w:val="da-DK"/>
        </w:rPr>
        <w:t>385</w:t>
      </w:r>
      <w:r w:rsidRPr="00875788">
        <w:rPr>
          <w:sz w:val="24"/>
          <w:lang w:val="da-DK"/>
        </w:rPr>
        <w:t xml:space="preserve"> af </w:t>
      </w:r>
      <w:r w:rsidRPr="00531491">
        <w:rPr>
          <w:sz w:val="24"/>
          <w:lang w:val="da-DK"/>
        </w:rPr>
        <w:t>22</w:t>
      </w:r>
      <w:r w:rsidRPr="00875788">
        <w:rPr>
          <w:sz w:val="24"/>
          <w:lang w:val="da-DK"/>
        </w:rPr>
        <w:t>.</w:t>
      </w:r>
      <w:r w:rsidRPr="00531491">
        <w:rPr>
          <w:sz w:val="24"/>
          <w:lang w:val="da-DK"/>
        </w:rPr>
        <w:t>9</w:t>
      </w:r>
      <w:r w:rsidRPr="00875788">
        <w:rPr>
          <w:sz w:val="24"/>
          <w:lang w:val="da-DK"/>
        </w:rPr>
        <w:t>.</w:t>
      </w:r>
      <w:r w:rsidRPr="00531491">
        <w:rPr>
          <w:sz w:val="24"/>
          <w:lang w:val="da-DK"/>
        </w:rPr>
        <w:t>2021</w:t>
      </w:r>
      <w:r w:rsidRPr="00875788">
        <w:rPr>
          <w:sz w:val="24"/>
          <w:lang w:val="da-DK"/>
        </w:rPr>
        <w:t xml:space="preserve">, s. </w:t>
      </w:r>
      <w:r w:rsidRPr="00531491">
        <w:rPr>
          <w:sz w:val="24"/>
          <w:lang w:val="da-DK"/>
        </w:rPr>
        <w:t>152</w:t>
      </w:r>
      <w:r w:rsidRPr="00875788">
        <w:rPr>
          <w:sz w:val="24"/>
          <w:lang w:val="da-DK"/>
        </w:rPr>
        <w:t>.</w:t>
      </w:r>
    </w:p>
  </w:footnote>
  <w:footnote w:id="13">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https://ec.europa.eu/eurostat/web/products-eurostat-news/w/ddn-</w:t>
      </w:r>
      <w:r w:rsidRPr="00531491">
        <w:rPr>
          <w:sz w:val="24"/>
          <w:lang w:val="da-DK"/>
        </w:rPr>
        <w:t>20230309</w:t>
      </w:r>
      <w:r w:rsidRPr="00875788">
        <w:rPr>
          <w:sz w:val="24"/>
          <w:lang w:val="da-DK"/>
        </w:rPr>
        <w:t>-</w:t>
      </w:r>
      <w:r w:rsidRPr="00531491">
        <w:rPr>
          <w:sz w:val="24"/>
          <w:lang w:val="da-DK"/>
        </w:rPr>
        <w:t>2</w:t>
      </w:r>
      <w:r w:rsidRPr="00875788">
        <w:rPr>
          <w:sz w:val="24"/>
          <w:lang w:val="da-DK"/>
        </w:rPr>
        <w:t>.</w:t>
      </w:r>
    </w:p>
  </w:footnote>
  <w:footnote w:id="14">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Europa-Parlamentets og Rådets forordning (EU) </w:t>
      </w:r>
      <w:r w:rsidRPr="00531491">
        <w:rPr>
          <w:sz w:val="24"/>
          <w:lang w:val="da-DK"/>
        </w:rPr>
        <w:t>2016</w:t>
      </w:r>
      <w:r w:rsidRPr="00875788">
        <w:rPr>
          <w:sz w:val="24"/>
          <w:lang w:val="da-DK"/>
        </w:rPr>
        <w:t>/</w:t>
      </w:r>
      <w:r w:rsidRPr="00531491">
        <w:rPr>
          <w:sz w:val="24"/>
          <w:lang w:val="da-DK"/>
        </w:rPr>
        <w:t>679</w:t>
      </w:r>
      <w:r w:rsidRPr="00875788">
        <w:rPr>
          <w:sz w:val="24"/>
          <w:lang w:val="da-DK"/>
        </w:rPr>
        <w:t xml:space="preserve"> af </w:t>
      </w:r>
      <w:r w:rsidRPr="00531491">
        <w:rPr>
          <w:sz w:val="24"/>
          <w:lang w:val="da-DK"/>
        </w:rPr>
        <w:t>27</w:t>
      </w:r>
      <w:r w:rsidRPr="00875788">
        <w:rPr>
          <w:sz w:val="24"/>
          <w:lang w:val="da-DK"/>
        </w:rPr>
        <w:t xml:space="preserve">. april </w:t>
      </w:r>
      <w:r w:rsidRPr="00531491">
        <w:rPr>
          <w:sz w:val="24"/>
          <w:lang w:val="da-DK"/>
        </w:rPr>
        <w:t>2016</w:t>
      </w:r>
      <w:r w:rsidRPr="00875788">
        <w:rPr>
          <w:sz w:val="24"/>
          <w:lang w:val="da-DK"/>
        </w:rPr>
        <w:t xml:space="preserve"> om beskyttelse af fysiske personer i forbindelse med behandling af personoplysninger og om fri udveksling af sådanne oplysninger og om ophævelse af direktiv </w:t>
      </w:r>
      <w:r w:rsidRPr="00531491">
        <w:rPr>
          <w:sz w:val="24"/>
          <w:lang w:val="da-DK"/>
        </w:rPr>
        <w:t>95</w:t>
      </w:r>
      <w:r w:rsidRPr="00875788">
        <w:rPr>
          <w:sz w:val="24"/>
          <w:lang w:val="da-DK"/>
        </w:rPr>
        <w:t>/</w:t>
      </w:r>
      <w:r w:rsidRPr="00531491">
        <w:rPr>
          <w:sz w:val="24"/>
          <w:lang w:val="da-DK"/>
        </w:rPr>
        <w:t>46</w:t>
      </w:r>
      <w:r w:rsidRPr="00875788">
        <w:rPr>
          <w:sz w:val="24"/>
          <w:lang w:val="da-DK"/>
        </w:rPr>
        <w:t xml:space="preserve">/EF </w:t>
      </w:r>
      <w:r w:rsidR="00531491">
        <w:rPr>
          <w:sz w:val="24"/>
          <w:lang w:val="da-DK"/>
        </w:rPr>
        <w:t>(</w:t>
      </w:r>
      <w:r w:rsidRPr="00875788">
        <w:rPr>
          <w:sz w:val="24"/>
          <w:lang w:val="da-DK"/>
        </w:rPr>
        <w:t xml:space="preserve">EUT L </w:t>
      </w:r>
      <w:r w:rsidRPr="00531491">
        <w:rPr>
          <w:sz w:val="24"/>
          <w:lang w:val="da-DK"/>
        </w:rPr>
        <w:t>119</w:t>
      </w:r>
      <w:r w:rsidRPr="00875788">
        <w:rPr>
          <w:sz w:val="24"/>
          <w:lang w:val="da-DK"/>
        </w:rPr>
        <w:t xml:space="preserve"> af </w:t>
      </w:r>
      <w:r w:rsidRPr="00531491">
        <w:rPr>
          <w:sz w:val="24"/>
          <w:lang w:val="da-DK"/>
        </w:rPr>
        <w:t>4</w:t>
      </w:r>
      <w:r w:rsidRPr="00875788">
        <w:rPr>
          <w:sz w:val="24"/>
          <w:lang w:val="da-DK"/>
        </w:rPr>
        <w:t>.</w:t>
      </w:r>
      <w:r w:rsidRPr="00531491">
        <w:rPr>
          <w:sz w:val="24"/>
          <w:lang w:val="da-DK"/>
        </w:rPr>
        <w:t>5</w:t>
      </w:r>
      <w:r w:rsidRPr="00875788">
        <w:rPr>
          <w:sz w:val="24"/>
          <w:lang w:val="da-DK"/>
        </w:rPr>
        <w:t>.</w:t>
      </w:r>
      <w:r w:rsidRPr="00531491">
        <w:rPr>
          <w:sz w:val="24"/>
          <w:lang w:val="da-DK"/>
        </w:rPr>
        <w:t>2016</w:t>
      </w:r>
      <w:r w:rsidRPr="00875788">
        <w:rPr>
          <w:sz w:val="24"/>
          <w:lang w:val="da-DK"/>
        </w:rPr>
        <w:t xml:space="preserve">, s. </w:t>
      </w:r>
      <w:r w:rsidRPr="00531491">
        <w:rPr>
          <w:sz w:val="24"/>
          <w:lang w:val="da-DK"/>
        </w:rPr>
        <w:t>1</w:t>
      </w:r>
      <w:r w:rsidR="00531491">
        <w:rPr>
          <w:sz w:val="24"/>
          <w:lang w:val="da-DK"/>
        </w:rPr>
        <w:t>)</w:t>
      </w:r>
      <w:r w:rsidRPr="00875788">
        <w:rPr>
          <w:sz w:val="24"/>
          <w:lang w:val="da-DK"/>
        </w:rPr>
        <w:t>.</w:t>
      </w:r>
    </w:p>
  </w:footnote>
  <w:footnote w:id="15">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 xml:space="preserve">Europa-Parlamentets og Rådets direktiv </w:t>
      </w:r>
      <w:r w:rsidRPr="00531491">
        <w:rPr>
          <w:sz w:val="24"/>
          <w:lang w:val="da-DK"/>
        </w:rPr>
        <w:t>2010</w:t>
      </w:r>
      <w:r w:rsidRPr="00875788">
        <w:rPr>
          <w:sz w:val="24"/>
          <w:lang w:val="da-DK"/>
        </w:rPr>
        <w:t>/</w:t>
      </w:r>
      <w:r w:rsidRPr="00531491">
        <w:rPr>
          <w:sz w:val="24"/>
          <w:lang w:val="da-DK"/>
        </w:rPr>
        <w:t>13</w:t>
      </w:r>
      <w:r w:rsidRPr="00875788">
        <w:rPr>
          <w:sz w:val="24"/>
          <w:lang w:val="da-DK"/>
        </w:rPr>
        <w:t xml:space="preserve">/EU af </w:t>
      </w:r>
      <w:r w:rsidRPr="00531491">
        <w:rPr>
          <w:sz w:val="24"/>
          <w:lang w:val="da-DK"/>
        </w:rPr>
        <w:t>10</w:t>
      </w:r>
      <w:r w:rsidRPr="00875788">
        <w:rPr>
          <w:sz w:val="24"/>
          <w:lang w:val="da-DK"/>
        </w:rPr>
        <w:t xml:space="preserve">. marts </w:t>
      </w:r>
      <w:r w:rsidRPr="00531491">
        <w:rPr>
          <w:sz w:val="24"/>
          <w:lang w:val="da-DK"/>
        </w:rPr>
        <w:t>2010</w:t>
      </w:r>
      <w:r w:rsidRPr="00875788">
        <w:rPr>
          <w:sz w:val="24"/>
          <w:lang w:val="da-DK"/>
        </w:rPr>
        <w:t xml:space="preserve"> om samordning af visse love og administrative bestemmelser i medlemsstaterne om udbud af audiovisuelle medietjenester (direktiv om audiovisuelle medietjenester) </w:t>
      </w:r>
      <w:r w:rsidR="00531491">
        <w:rPr>
          <w:sz w:val="24"/>
          <w:lang w:val="da-DK"/>
        </w:rPr>
        <w:t>(</w:t>
      </w:r>
      <w:r w:rsidRPr="00875788">
        <w:rPr>
          <w:sz w:val="24"/>
          <w:lang w:val="da-DK"/>
        </w:rPr>
        <w:t xml:space="preserve">EUT L </w:t>
      </w:r>
      <w:r w:rsidRPr="00531491">
        <w:rPr>
          <w:sz w:val="24"/>
          <w:lang w:val="da-DK"/>
        </w:rPr>
        <w:t>95</w:t>
      </w:r>
      <w:r w:rsidRPr="00875788">
        <w:rPr>
          <w:sz w:val="24"/>
          <w:lang w:val="da-DK"/>
        </w:rPr>
        <w:t xml:space="preserve"> af </w:t>
      </w:r>
      <w:r w:rsidRPr="00531491">
        <w:rPr>
          <w:sz w:val="24"/>
          <w:lang w:val="da-DK"/>
        </w:rPr>
        <w:t>15</w:t>
      </w:r>
      <w:r w:rsidRPr="00875788">
        <w:rPr>
          <w:sz w:val="24"/>
          <w:lang w:val="da-DK"/>
        </w:rPr>
        <w:t>.</w:t>
      </w:r>
      <w:r w:rsidRPr="00531491">
        <w:rPr>
          <w:sz w:val="24"/>
          <w:lang w:val="da-DK"/>
        </w:rPr>
        <w:t>4</w:t>
      </w:r>
      <w:r w:rsidRPr="00875788">
        <w:rPr>
          <w:sz w:val="24"/>
          <w:lang w:val="da-DK"/>
        </w:rPr>
        <w:t>.</w:t>
      </w:r>
      <w:r w:rsidRPr="00531491">
        <w:rPr>
          <w:sz w:val="24"/>
          <w:lang w:val="da-DK"/>
        </w:rPr>
        <w:t>2010</w:t>
      </w:r>
      <w:r w:rsidRPr="00875788">
        <w:rPr>
          <w:sz w:val="24"/>
          <w:lang w:val="da-DK"/>
        </w:rPr>
        <w:t xml:space="preserve">, s. </w:t>
      </w:r>
      <w:r w:rsidRPr="00531491">
        <w:rPr>
          <w:sz w:val="24"/>
          <w:lang w:val="da-DK"/>
        </w:rPr>
        <w:t>1</w:t>
      </w:r>
      <w:r w:rsidR="00531491">
        <w:rPr>
          <w:sz w:val="24"/>
          <w:lang w:val="da-DK"/>
        </w:rPr>
        <w:t>)</w:t>
      </w:r>
      <w:r w:rsidRPr="00875788">
        <w:rPr>
          <w:sz w:val="24"/>
          <w:lang w:val="da-DK"/>
        </w:rPr>
        <w:t>.</w:t>
      </w:r>
    </w:p>
  </w:footnote>
  <w:footnote w:id="16">
    <w:p w:rsidR="006304FE" w:rsidRPr="00875788" w:rsidRDefault="006304FE" w:rsidP="00875788">
      <w:pPr>
        <w:pStyle w:val="FootnoteText"/>
        <w:ind w:left="567" w:hanging="567"/>
        <w:rPr>
          <w:sz w:val="24"/>
          <w:lang w:val="da-DK"/>
        </w:rPr>
      </w:pPr>
      <w:r w:rsidRPr="00875788">
        <w:rPr>
          <w:rStyle w:val="FootnoteReference"/>
          <w:sz w:val="24"/>
          <w:lang w:val="da-DK"/>
        </w:rPr>
        <w:footnoteRef/>
      </w:r>
      <w:r w:rsidR="00875788" w:rsidRPr="00875788">
        <w:rPr>
          <w:sz w:val="24"/>
          <w:lang w:val="da-DK"/>
        </w:rPr>
        <w:t xml:space="preserve"> </w:t>
      </w:r>
      <w:r w:rsidR="00875788" w:rsidRPr="00875788">
        <w:rPr>
          <w:sz w:val="24"/>
          <w:lang w:val="da-DK"/>
        </w:rPr>
        <w:tab/>
      </w:r>
      <w:r w:rsidRPr="00875788">
        <w:rPr>
          <w:sz w:val="24"/>
          <w:lang w:val="da-DK"/>
        </w:rPr>
        <w:t>Artikel </w:t>
      </w:r>
      <w:r w:rsidRPr="00531491">
        <w:rPr>
          <w:sz w:val="24"/>
          <w:lang w:val="da-DK"/>
        </w:rPr>
        <w:t>8</w:t>
      </w:r>
      <w:r w:rsidRPr="00875788">
        <w:rPr>
          <w:sz w:val="24"/>
          <w:lang w:val="da-DK"/>
        </w:rPr>
        <w:t xml:space="preserve"> i forordning (EU) </w:t>
      </w:r>
      <w:r w:rsidRPr="00531491">
        <w:rPr>
          <w:sz w:val="24"/>
          <w:lang w:val="da-DK"/>
        </w:rPr>
        <w:t>2021</w:t>
      </w:r>
      <w:r w:rsidRPr="00875788">
        <w:rPr>
          <w:sz w:val="24"/>
          <w:lang w:val="da-DK"/>
        </w:rPr>
        <w:t>/</w:t>
      </w:r>
      <w:r w:rsidRPr="00531491">
        <w:rPr>
          <w:sz w:val="24"/>
          <w:lang w:val="da-DK"/>
        </w:rPr>
        <w:t>818</w:t>
      </w:r>
      <w:r w:rsidRPr="00875788">
        <w:rPr>
          <w:sz w:val="24"/>
          <w:lang w:val="da-DK"/>
        </w:rPr>
        <w:t xml:space="preserve"> om oprettelse af programmet Et Kreativt Europa (</w:t>
      </w:r>
      <w:r w:rsidRPr="00531491">
        <w:rPr>
          <w:sz w:val="24"/>
          <w:lang w:val="da-DK"/>
        </w:rPr>
        <w:t>2021</w:t>
      </w:r>
      <w:r w:rsidRPr="00875788">
        <w:rPr>
          <w:sz w:val="24"/>
          <w:lang w:val="da-DK"/>
        </w:rPr>
        <w:t>-</w:t>
      </w:r>
      <w:r w:rsidRPr="00531491">
        <w:rPr>
          <w:sz w:val="24"/>
          <w:lang w:val="da-DK"/>
        </w:rPr>
        <w:t>2027</w:t>
      </w:r>
      <w:r w:rsidRPr="0087578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57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57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57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DA"/>
    <w:docVar w:name="dvnumam" w:val="0"/>
    <w:docVar w:name="dvpe" w:val="750.020"/>
    <w:docVar w:name="dvrapporteur" w:val="Ordfører: "/>
    <w:docVar w:name="dvtitre" w:val="Europa-Parlamentets beslutning af xx. januar 2024 om gennemførelse af programmet Et Kreativt Europa 2021-2027(2023/2003(INI))"/>
  </w:docVars>
  <w:rsids>
    <w:rsidRoot w:val="00CF14A9"/>
    <w:rsid w:val="00002272"/>
    <w:rsid w:val="00064002"/>
    <w:rsid w:val="000677B9"/>
    <w:rsid w:val="000831BA"/>
    <w:rsid w:val="000A42CC"/>
    <w:rsid w:val="000E7DD9"/>
    <w:rsid w:val="0010095E"/>
    <w:rsid w:val="00125B37"/>
    <w:rsid w:val="0014476B"/>
    <w:rsid w:val="00187494"/>
    <w:rsid w:val="001F32AE"/>
    <w:rsid w:val="002767FF"/>
    <w:rsid w:val="002B18FE"/>
    <w:rsid w:val="002B5493"/>
    <w:rsid w:val="00343214"/>
    <w:rsid w:val="0034375B"/>
    <w:rsid w:val="00361C00"/>
    <w:rsid w:val="003628F5"/>
    <w:rsid w:val="00395FA1"/>
    <w:rsid w:val="003E15D4"/>
    <w:rsid w:val="00411CCE"/>
    <w:rsid w:val="0041666E"/>
    <w:rsid w:val="00421060"/>
    <w:rsid w:val="0045268E"/>
    <w:rsid w:val="00471C19"/>
    <w:rsid w:val="004867E3"/>
    <w:rsid w:val="00494A28"/>
    <w:rsid w:val="004C0004"/>
    <w:rsid w:val="004C5D52"/>
    <w:rsid w:val="0050519A"/>
    <w:rsid w:val="005072A1"/>
    <w:rsid w:val="00514517"/>
    <w:rsid w:val="00531491"/>
    <w:rsid w:val="00545827"/>
    <w:rsid w:val="00560270"/>
    <w:rsid w:val="005C2568"/>
    <w:rsid w:val="006037C0"/>
    <w:rsid w:val="006304F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78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4A9"/>
    <w:rsid w:val="00D058B8"/>
    <w:rsid w:val="00D56C11"/>
    <w:rsid w:val="00D834A0"/>
    <w:rsid w:val="00D872DF"/>
    <w:rsid w:val="00D91E21"/>
    <w:rsid w:val="00D9383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DFE01"/>
  <w15:chartTrackingRefBased/>
  <w15:docId w15:val="{3D87BF12-8036-4A7A-B274-B7CCC749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304FE"/>
    <w:pPr>
      <w:spacing w:after="240"/>
      <w:ind w:left="567" w:hanging="567"/>
    </w:pPr>
  </w:style>
  <w:style w:type="paragraph" w:customStyle="1" w:styleId="EPComma">
    <w:name w:val="EPComma"/>
    <w:basedOn w:val="Normal"/>
    <w:rsid w:val="006304FE"/>
    <w:pPr>
      <w:spacing w:before="480" w:after="240"/>
    </w:pPr>
  </w:style>
  <w:style w:type="paragraph" w:styleId="BalloonText">
    <w:name w:val="Balloon Text"/>
    <w:basedOn w:val="Normal"/>
    <w:link w:val="BalloonTextChar"/>
    <w:rsid w:val="003628F5"/>
    <w:rPr>
      <w:rFonts w:ascii="Segoe UI" w:hAnsi="Segoe UI" w:cs="Segoe UI"/>
      <w:sz w:val="18"/>
      <w:szCs w:val="18"/>
    </w:rPr>
  </w:style>
  <w:style w:type="character" w:customStyle="1" w:styleId="BalloonTextChar">
    <w:name w:val="Balloon Text Char"/>
    <w:basedOn w:val="DefaultParagraphFont"/>
    <w:link w:val="BalloonText"/>
    <w:rsid w:val="003628F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D84F7-3B09-4969-B946-66D445BFB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4964</Words>
  <Characters>31096</Characters>
  <Application>Microsoft Office Word</Application>
  <DocSecurity>0</DocSecurity>
  <Lines>647</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2024-01-16T11:29:00Z</dcterms:created>
  <dcterms:modified xsi:type="dcterms:W3CDTF">2024-01-16T11:29:00Z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A9-0425/2023</vt:lpwstr>
  </property>
  <property fmtid="{D5CDD505-2E9C-101B-9397-08002B2CF9AE}" pid="4" name="&lt;Type&gt;">
    <vt:lpwstr>RR</vt:lpwstr>
  </property>
</Properties>
</file>