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324D9" w:rsidTr="0010095E">
        <w:trPr>
          <w:trHeight w:hRule="exact" w:val="1418"/>
        </w:trPr>
        <w:tc>
          <w:tcPr>
            <w:tcW w:w="6804" w:type="dxa"/>
            <w:shd w:val="clear" w:color="auto" w:fill="auto"/>
            <w:vAlign w:val="center"/>
          </w:tcPr>
          <w:p w:rsidR="00751A4A" w:rsidRPr="00E324D9" w:rsidRDefault="008B74E3" w:rsidP="0010095E">
            <w:pPr>
              <w:pStyle w:val="EPName"/>
            </w:pPr>
            <w:r w:rsidRPr="00E324D9">
              <w:t>Euroopan parlamentti</w:t>
            </w:r>
          </w:p>
          <w:p w:rsidR="00751A4A" w:rsidRPr="00E324D9" w:rsidRDefault="00817416" w:rsidP="00756632">
            <w:pPr>
              <w:pStyle w:val="EPTerm"/>
              <w:rPr>
                <w:rStyle w:val="HideTWBExt"/>
                <w:noProof w:val="0"/>
                <w:vanish w:val="0"/>
                <w:color w:val="auto"/>
              </w:rPr>
            </w:pPr>
            <w:r w:rsidRPr="00E324D9">
              <w:t>2019-2024</w:t>
            </w:r>
          </w:p>
        </w:tc>
        <w:tc>
          <w:tcPr>
            <w:tcW w:w="2268" w:type="dxa"/>
            <w:shd w:val="clear" w:color="auto" w:fill="auto"/>
          </w:tcPr>
          <w:p w:rsidR="00751A4A" w:rsidRPr="00E324D9" w:rsidRDefault="00187494" w:rsidP="0010095E">
            <w:pPr>
              <w:pStyle w:val="EPLogo"/>
            </w:pPr>
            <w:r w:rsidRPr="00E324D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324D9" w:rsidRDefault="00D058B8" w:rsidP="004C5D52">
      <w:pPr>
        <w:pStyle w:val="LineTop"/>
      </w:pPr>
    </w:p>
    <w:p w:rsidR="00680577" w:rsidRPr="00E324D9" w:rsidRDefault="008B74E3" w:rsidP="00680577">
      <w:pPr>
        <w:pStyle w:val="EPBodyTA1"/>
      </w:pPr>
      <w:r w:rsidRPr="00E324D9">
        <w:t>HYVÄKSYTYT TEKSTIT</w:t>
      </w:r>
    </w:p>
    <w:p w:rsidR="00D058B8" w:rsidRPr="00E324D9" w:rsidRDefault="00D058B8" w:rsidP="00D058B8">
      <w:pPr>
        <w:pStyle w:val="LineBottom"/>
      </w:pPr>
    </w:p>
    <w:p w:rsidR="008B74E3" w:rsidRPr="00E324D9" w:rsidRDefault="008B74E3" w:rsidP="008B74E3">
      <w:pPr>
        <w:pStyle w:val="ATHeading1"/>
      </w:pPr>
      <w:bookmarkStart w:id="0" w:name="TANumber"/>
      <w:r w:rsidRPr="00E324D9">
        <w:t>P9_</w:t>
      </w:r>
      <w:proofErr w:type="gramStart"/>
      <w:r w:rsidRPr="00E324D9">
        <w:t>TA(</w:t>
      </w:r>
      <w:proofErr w:type="gramEnd"/>
      <w:r w:rsidRPr="00E324D9">
        <w:t>2024)000</w:t>
      </w:r>
      <w:r w:rsidR="00D313C0">
        <w:t>8</w:t>
      </w:r>
      <w:bookmarkEnd w:id="0"/>
    </w:p>
    <w:p w:rsidR="008B74E3" w:rsidRPr="00E324D9" w:rsidRDefault="008B74E3" w:rsidP="008B74E3">
      <w:pPr>
        <w:pStyle w:val="ATHeading2"/>
      </w:pPr>
      <w:bookmarkStart w:id="1" w:name="title"/>
      <w:r w:rsidRPr="00E324D9">
        <w:t>Vuosien 2021–2027 Luova Eurooppa -ohjelman täytäntöönpano</w:t>
      </w:r>
      <w:bookmarkEnd w:id="1"/>
    </w:p>
    <w:p w:rsidR="008B74E3" w:rsidRPr="00E324D9" w:rsidRDefault="008B74E3" w:rsidP="008B74E3">
      <w:pPr>
        <w:rPr>
          <w:i/>
          <w:vanish/>
        </w:rPr>
      </w:pPr>
      <w:r w:rsidRPr="00E324D9">
        <w:rPr>
          <w:i/>
        </w:rPr>
        <w:fldChar w:fldCharType="begin"/>
      </w:r>
      <w:r w:rsidRPr="00E324D9">
        <w:rPr>
          <w:i/>
        </w:rPr>
        <w:instrText xml:space="preserve"> TC"(</w:instrText>
      </w:r>
      <w:bookmarkStart w:id="2" w:name="DocNumber"/>
      <w:r w:rsidRPr="00E324D9">
        <w:rPr>
          <w:i/>
        </w:rPr>
        <w:instrText>A9-0425/2023</w:instrText>
      </w:r>
      <w:bookmarkEnd w:id="2"/>
      <w:r w:rsidRPr="00E324D9">
        <w:rPr>
          <w:i/>
        </w:rPr>
        <w:instrText xml:space="preserve"> - Esittelijä: </w:instrText>
      </w:r>
      <w:proofErr w:type="spellStart"/>
      <w:r w:rsidRPr="00E324D9">
        <w:rPr>
          <w:i/>
        </w:rPr>
        <w:instrText>Massimiliano</w:instrText>
      </w:r>
      <w:proofErr w:type="spellEnd"/>
      <w:r w:rsidRPr="00E324D9">
        <w:rPr>
          <w:i/>
        </w:rPr>
        <w:instrText xml:space="preserve"> </w:instrText>
      </w:r>
      <w:proofErr w:type="spellStart"/>
      <w:r w:rsidRPr="00E324D9">
        <w:rPr>
          <w:i/>
        </w:rPr>
        <w:instrText>Smeriglio</w:instrText>
      </w:r>
      <w:proofErr w:type="spellEnd"/>
      <w:r w:rsidRPr="00E324D9">
        <w:rPr>
          <w:i/>
        </w:rPr>
        <w:instrText xml:space="preserve">)"\l3 \n&gt; \* MERGEFORMAT </w:instrText>
      </w:r>
      <w:r w:rsidRPr="00E324D9">
        <w:rPr>
          <w:i/>
        </w:rPr>
        <w:fldChar w:fldCharType="end"/>
      </w:r>
    </w:p>
    <w:p w:rsidR="008B74E3" w:rsidRPr="00E324D9" w:rsidRDefault="008B74E3" w:rsidP="008B74E3">
      <w:pPr>
        <w:rPr>
          <w:vanish/>
        </w:rPr>
      </w:pPr>
      <w:bookmarkStart w:id="3" w:name="Commission"/>
      <w:r w:rsidRPr="00E324D9">
        <w:rPr>
          <w:vanish/>
        </w:rPr>
        <w:t>Kulttuuri- ja koulutusvaliokunta</w:t>
      </w:r>
      <w:bookmarkEnd w:id="3"/>
    </w:p>
    <w:p w:rsidR="008B74E3" w:rsidRPr="00E324D9" w:rsidRDefault="008B74E3" w:rsidP="008B74E3">
      <w:pPr>
        <w:rPr>
          <w:vanish/>
        </w:rPr>
      </w:pPr>
      <w:bookmarkStart w:id="4" w:name="PE"/>
      <w:r w:rsidRPr="00E324D9">
        <w:rPr>
          <w:vanish/>
        </w:rPr>
        <w:t>PE750.020</w:t>
      </w:r>
      <w:bookmarkEnd w:id="4"/>
    </w:p>
    <w:p w:rsidR="008B74E3" w:rsidRPr="00E324D9" w:rsidRDefault="008B74E3" w:rsidP="008B74E3">
      <w:pPr>
        <w:pStyle w:val="ATHeading3"/>
      </w:pPr>
      <w:bookmarkStart w:id="5" w:name="Sujet"/>
      <w:r w:rsidRPr="00E324D9">
        <w:t xml:space="preserve">Euroopan parlamentin päätöslauselma </w:t>
      </w:r>
      <w:r w:rsidR="00D313C0">
        <w:t>16</w:t>
      </w:r>
      <w:r w:rsidRPr="00E324D9">
        <w:t>. tammikuuta 2024 vuosien 2021–2027 Luova Eurooppa -ohjelman täytäntöönpanosta</w:t>
      </w:r>
      <w:bookmarkEnd w:id="5"/>
      <w:r w:rsidRPr="00E324D9">
        <w:t xml:space="preserve"> </w:t>
      </w:r>
      <w:bookmarkStart w:id="6" w:name="References"/>
      <w:r w:rsidRPr="00E324D9">
        <w:t>(2023/2003(INI))</w:t>
      </w:r>
      <w:bookmarkEnd w:id="6"/>
    </w:p>
    <w:p w:rsidR="00237A77" w:rsidRPr="00E324D9" w:rsidRDefault="00237A77" w:rsidP="00237A77">
      <w:pPr>
        <w:pStyle w:val="EPComma"/>
        <w:widowControl/>
      </w:pPr>
      <w:bookmarkStart w:id="7" w:name="TextBodyBegin"/>
      <w:bookmarkEnd w:id="7"/>
      <w:r w:rsidRPr="00E324D9">
        <w:rPr>
          <w:i/>
          <w:iCs/>
        </w:rPr>
        <w:t>Euroopan parlamentti</w:t>
      </w:r>
      <w:r w:rsidRPr="00E324D9">
        <w:t>, joka</w:t>
      </w:r>
    </w:p>
    <w:p w:rsidR="00237A77" w:rsidRPr="00E324D9" w:rsidRDefault="00237A77" w:rsidP="00237A77">
      <w:pPr>
        <w:pStyle w:val="NormalHanging12a"/>
        <w:widowControl/>
      </w:pPr>
      <w:r w:rsidRPr="00E324D9">
        <w:t>–</w:t>
      </w:r>
      <w:r w:rsidRPr="00E324D9">
        <w:tab/>
        <w:t xml:space="preserve">ottaa huomioon Euroopan unionin toiminnasta tehdyn sopimuksen ja erityisesti sen 167 artiklan, 173 artiklan 3 kohdan ja 294 </w:t>
      </w:r>
      <w:bookmarkStart w:id="8" w:name="_GoBack"/>
      <w:bookmarkEnd w:id="8"/>
      <w:r w:rsidRPr="00E324D9">
        <w:t>artiklan 7 kohdan,</w:t>
      </w:r>
    </w:p>
    <w:p w:rsidR="00237A77" w:rsidRPr="00E324D9" w:rsidRDefault="00237A77" w:rsidP="00237A77">
      <w:pPr>
        <w:pStyle w:val="NormalHanging12a"/>
        <w:widowControl/>
      </w:pPr>
      <w:r w:rsidRPr="00E324D9">
        <w:t>–</w:t>
      </w:r>
      <w:r w:rsidRPr="00E324D9">
        <w:tab/>
        <w:t>ottaa huomioon Luova Eurooppa -ohjelman (2021–2027) perustamisesta 20. toukokuuta 2021 annetun Euroopan parlamentin ja neuvoston asetuksen (EU) 2021/818</w:t>
      </w:r>
      <w:r w:rsidRPr="00E324D9">
        <w:rPr>
          <w:rStyle w:val="FootnoteReference"/>
        </w:rPr>
        <w:footnoteReference w:id="1"/>
      </w:r>
      <w:r w:rsidRPr="00E324D9">
        <w:t>,</w:t>
      </w:r>
    </w:p>
    <w:p w:rsidR="00237A77" w:rsidRPr="00E324D9" w:rsidRDefault="00237A77" w:rsidP="00237A77">
      <w:pPr>
        <w:pStyle w:val="NormalHanging12a"/>
        <w:widowControl/>
      </w:pPr>
      <w:r w:rsidRPr="00E324D9">
        <w:t>–</w:t>
      </w:r>
      <w:r w:rsidRPr="00E324D9">
        <w:tab/>
        <w:t>ottaa huomioon Luova Eurooppa -ohjelman (2014–2020) perustamisesta 11. joulukuuta 2013 annetun Euroopan parlamentin ja neuvoston asetuksen (EU) N:o 1295/2013</w:t>
      </w:r>
      <w:r w:rsidRPr="00E324D9">
        <w:rPr>
          <w:rStyle w:val="FootnoteReference"/>
          <w:color w:val="000000"/>
          <w:szCs w:val="24"/>
        </w:rPr>
        <w:footnoteReference w:id="2"/>
      </w:r>
      <w:r w:rsidRPr="00E324D9">
        <w:t>,</w:t>
      </w:r>
    </w:p>
    <w:p w:rsidR="00237A77" w:rsidRPr="00E324D9" w:rsidRDefault="00237A77" w:rsidP="00237A77">
      <w:pPr>
        <w:pStyle w:val="NormalHanging12a"/>
        <w:widowControl/>
      </w:pPr>
      <w:r w:rsidRPr="00E324D9">
        <w:t>–</w:t>
      </w:r>
      <w:r w:rsidRPr="00E324D9">
        <w:tab/>
        <w:t xml:space="preserve">ottaa huomioon 5. toukokuuta 2018 annetun komission ehdotuksen Euroopan parlamentin ja neuvoston asetukseksi Luova Eurooppa -ohjelman perustamisesta (2021–2027) ja asetuksen (EU) </w:t>
      </w:r>
      <w:proofErr w:type="gramStart"/>
      <w:r w:rsidRPr="00E324D9">
        <w:t>N:o</w:t>
      </w:r>
      <w:proofErr w:type="gramEnd"/>
      <w:r w:rsidRPr="00E324D9">
        <w:t xml:space="preserve"> 1295/2013 kumoamisesta (COM(2018)0366),</w:t>
      </w:r>
    </w:p>
    <w:p w:rsidR="00237A77" w:rsidRPr="00E324D9" w:rsidRDefault="00237A77" w:rsidP="00237A77">
      <w:pPr>
        <w:pStyle w:val="NormalHanging12a"/>
        <w:widowControl/>
      </w:pPr>
      <w:r w:rsidRPr="00E324D9">
        <w:t>–</w:t>
      </w:r>
      <w:r w:rsidRPr="00E324D9">
        <w:tab/>
        <w:t>ottaa huomioon ensimmäisessä käsittelyssä 28. maaliskuuta 2019 vahvistamansa kannan ehdotuksesta Euroopan parlamentin ja neuvoston asetukseksi Luova Eurooppa -ohjelman perustamisesta (2021–2027) ja asetuksen (EU) N:o 1295/2013 kumoamisesta</w:t>
      </w:r>
      <w:r w:rsidRPr="00E324D9">
        <w:rPr>
          <w:rStyle w:val="FootnoteReference"/>
          <w:color w:val="000000"/>
        </w:rPr>
        <w:footnoteReference w:id="3"/>
      </w:r>
      <w:r w:rsidRPr="00E324D9">
        <w:t>,</w:t>
      </w:r>
    </w:p>
    <w:p w:rsidR="00237A77" w:rsidRPr="00E324D9" w:rsidRDefault="00237A77" w:rsidP="00237A77">
      <w:pPr>
        <w:pStyle w:val="NormalHanging12a"/>
        <w:widowControl/>
      </w:pPr>
      <w:r w:rsidRPr="00E324D9">
        <w:t>–</w:t>
      </w:r>
      <w:r w:rsidRPr="00E324D9">
        <w:tab/>
        <w:t>ottaa huomioon Euroopan talous- ja sosiaalikomitean 12. joulukuuta 2018 antaman lausunnon aiheesta ”Ehdotus Euroopan parlamentin ja neuvoston asetukseksi Luova Eurooppa -ohjelman perustamisesta (2021–2027) ja asetuksen (EU) N:o 1295/2013 kumoamisesta)”</w:t>
      </w:r>
      <w:r w:rsidRPr="00E324D9">
        <w:rPr>
          <w:rStyle w:val="FootnoteReference"/>
        </w:rPr>
        <w:footnoteReference w:id="4"/>
      </w:r>
      <w:r w:rsidRPr="00E324D9">
        <w:t>,</w:t>
      </w:r>
    </w:p>
    <w:p w:rsidR="00237A77" w:rsidRPr="00E324D9" w:rsidRDefault="00237A77" w:rsidP="00237A77">
      <w:pPr>
        <w:pStyle w:val="NormalHanging12a"/>
        <w:widowControl/>
      </w:pPr>
      <w:r w:rsidRPr="00E324D9">
        <w:lastRenderedPageBreak/>
        <w:t>–</w:t>
      </w:r>
      <w:r w:rsidRPr="00E324D9">
        <w:tab/>
        <w:t>ottaa huomioon Euroopan alueiden komitean 6. helmikuuta 2019 antaman lausunnon aiheesta ”Luova Eurooppa ja Euroopan uusi kulttuuriohjelma”</w:t>
      </w:r>
      <w:r w:rsidRPr="00E324D9">
        <w:rPr>
          <w:rStyle w:val="FootnoteReference"/>
          <w:color w:val="000000"/>
          <w:szCs w:val="24"/>
        </w:rPr>
        <w:footnoteReference w:id="5"/>
      </w:r>
      <w:r w:rsidRPr="00E324D9">
        <w:t>,</w:t>
      </w:r>
    </w:p>
    <w:p w:rsidR="00237A77" w:rsidRPr="00E324D9" w:rsidRDefault="00237A77" w:rsidP="00237A77">
      <w:pPr>
        <w:pStyle w:val="NormalHanging12a"/>
        <w:widowControl/>
      </w:pPr>
      <w:r w:rsidRPr="00E324D9">
        <w:t>–</w:t>
      </w:r>
      <w:r w:rsidRPr="00E324D9">
        <w:tab/>
        <w:t>ottaa huomioon 30. huhtikuuta 2018 annetun komission kertomuksen ”Luova Eurooppa -ohjelman (2014–2020) väliarviointi” (</w:t>
      </w:r>
      <w:proofErr w:type="gramStart"/>
      <w:r w:rsidRPr="00E324D9">
        <w:t>COM(</w:t>
      </w:r>
      <w:proofErr w:type="gramEnd"/>
      <w:r w:rsidRPr="00E324D9">
        <w:t>2018)0248),</w:t>
      </w:r>
    </w:p>
    <w:p w:rsidR="00237A77" w:rsidRPr="00E324D9" w:rsidRDefault="00237A77" w:rsidP="00237A77">
      <w:pPr>
        <w:pStyle w:val="NormalHanging12a"/>
        <w:widowControl/>
      </w:pPr>
      <w:r w:rsidRPr="00E324D9">
        <w:t>–</w:t>
      </w:r>
      <w:r w:rsidRPr="00E324D9">
        <w:tab/>
        <w:t xml:space="preserve">ottaa huomioon 5. kesäkuuta 2023 annetun komission täytäntöönpanopäätöksen </w:t>
      </w:r>
      <w:proofErr w:type="gramStart"/>
      <w:r w:rsidRPr="00E324D9">
        <w:t>C(</w:t>
      </w:r>
      <w:proofErr w:type="gramEnd"/>
      <w:r w:rsidRPr="00E324D9">
        <w:t>2023)3227 Luova Eurooppa -ohjelman rahoituksesta vuosiksi 2021–2025 ja vuosien 2021, 2022 ja 2023 työohjelmien hyväksymisestä annetun täytäntöönpanopäätöksen C(2021)3563 muuttamisesta,</w:t>
      </w:r>
    </w:p>
    <w:p w:rsidR="00237A77" w:rsidRPr="00E324D9" w:rsidRDefault="00237A77" w:rsidP="00237A77">
      <w:pPr>
        <w:pStyle w:val="NormalHanging12a"/>
        <w:widowControl/>
      </w:pPr>
      <w:r w:rsidRPr="00E324D9">
        <w:t>–</w:t>
      </w:r>
      <w:r w:rsidRPr="00E324D9">
        <w:tab/>
        <w:t xml:space="preserve">ottaa huomioon 31. elokuuta 2022 annetun komission täytäntöönpanopäätöksen </w:t>
      </w:r>
      <w:proofErr w:type="gramStart"/>
      <w:r w:rsidRPr="00E324D9">
        <w:t>C(</w:t>
      </w:r>
      <w:proofErr w:type="gramEnd"/>
      <w:r w:rsidRPr="00E324D9">
        <w:t>2022)6138 Luova Eurooppa -ohjelman rahoituksesta vuosiksi 2021–2023 ja vuosien 2021 ja 2022 työohjelmien hyväksymisestä annetun täytäntöönpanopäätöksen C(2021)3563 muuttamisesta,</w:t>
      </w:r>
    </w:p>
    <w:p w:rsidR="00237A77" w:rsidRPr="00E324D9" w:rsidRDefault="00237A77" w:rsidP="00237A77">
      <w:pPr>
        <w:pStyle w:val="NormalHanging12a"/>
        <w:widowControl/>
      </w:pPr>
      <w:r w:rsidRPr="00E324D9">
        <w:t>–</w:t>
      </w:r>
      <w:r w:rsidRPr="00E324D9">
        <w:tab/>
        <w:t xml:space="preserve">ottaa huomioon 26. toukokuuta 2021 annetun komission täytäntöönpanopäätöksen </w:t>
      </w:r>
      <w:proofErr w:type="gramStart"/>
      <w:r w:rsidRPr="00E324D9">
        <w:t>C(</w:t>
      </w:r>
      <w:proofErr w:type="gramEnd"/>
      <w:r w:rsidRPr="00E324D9">
        <w:t>2021)3563 Luova Eurooppa -ohjelman toteuttamista koskevan vuoden 2021 työohjelman hyväksymisestä,</w:t>
      </w:r>
    </w:p>
    <w:p w:rsidR="00237A77" w:rsidRPr="00E324D9" w:rsidRDefault="00237A77" w:rsidP="00237A77">
      <w:pPr>
        <w:pStyle w:val="NormalHanging12a"/>
        <w:widowControl/>
      </w:pPr>
      <w:r w:rsidRPr="00E324D9">
        <w:t>–</w:t>
      </w:r>
      <w:r w:rsidRPr="00E324D9">
        <w:tab/>
        <w:t>ottaa huomioon komission laatiman Luova Eurooppa -ohjelman toteuttamista koskevan vuoden 2022 työohjelman,</w:t>
      </w:r>
    </w:p>
    <w:p w:rsidR="00237A77" w:rsidRPr="00E324D9" w:rsidRDefault="00237A77" w:rsidP="00237A77">
      <w:pPr>
        <w:pStyle w:val="NormalHanging12a"/>
        <w:widowControl/>
      </w:pPr>
      <w:r w:rsidRPr="00E324D9">
        <w:t>–</w:t>
      </w:r>
      <w:r w:rsidRPr="00E324D9">
        <w:tab/>
        <w:t>ottaa huomioon komission laatiman Luova Eurooppa -ohjelman toteuttamista koskevan vuoden 2021 työohjelman,</w:t>
      </w:r>
    </w:p>
    <w:p w:rsidR="00237A77" w:rsidRPr="00E324D9" w:rsidRDefault="00237A77" w:rsidP="00237A77">
      <w:pPr>
        <w:pStyle w:val="NormalHanging12a"/>
        <w:widowControl/>
      </w:pPr>
      <w:r w:rsidRPr="00E324D9">
        <w:t>–</w:t>
      </w:r>
      <w:r w:rsidRPr="00E324D9">
        <w:tab/>
        <w:t xml:space="preserve">ottaa huomioon 11. heinäkuuta 2023 annetun komission tiedonannon ”Web </w:t>
      </w:r>
      <w:proofErr w:type="gramStart"/>
      <w:r w:rsidRPr="00E324D9">
        <w:t>4.0:aa</w:t>
      </w:r>
      <w:proofErr w:type="gramEnd"/>
      <w:r w:rsidRPr="00E324D9">
        <w:t xml:space="preserve"> ja virtuaalimaailmoja koskeva EU:n aloite: kärjessä kohti seuraavaa teknologista siirtymää” (COM(2023)0442),</w:t>
      </w:r>
    </w:p>
    <w:p w:rsidR="00237A77" w:rsidRPr="00E324D9" w:rsidRDefault="00237A77" w:rsidP="00237A77">
      <w:pPr>
        <w:pStyle w:val="NormalHanging12a"/>
        <w:widowControl/>
      </w:pPr>
      <w:r w:rsidRPr="00E324D9">
        <w:t>–</w:t>
      </w:r>
      <w:r w:rsidRPr="00E324D9">
        <w:tab/>
        <w:t>ottaa huomioon 3. joulukuuta 2020 annetun komission tiedonannon ”Euroopan media-ala digitaalisella vuosikymmenellä: elpymistä ja muutosta tukeva toimintasuunnitelma” (</w:t>
      </w:r>
      <w:proofErr w:type="gramStart"/>
      <w:r w:rsidRPr="00E324D9">
        <w:t>COM(</w:t>
      </w:r>
      <w:proofErr w:type="gramEnd"/>
      <w:r w:rsidRPr="00E324D9">
        <w:t>2020)0784),</w:t>
      </w:r>
    </w:p>
    <w:p w:rsidR="00237A77" w:rsidRPr="00E324D9" w:rsidRDefault="00237A77" w:rsidP="00237A77">
      <w:pPr>
        <w:pStyle w:val="NormalHanging12a"/>
        <w:widowControl/>
      </w:pPr>
      <w:r w:rsidRPr="00E324D9">
        <w:t>–</w:t>
      </w:r>
      <w:r w:rsidRPr="00E324D9">
        <w:tab/>
        <w:t>ottaa huomioon 22. toukokuuta 2018 annetun komission tiedonannon ”Euroopan uusi kulttuuriohjelma” (</w:t>
      </w:r>
      <w:proofErr w:type="gramStart"/>
      <w:r w:rsidRPr="00E324D9">
        <w:t>COM(</w:t>
      </w:r>
      <w:proofErr w:type="gramEnd"/>
      <w:r w:rsidRPr="00E324D9">
        <w:t>2018)0267),</w:t>
      </w:r>
    </w:p>
    <w:p w:rsidR="00237A77" w:rsidRPr="00E324D9" w:rsidRDefault="00237A77" w:rsidP="00237A77">
      <w:pPr>
        <w:pStyle w:val="NormalHanging12a"/>
        <w:widowControl/>
      </w:pPr>
      <w:r w:rsidRPr="00E324D9">
        <w:t>–</w:t>
      </w:r>
      <w:r w:rsidRPr="00E324D9">
        <w:tab/>
        <w:t>ottaa huomioon 7. joulukuuta 2022 annetun neuvoston päätöslauselman EU:n kulttuurialan työsuunnitelmasta 2023–2026</w:t>
      </w:r>
      <w:r w:rsidRPr="00E324D9">
        <w:rPr>
          <w:rStyle w:val="FootnoteReference"/>
          <w:color w:val="000000"/>
          <w:szCs w:val="24"/>
        </w:rPr>
        <w:footnoteReference w:id="6"/>
      </w:r>
      <w:r w:rsidRPr="00E324D9">
        <w:t>,</w:t>
      </w:r>
    </w:p>
    <w:p w:rsidR="00237A77" w:rsidRPr="00E324D9" w:rsidRDefault="00237A77" w:rsidP="00237A77">
      <w:pPr>
        <w:pStyle w:val="NormalHanging12a"/>
        <w:widowControl/>
      </w:pPr>
      <w:r w:rsidRPr="00E324D9">
        <w:t>–</w:t>
      </w:r>
      <w:r w:rsidRPr="00E324D9">
        <w:tab/>
        <w:t>ottaa huomioon 14. syyskuuta 2023 antamansa päätöslauselman Euroopan kirja-alan tulevaisuudesta</w:t>
      </w:r>
      <w:r w:rsidRPr="00E324D9">
        <w:rPr>
          <w:rStyle w:val="FootnoteReference"/>
        </w:rPr>
        <w:footnoteReference w:id="7"/>
      </w:r>
      <w:r w:rsidRPr="00E324D9">
        <w:t>,</w:t>
      </w:r>
    </w:p>
    <w:p w:rsidR="00237A77" w:rsidRPr="00E324D9" w:rsidRDefault="00237A77" w:rsidP="00237A77">
      <w:pPr>
        <w:pStyle w:val="NormalHanging12a"/>
        <w:widowControl/>
      </w:pPr>
      <w:r w:rsidRPr="00E324D9">
        <w:t>–</w:t>
      </w:r>
      <w:r w:rsidRPr="00E324D9">
        <w:tab/>
        <w:t>ottaa huomioon 14. joulukuuta 2022 antamansa päätöslauselman Euroopan uuden kulttuuriohjelman ja kansainvälisiä kulttuurisuhteita koskevan EU:n strategian täytäntöönpanosta</w:t>
      </w:r>
      <w:r w:rsidRPr="00E324D9">
        <w:rPr>
          <w:rStyle w:val="FootnoteReference"/>
          <w:color w:val="000000"/>
          <w:szCs w:val="24"/>
        </w:rPr>
        <w:footnoteReference w:id="8"/>
      </w:r>
      <w:r w:rsidRPr="00E324D9">
        <w:t>,</w:t>
      </w:r>
    </w:p>
    <w:p w:rsidR="00237A77" w:rsidRPr="00E324D9" w:rsidRDefault="00237A77" w:rsidP="00237A77">
      <w:pPr>
        <w:pStyle w:val="NormalHanging12a"/>
        <w:widowControl/>
      </w:pPr>
      <w:r w:rsidRPr="00E324D9">
        <w:lastRenderedPageBreak/>
        <w:t>–</w:t>
      </w:r>
      <w:r w:rsidRPr="00E324D9">
        <w:tab/>
        <w:t>ottaa huomioon 20. lokakuuta 2021 antamansa päätöslauselman ”Euroopan media-ala digitaalisella vuosikymmenellä: elpymistä ja muutosta tukeva toimintasuunnitelma”</w:t>
      </w:r>
      <w:r w:rsidRPr="00E324D9">
        <w:rPr>
          <w:rStyle w:val="FootnoteReference"/>
          <w:color w:val="000000"/>
          <w:szCs w:val="24"/>
        </w:rPr>
        <w:footnoteReference w:id="9"/>
      </w:r>
      <w:r w:rsidRPr="00E324D9">
        <w:t>,</w:t>
      </w:r>
    </w:p>
    <w:p w:rsidR="00237A77" w:rsidRPr="00E324D9" w:rsidRDefault="00237A77" w:rsidP="00237A77">
      <w:pPr>
        <w:pStyle w:val="NormalHanging12a"/>
        <w:widowControl/>
      </w:pPr>
      <w:r w:rsidRPr="00E324D9">
        <w:t>–</w:t>
      </w:r>
      <w:r w:rsidRPr="00E324D9">
        <w:tab/>
        <w:t xml:space="preserve">ottaa huomioon 17. huhtikuuta 2020 antamansa päätöslauselman EU:n </w:t>
      </w:r>
      <w:proofErr w:type="spellStart"/>
      <w:r w:rsidRPr="00E324D9">
        <w:t>yhteensovitetuista</w:t>
      </w:r>
      <w:proofErr w:type="spellEnd"/>
      <w:r w:rsidRPr="00E324D9">
        <w:t xml:space="preserve"> toimista covid-19-pandemian ja sen seurausten torjumiseksi</w:t>
      </w:r>
      <w:r w:rsidRPr="00E324D9">
        <w:rPr>
          <w:rStyle w:val="FootnoteReference"/>
          <w:color w:val="000000"/>
          <w:szCs w:val="24"/>
        </w:rPr>
        <w:footnoteReference w:id="10"/>
      </w:r>
      <w:r w:rsidRPr="00E324D9">
        <w:t>,</w:t>
      </w:r>
    </w:p>
    <w:p w:rsidR="00237A77" w:rsidRPr="00E324D9" w:rsidRDefault="00237A77" w:rsidP="00237A77">
      <w:pPr>
        <w:pStyle w:val="NormalHanging12a"/>
        <w:widowControl/>
      </w:pPr>
      <w:r w:rsidRPr="00E324D9">
        <w:t>–</w:t>
      </w:r>
      <w:r w:rsidRPr="00E324D9">
        <w:tab/>
        <w:t>ottaa huomioon 15. syyskuuta 2020 antamansa päätöslauselman tehokkaista toimenpiteistä Erasmus+ -ohjelman ja Luova Eurooppa -ohjelman sekä Euroopan solidaarisuusjoukkojen muuttamiseksi ympäristöystävällisemmiksi</w:t>
      </w:r>
      <w:r w:rsidRPr="00E324D9">
        <w:rPr>
          <w:rStyle w:val="FootnoteReference"/>
        </w:rPr>
        <w:footnoteReference w:id="11"/>
      </w:r>
      <w:r w:rsidRPr="00E324D9">
        <w:t>,</w:t>
      </w:r>
    </w:p>
    <w:p w:rsidR="00237A77" w:rsidRPr="00E324D9" w:rsidRDefault="00237A77" w:rsidP="00237A77">
      <w:pPr>
        <w:pStyle w:val="NormalHanging12a"/>
        <w:widowControl/>
      </w:pPr>
      <w:r w:rsidRPr="00E324D9">
        <w:t>–</w:t>
      </w:r>
      <w:r w:rsidRPr="00E324D9">
        <w:tab/>
        <w:t>ottaa huomioon 17. syyskuuta 2020 antamansa päätöslauselman Euroopan kulttuurisesta elpymisestä</w:t>
      </w:r>
      <w:r w:rsidRPr="00E324D9">
        <w:rPr>
          <w:rStyle w:val="FootnoteReference"/>
        </w:rPr>
        <w:footnoteReference w:id="12"/>
      </w:r>
      <w:r w:rsidRPr="00E324D9">
        <w:t xml:space="preserve">, </w:t>
      </w:r>
    </w:p>
    <w:p w:rsidR="00237A77" w:rsidRPr="00E324D9" w:rsidRDefault="00237A77" w:rsidP="00237A77">
      <w:pPr>
        <w:pStyle w:val="NormalHanging12a"/>
        <w:widowControl/>
      </w:pPr>
      <w:r w:rsidRPr="00E324D9">
        <w:t>–</w:t>
      </w:r>
      <w:r w:rsidRPr="00E324D9">
        <w:tab/>
        <w:t>ottaa huomioon työjärjestyksen 54 artiklan sekä valiokunta-aloitteisten mietintöjen laatimista koskevasta lupamenettelystä 12. joulukuuta 2002 tehdyn puheenjohtajakokouksen päätöksen 1 artiklan 1 kohdan e alakohdan ja liitteen 3,</w:t>
      </w:r>
    </w:p>
    <w:p w:rsidR="00237A77" w:rsidRPr="00E324D9" w:rsidRDefault="00237A77" w:rsidP="00237A77">
      <w:pPr>
        <w:pStyle w:val="NormalHanging12a"/>
        <w:widowControl/>
      </w:pPr>
      <w:r w:rsidRPr="00E324D9">
        <w:t>–</w:t>
      </w:r>
      <w:r w:rsidRPr="00E324D9">
        <w:tab/>
        <w:t>ottaa huomioon kulttuuri- ja koulutusvaliokunnan mietinnön (A9-0425/2023),</w:t>
      </w:r>
    </w:p>
    <w:p w:rsidR="00237A77" w:rsidRPr="00E324D9" w:rsidRDefault="00237A77" w:rsidP="00237A77">
      <w:pPr>
        <w:pStyle w:val="NormalHanging12a"/>
        <w:widowControl/>
        <w:rPr>
          <w:rFonts w:eastAsiaTheme="minorHAnsi"/>
        </w:rPr>
      </w:pPr>
      <w:r w:rsidRPr="00E324D9">
        <w:t>A.</w:t>
      </w:r>
      <w:r w:rsidRPr="00E324D9">
        <w:tab/>
        <w:t>toteaa, että kootut tiedot osoittavat kulttuurialan ja luovien alojen huomattavan kiinnostuksen ohjelmaa kohtaan; ottaa huomioon, että Kulttuurin ja Median toimintalinjojen eri toimien yhteisrahoitusosuuksien korottaminen on osoittautunut hyödylliseksi kulttuuriekosysteemin ja luovien ekosysteemien tukemisessa ja tarjonnut parempia tilaisuuksia myös pienimuotoisiin hankkeisiin erityisesti pandemian jälkimainingeissa;</w:t>
      </w:r>
    </w:p>
    <w:p w:rsidR="00237A77" w:rsidRPr="00E324D9" w:rsidRDefault="00237A77" w:rsidP="00237A77">
      <w:pPr>
        <w:pStyle w:val="NormalHanging12a"/>
        <w:widowControl/>
        <w:rPr>
          <w:rFonts w:eastAsiaTheme="minorHAnsi"/>
        </w:rPr>
      </w:pPr>
      <w:r w:rsidRPr="00E324D9">
        <w:t>B.</w:t>
      </w:r>
      <w:r w:rsidRPr="00E324D9">
        <w:tab/>
        <w:t>ottaa huomioon, että Luova Eurooppa -ohjelman 2021–2027 kokonaistalousarvio on noin 68 prosenttia suurempi kuin edellisen ohjelman; ottaa huomioon, että tämän kasvun arvo alenee merkittävästi energiakustannuksiin liittyvän inflaation jatkuvan kiihtymisen</w:t>
      </w:r>
      <w:r w:rsidRPr="00E324D9">
        <w:rPr>
          <w:rStyle w:val="FootnoteReference"/>
          <w:rFonts w:eastAsiaTheme="minorHAnsi"/>
          <w:lang w:eastAsia="en-US"/>
        </w:rPr>
        <w:footnoteReference w:id="13"/>
      </w:r>
      <w:r w:rsidRPr="00E324D9">
        <w:t xml:space="preserve"> vuoksi; ottaa huomioon, että kokonaistalousarviota on käytetty etupainotteisesti siten, että kolmannes määrärahoista sidottiin vuosina 2021 ja 2022 muun muassa, jotta voitiin lieventää covid-19-pandemian seurauksia;</w:t>
      </w:r>
    </w:p>
    <w:p w:rsidR="00237A77" w:rsidRPr="00E324D9" w:rsidRDefault="00237A77" w:rsidP="00237A77">
      <w:pPr>
        <w:pStyle w:val="NormalHanging12a"/>
        <w:widowControl/>
        <w:rPr>
          <w:rFonts w:eastAsiaTheme="minorHAnsi"/>
        </w:rPr>
      </w:pPr>
      <w:r w:rsidRPr="00E324D9">
        <w:t>C.</w:t>
      </w:r>
      <w:r w:rsidRPr="00E324D9">
        <w:tab/>
        <w:t>ottaa huomioon, että Luova Eurooppa on ainoa ohjelma, jolla tuetaan ainoastaan kaikkia sellaisia kulttuuri- ja luovia aloja, joiden toiminta perustuu kulttuurisiin ja taiteellisiin arvoihin, erityisesti tukemalla luovan työn tekijöitä ja taiteilijoita, kuten tekijöitä ja esittäviä taiteilijoita, pienten hankkeiden lisäksi;</w:t>
      </w:r>
    </w:p>
    <w:p w:rsidR="00237A77" w:rsidRPr="00E324D9" w:rsidRDefault="00237A77" w:rsidP="00237A77">
      <w:pPr>
        <w:pStyle w:val="NormalHanging12a"/>
        <w:widowControl/>
        <w:rPr>
          <w:rFonts w:eastAsiaTheme="minorHAnsi"/>
        </w:rPr>
      </w:pPr>
      <w:r w:rsidRPr="00E324D9">
        <w:t>D.</w:t>
      </w:r>
      <w:r w:rsidRPr="00E324D9">
        <w:tab/>
        <w:t>ottaa huomioon, että ohjelmassa tunnustetaan kulttuurin itseisarvo ja taiteellinen arvo, jonka olisi säilyttävä ohjelman keskiössä, samalla kun pyritään yhtäläiseen tasapainoon ohjelman innovointiin ja kasvuun tarjoaman laajemman panoksen kanssa; katsoo, että EU:n rahoittamana ohjelmana Luova Eurooppa -ohjelman olisi tuettava Euroopan sosiaalisten oikeuksien pilarin periaatteiden täytäntöönpanoa ja edistettävä oikeudenmukaisia käytäntöjä ja työoloja kulttuurialalla ja luovilla aloilla;</w:t>
      </w:r>
    </w:p>
    <w:p w:rsidR="00237A77" w:rsidRPr="00E324D9" w:rsidRDefault="00237A77" w:rsidP="00237A77">
      <w:pPr>
        <w:pStyle w:val="NormalHanging12a"/>
        <w:widowControl/>
        <w:rPr>
          <w:rFonts w:eastAsiaTheme="minorHAnsi"/>
        </w:rPr>
      </w:pPr>
      <w:r w:rsidRPr="00E324D9">
        <w:t>E.</w:t>
      </w:r>
      <w:r w:rsidRPr="00E324D9">
        <w:tab/>
        <w:t xml:space="preserve">ottaa huomioon, että yksi ohjelman tärkeimmistä uutuuksista on, että siinä </w:t>
      </w:r>
      <w:proofErr w:type="spellStart"/>
      <w:r w:rsidRPr="00E324D9">
        <w:t>valtavirtaistetaan</w:t>
      </w:r>
      <w:proofErr w:type="spellEnd"/>
      <w:r w:rsidRPr="00E324D9">
        <w:t xml:space="preserve"> monialaiset painopisteet, joita ovat osallisuus, monimuotoisuus, </w:t>
      </w:r>
      <w:r w:rsidRPr="00E324D9">
        <w:lastRenderedPageBreak/>
        <w:t>eritoten sukupuolten tasapuolinen edustus, ja viherryttäminen; ottaa huomioon, että vuosien 2021 ja 2022 vuotuisissa työohjelmissa kiinnitetään erityistä huomiota sosiaalisen osallisuuden ja sukupuolten tasa-arvon edistämiseen; katsoo, että ohjelman täytäntöönpanossa olisi varmistettava mahdollisimman laaja kulttuurinen osallistuminen, jotta siihen voidaan sisällyttää muun muassa vammaiset henkilöt ja heikommista lähtökohdista tulevat henkilöt;</w:t>
      </w:r>
    </w:p>
    <w:p w:rsidR="00237A77" w:rsidRPr="00E324D9" w:rsidRDefault="00237A77" w:rsidP="00237A77">
      <w:pPr>
        <w:pStyle w:val="NormalHanging12a"/>
        <w:widowControl/>
        <w:rPr>
          <w:rFonts w:eastAsiaTheme="minorHAnsi"/>
        </w:rPr>
      </w:pPr>
      <w:r w:rsidRPr="00E324D9">
        <w:t>F.</w:t>
      </w:r>
      <w:r w:rsidRPr="00E324D9">
        <w:tab/>
        <w:t xml:space="preserve">ottaa huomioon, että ohjelmalla pyritään tukemaan kulttuurialan ja luovien alojen digitaalista siirtymää, sillä teknologia on muuttanut näiden alojen tapaa luoda, tuottaa ja levittää sisältöä; ottaa huomioon, että vaikka </w:t>
      </w:r>
      <w:proofErr w:type="spellStart"/>
      <w:r w:rsidRPr="00E324D9">
        <w:t>digitalisaatio</w:t>
      </w:r>
      <w:proofErr w:type="spellEnd"/>
      <w:r w:rsidRPr="00E324D9">
        <w:t xml:space="preserve"> voi tarjota mahdollisuuksia lisätä kulttuurista osallistumista, se voi myös johtaa erilaisiin haasteisiin kuin mitä analogisen ajan haasteet olivat;</w:t>
      </w:r>
    </w:p>
    <w:p w:rsidR="00237A77" w:rsidRPr="00E324D9" w:rsidRDefault="00237A77" w:rsidP="00237A77">
      <w:pPr>
        <w:pStyle w:val="NormalHanging12a"/>
        <w:widowControl/>
        <w:rPr>
          <w:rFonts w:eastAsiaTheme="minorHAnsi"/>
        </w:rPr>
      </w:pPr>
      <w:r w:rsidRPr="00E324D9">
        <w:t>G.</w:t>
      </w:r>
      <w:r w:rsidRPr="00E324D9">
        <w:tab/>
        <w:t xml:space="preserve">ottaa huomioon, että huomattava määrä tuensaajia ja mahdollisia tuensaajia pitää edelleen Luova Eurooppa -ohjelman hallintomenettelyjä (hakeminen, arviointi ja raportointi) erittäin </w:t>
      </w:r>
      <w:proofErr w:type="spellStart"/>
      <w:r w:rsidRPr="00E324D9">
        <w:t>aikaavievinä</w:t>
      </w:r>
      <w:proofErr w:type="spellEnd"/>
      <w:r w:rsidRPr="00E324D9">
        <w:t xml:space="preserve"> ja raskaina, vaikka yksinkertaistamisessa on edistytty jonkin verran;</w:t>
      </w:r>
    </w:p>
    <w:p w:rsidR="00237A77" w:rsidRPr="00E324D9" w:rsidRDefault="00237A77" w:rsidP="00237A77">
      <w:pPr>
        <w:pStyle w:val="NormalHanging12a"/>
        <w:widowControl/>
        <w:rPr>
          <w:rFonts w:eastAsiaTheme="minorHAnsi"/>
        </w:rPr>
      </w:pPr>
      <w:r w:rsidRPr="00E324D9">
        <w:t>H.</w:t>
      </w:r>
      <w:r w:rsidRPr="00E324D9">
        <w:tab/>
        <w:t>ottaa huomioon, että raskaat hallintomenettelyt estävät usein paitsi pienikokoisten organisaatioiden ja erityisesti epäsuotuisilta alueilta tulevien organisaatioiden osallistumista, myös vähemmän kokeneiden hakijoiden, mukaan lukien nuorten luovan työn tekijöiden, osallistumista; katsoo, että hakumenettelyä on yksinkertaistettava ja parannettava lähinnä sen vuoksi, että menettelyvaiheita on tullut lisää eikä hakualusta ole kovinkaan käyttäjäystävällinen eikä välttämättä yhteensopiva laajalti käytettyjen sovellusten kanssa;</w:t>
      </w:r>
    </w:p>
    <w:p w:rsidR="00237A77" w:rsidRPr="00E324D9" w:rsidRDefault="00237A77" w:rsidP="00237A77">
      <w:pPr>
        <w:pStyle w:val="NormalHanging12a"/>
        <w:widowControl/>
        <w:rPr>
          <w:rFonts w:eastAsiaTheme="minorHAnsi"/>
        </w:rPr>
      </w:pPr>
      <w:r w:rsidRPr="00E324D9">
        <w:t>I.</w:t>
      </w:r>
      <w:r w:rsidRPr="00E324D9">
        <w:tab/>
        <w:t>ottaa huomioon, että ohjelmassa käytettävä alusta sisältää monimutkaisen raportointimenettelyn, jossa on vaikea navigoida ja jota ei ole alun perin suunniteltu käytettäväksi ohjelmasta rahoitettavien hankkeiden kaltaisiin hankkeisiin;</w:t>
      </w:r>
    </w:p>
    <w:p w:rsidR="00237A77" w:rsidRPr="00E324D9" w:rsidRDefault="00237A77" w:rsidP="00237A77">
      <w:pPr>
        <w:pStyle w:val="NormalHanging12a"/>
        <w:widowControl/>
      </w:pPr>
      <w:r w:rsidRPr="00E324D9">
        <w:t>J.</w:t>
      </w:r>
      <w:r w:rsidRPr="00E324D9">
        <w:tab/>
        <w:t>ottaa huomioon, että Kulttuurin toimintalinjalla edistetään luovien yhteisöjen verkottumista ja rajat ylittävää yhteistyötä keskittyen erityisesti yhteistyöhankkeisiin; ottaa huomioon, että kahden ensimmäisen toteutusvuoden aikana yhteistyöhanketoimesta muodostui Kulttuurin toimintalinjan suosituin osa, josta sai tukea 291 hanketta; katsoo, että komission olisi harkittava Kulttuurin toimintalinjan tiedotustoiminnan laajentamista, jotta voidaan lisätä kaikkien, myös syrjäisimmillä ja maaseutualueilla vaikuttavien, kulttuuriyhteisöjen ja luovien alojen yhteisöjen osallistumista;</w:t>
      </w:r>
    </w:p>
    <w:p w:rsidR="00237A77" w:rsidRPr="00E324D9" w:rsidRDefault="00237A77" w:rsidP="00237A77">
      <w:pPr>
        <w:pStyle w:val="NormalHanging12a"/>
        <w:widowControl/>
      </w:pPr>
      <w:r w:rsidRPr="00E324D9">
        <w:t>K.</w:t>
      </w:r>
      <w:r w:rsidRPr="00E324D9">
        <w:tab/>
        <w:t xml:space="preserve">ottaa huomioon, että Median toimintalinja näyttelee tärkeää osaa kasvun ja </w:t>
      </w:r>
      <w:proofErr w:type="spellStart"/>
      <w:r w:rsidRPr="00E324D9">
        <w:t>resilienssin</w:t>
      </w:r>
      <w:proofErr w:type="spellEnd"/>
      <w:r w:rsidRPr="00E324D9">
        <w:t xml:space="preserve"> edistämisessä </w:t>
      </w:r>
      <w:proofErr w:type="spellStart"/>
      <w:r w:rsidRPr="00E324D9">
        <w:t>audiovisuaalialalla</w:t>
      </w:r>
      <w:proofErr w:type="spellEnd"/>
      <w:r w:rsidRPr="00E324D9">
        <w:t>; ottaa huomioon, että kaksivuotiskaudella 2021–2022 sen rahoitusta haki 2 124 hakijaa ja hankkeiden keskimääräinen hyväksymisaste oli 66 prosenttia;</w:t>
      </w:r>
    </w:p>
    <w:p w:rsidR="00237A77" w:rsidRPr="00E324D9" w:rsidRDefault="00237A77" w:rsidP="00237A77">
      <w:pPr>
        <w:pStyle w:val="NormalHanging12a"/>
        <w:widowControl/>
        <w:rPr>
          <w:rFonts w:eastAsiaTheme="minorHAnsi"/>
        </w:rPr>
      </w:pPr>
      <w:r w:rsidRPr="00E324D9">
        <w:t>L.</w:t>
      </w:r>
      <w:r w:rsidRPr="00E324D9">
        <w:tab/>
        <w:t>ottaa huomioon, että vuodesta 2021 lähtien tuettu Kirjoittava Eurooppa -valmistelutoimi on laadittu luovan työn tekijöiden, erityisesti kirjailijoiden, tukemiseksi sellaisten laadukkaiden fiktiosarjojen suunnittelussa ja kehittämisessä, jotka pystyvät siirtymään rajojen yli ja tavoittamaan uutta yleisöä;</w:t>
      </w:r>
    </w:p>
    <w:p w:rsidR="00237A77" w:rsidRPr="00E324D9" w:rsidRDefault="00237A77" w:rsidP="00237A77">
      <w:pPr>
        <w:pStyle w:val="NormalHanging12a"/>
        <w:widowControl/>
        <w:rPr>
          <w:rFonts w:eastAsiaTheme="minorHAnsi"/>
        </w:rPr>
      </w:pPr>
      <w:r w:rsidRPr="00E324D9">
        <w:t>M.</w:t>
      </w:r>
      <w:r w:rsidRPr="00E324D9">
        <w:tab/>
        <w:t>ottaa huomioon, että Monialaisessa toimintalinjassa on enemmän uusia tavoitteita kuvastavia uutuuksia; ottaa huomioon, että uutismedia-alaa tukevat monialaiset toimet ovat Luova Eurooppa -ohjelmassa täysin uusi painopiste;</w:t>
      </w:r>
    </w:p>
    <w:p w:rsidR="00237A77" w:rsidRPr="00E324D9" w:rsidRDefault="00237A77" w:rsidP="00237A77">
      <w:pPr>
        <w:pStyle w:val="NormalHanging12a"/>
        <w:widowControl/>
      </w:pPr>
      <w:r w:rsidRPr="00E324D9">
        <w:lastRenderedPageBreak/>
        <w:t>N.</w:t>
      </w:r>
      <w:r w:rsidRPr="00E324D9">
        <w:tab/>
        <w:t>ottaa huomioon, että liikkuvuuden lisääminen Euroopan kulttuurialalla ja luovilla aloilla on ohjelman erityistavoite, johon pyritään Kulttuurin toimintalinjaan kuuluvan uuden toimen avulla;</w:t>
      </w:r>
    </w:p>
    <w:p w:rsidR="00237A77" w:rsidRPr="00E324D9" w:rsidRDefault="00237A77" w:rsidP="00237A77">
      <w:pPr>
        <w:pStyle w:val="NormalHanging12a"/>
        <w:widowControl/>
        <w:rPr>
          <w:rFonts w:eastAsiaTheme="minorHAnsi"/>
        </w:rPr>
      </w:pPr>
      <w:r w:rsidRPr="00E324D9">
        <w:t>O.</w:t>
      </w:r>
      <w:r w:rsidRPr="00E324D9">
        <w:tab/>
        <w:t xml:space="preserve">ottaa huomioon, että Kulttuuri liikuttaa Eurooppaa on EU:n suurin kulttuurialan ja luovien alojen liikkuvuustoimi ja että sitä koskevien hakemusten määrä oli noin 4 660 vuoden 2023 puoliväliin mennessä; ottaa huomioon, että noin 85 prosenttia hakemuksista tulee kuvataiteen, esittävän taiteen ja musiikin kaltaisilta aloilta; </w:t>
      </w:r>
    </w:p>
    <w:p w:rsidR="00237A77" w:rsidRPr="00E324D9" w:rsidRDefault="00237A77" w:rsidP="00237A77">
      <w:pPr>
        <w:pStyle w:val="NormalHanging12a"/>
        <w:widowControl/>
      </w:pPr>
      <w:r w:rsidRPr="00E324D9">
        <w:t>P.</w:t>
      </w:r>
      <w:r w:rsidRPr="00E324D9">
        <w:tab/>
        <w:t xml:space="preserve">ottaa huomioon, että ohjelmassa tunnustetaan musiikkialan olevan olennainen osa Euroopan kulttuurista monimuotoisuutta ja sen voivan hyötyä Kulttuurin toimintalinjan horisontaalisesta lähestymistavasta; ottaa huomioon, että vuosina 2021–2022 Music </w:t>
      </w:r>
      <w:proofErr w:type="spellStart"/>
      <w:r w:rsidRPr="00E324D9">
        <w:t>Moves</w:t>
      </w:r>
      <w:proofErr w:type="spellEnd"/>
      <w:r w:rsidRPr="00E324D9">
        <w:t xml:space="preserve"> Europe -aloitteesta osoitettiin 5 miljoonaa euroa Euroopan musiikkialan kilpailukyvyn, innovoinnin ja monimuotoisuuden vahvistamiseen;</w:t>
      </w:r>
    </w:p>
    <w:p w:rsidR="00237A77" w:rsidRPr="00E324D9" w:rsidRDefault="00237A77" w:rsidP="00237A77">
      <w:pPr>
        <w:pStyle w:val="NormalHanging12a"/>
        <w:widowControl/>
      </w:pPr>
      <w:r w:rsidRPr="00E324D9">
        <w:t>Q.</w:t>
      </w:r>
      <w:r w:rsidRPr="00E324D9">
        <w:tab/>
        <w:t>ottaa huomioon, että kirjallisuuden kääntämistä koskevalla toimella on ainutlaatuinen rooli kirjailijoiden tekemisessä tunnetuksi yli rajojen, uusien yleisöjen tavoittamisessa ja kulttuurisesti ja kielellisesti monimuotoisemman Euroopan edistämisessä;</w:t>
      </w:r>
    </w:p>
    <w:p w:rsidR="00237A77" w:rsidRPr="00E324D9" w:rsidRDefault="00237A77" w:rsidP="00237A77">
      <w:pPr>
        <w:pStyle w:val="NormalHanging12a"/>
        <w:widowControl/>
      </w:pPr>
      <w:r w:rsidRPr="00E324D9">
        <w:t>R.</w:t>
      </w:r>
      <w:r w:rsidRPr="00E324D9">
        <w:tab/>
        <w:t xml:space="preserve">ottaa huomioon, että Euroopassa </w:t>
      </w:r>
      <w:proofErr w:type="spellStart"/>
      <w:r w:rsidRPr="00E324D9">
        <w:t>audiovisuaalialan</w:t>
      </w:r>
      <w:proofErr w:type="spellEnd"/>
      <w:r w:rsidRPr="00E324D9">
        <w:t xml:space="preserve"> ekosysteemin julkinen tuki tulee pääasiassa kansalliselta tasolta ja että Median toimintalinja täydentää kansallisia järjestelmiä tukemalla hankkeita, joilla on pitkäkestoinen vaikutus;</w:t>
      </w:r>
    </w:p>
    <w:p w:rsidR="00237A77" w:rsidRPr="00E324D9" w:rsidRDefault="00237A77" w:rsidP="00237A77">
      <w:pPr>
        <w:pStyle w:val="NormalHanging12a"/>
        <w:widowControl/>
        <w:rPr>
          <w:rFonts w:eastAsiaTheme="minorHAnsi"/>
        </w:rPr>
      </w:pPr>
      <w:r w:rsidRPr="00E324D9">
        <w:t>S.</w:t>
      </w:r>
      <w:r w:rsidRPr="00E324D9">
        <w:tab/>
        <w:t>ottaa huomioon, että Luova Eurooppa -ohjelmayhteyspisteillä on keskeinen rooli välittäjinä komission, Euroopan koulutuksen ja kulttuurin toimeenpanoviraston (EACEA), hakijoiden ja tuensaajien välillä; ottaa huomioon, että vuosina 2021–2022 yli 60 prosenttia kaikista hakijoista otti yhteyttä paikalliseen ohjelmayhteystoimistoonsa ennen hakemuksen jättämistä;</w:t>
      </w:r>
    </w:p>
    <w:p w:rsidR="00237A77" w:rsidRPr="00E324D9" w:rsidRDefault="00237A77" w:rsidP="00237A77">
      <w:pPr>
        <w:pStyle w:val="NormalHanging12a"/>
        <w:widowControl/>
      </w:pPr>
      <w:r w:rsidRPr="00E324D9">
        <w:t>T.</w:t>
      </w:r>
      <w:r w:rsidRPr="00E324D9">
        <w:tab/>
        <w:t>katsoo, että koska Luova Eurooppa -ohjelmayhteyspisteillä on ratkaiseva rooli kulttuurialan ja luovien alojen edistämisessä ja tiedotettaessa niille kaikista ohjelman osa-alueista, komission – EACEA mukaan lukien – ja Luova Eurooppa -ohjelmayhteyspisteiden välistä yhteistyötä ja vaihtoa on vahvistettava ja siihen on sisällyttävä asiaankuuluvien tietojen jakaminen tulevista ehdotuspyynnöistä;</w:t>
      </w:r>
    </w:p>
    <w:p w:rsidR="00237A77" w:rsidRPr="00E324D9" w:rsidRDefault="00237A77" w:rsidP="00237A77">
      <w:pPr>
        <w:pStyle w:val="NormalHanging12a"/>
        <w:widowControl/>
      </w:pPr>
      <w:r w:rsidRPr="00E324D9">
        <w:t>U.</w:t>
      </w:r>
      <w:r w:rsidRPr="00E324D9">
        <w:tab/>
        <w:t>ottaa huomioon, että Luova Eurooppa -ohjelmalla on strateginen rooli Euroopan unionin kulttuurisuhteiden ulkoisen ulottuvuuden vahvistamisessa, sillä se edistää kulttuurialan ja luovien alojen eri toimijoiden välisiä kumppanuuksia hyödyntämällä ihmiseltä ihmiselle -lähestymistapaa sekä edistää kulttuurista monimuotoisuutta Euroopassa ja sen ulkopuolella;</w:t>
      </w:r>
    </w:p>
    <w:p w:rsidR="00237A77" w:rsidRPr="00E324D9" w:rsidRDefault="00237A77" w:rsidP="00237A77">
      <w:pPr>
        <w:pStyle w:val="NormalHanging12a"/>
        <w:widowControl/>
      </w:pPr>
      <w:r w:rsidRPr="00E324D9">
        <w:t>V.</w:t>
      </w:r>
      <w:r w:rsidRPr="00E324D9">
        <w:tab/>
        <w:t>ottaa huomioon, että ohjelmassa tunnistetaan taide- ja käsiteollisuusalojen suojelun ja edistämisen merkitys erityisesti kulttuuriperinnön alalla ja tunnustetaan niiden keskeinen rooli niin kaupunkitalouden kuin maaseudun elinkeinoelämänkin tukemisessa kaikkialla Euroopassa sekä niiden rooli kulttuurisen monimuotoisuuden lisäämisessä;</w:t>
      </w:r>
    </w:p>
    <w:p w:rsidR="00237A77" w:rsidRPr="00E324D9" w:rsidRDefault="00237A77" w:rsidP="00237A77">
      <w:pPr>
        <w:pStyle w:val="NormalHanging12a"/>
        <w:widowControl/>
      </w:pPr>
      <w:r w:rsidRPr="00E324D9">
        <w:t>W.</w:t>
      </w:r>
      <w:r w:rsidRPr="00E324D9">
        <w:tab/>
        <w:t xml:space="preserve">ottaa huomioon, että huippuosaamismerkki on vuosien 2021–2027 Luova Eurooppa </w:t>
      </w:r>
      <w:r w:rsidRPr="00E324D9">
        <w:noBreakHyphen/>
        <w:t xml:space="preserve">ohjelman uutuus, joka otettiin käyttöön, jotta voidaan lisätä synergiaa ja yksinkertaistaa vaihtoehtoisen rahoituksen löytämistä silloin, kun on olemassa talousarviorajoituksia; </w:t>
      </w:r>
    </w:p>
    <w:p w:rsidR="00237A77" w:rsidRPr="00E324D9" w:rsidRDefault="00237A77" w:rsidP="00237A77">
      <w:pPr>
        <w:pStyle w:val="NormalHanging12a"/>
        <w:widowControl/>
      </w:pPr>
      <w:r w:rsidRPr="00E324D9">
        <w:t>X.</w:t>
      </w:r>
      <w:r w:rsidRPr="00E324D9">
        <w:tab/>
        <w:t xml:space="preserve">ottaa huomioon, että Euroopan kulttuuripääkaupunki, joka on erityistoimi, on arvostettu aloite, jolla on vakiintunut asema maailmanlaajuisissa kulttuuriohjelmissa ja joka on sen </w:t>
      </w:r>
      <w:r w:rsidRPr="00E324D9">
        <w:lastRenderedPageBreak/>
        <w:t>perustamisesta vuonna 1985 lähtien korostanut sitä rikkautta ja ainutlaatuisuutta, joka liittyy kulttuurien ja kaupunkien moninaisuuteen;</w:t>
      </w:r>
    </w:p>
    <w:p w:rsidR="00237A77" w:rsidRPr="00E324D9" w:rsidRDefault="00237A77" w:rsidP="00237A77">
      <w:pPr>
        <w:pStyle w:val="NormalHanging12a"/>
        <w:widowControl/>
        <w:rPr>
          <w:rFonts w:eastAsiaTheme="minorHAnsi"/>
        </w:rPr>
      </w:pPr>
      <w:r w:rsidRPr="00E324D9">
        <w:t>1.</w:t>
      </w:r>
      <w:r w:rsidRPr="00E324D9">
        <w:tab/>
        <w:t xml:space="preserve">korostaa, että uusi Luova Eurooppa -ohjelma herättää edelleen huomattavaa kiinnostusta kulttuurialalla, luovilla aloilla ja </w:t>
      </w:r>
      <w:proofErr w:type="spellStart"/>
      <w:r w:rsidRPr="00E324D9">
        <w:t>audiovisuaalialalla</w:t>
      </w:r>
      <w:proofErr w:type="spellEnd"/>
      <w:r w:rsidRPr="00E324D9">
        <w:t xml:space="preserve"> sekä uutismediassa ja että kolmessa toimintalinjassa saadaan koko ajan enemmän hakemuksia, jolloin hakemusten hyväksymisaste suhteellisesti pienenee, mikä saattaa aiheuttaa pettymystä ohjelmaan kyseisillä aloilla;</w:t>
      </w:r>
    </w:p>
    <w:p w:rsidR="00237A77" w:rsidRPr="00E324D9" w:rsidRDefault="00237A77" w:rsidP="00237A77">
      <w:pPr>
        <w:pStyle w:val="NormalHanging12a"/>
        <w:widowControl/>
        <w:rPr>
          <w:rFonts w:eastAsiaTheme="minorHAnsi"/>
        </w:rPr>
      </w:pPr>
      <w:r w:rsidRPr="00E324D9">
        <w:t>2.</w:t>
      </w:r>
      <w:r w:rsidRPr="00E324D9">
        <w:tab/>
        <w:t>on tyytyväinen toimiin, joilla ohjelma pyrkii lieventämään covid-19-pandemian vaikutuksia, jotka aiheuttivat vakavia häiriöitä kulttuurialalla ja luovilla aloilla jo ennen nykyisen ohjelman käynnistämistä; kehottaa kuitenkin jälleen komissiota ja jäsenvaltioita tehostamaan toimia, joilla puututaan luovan työn tekijöihin ja kulttuurialan ammattilaisiin kohdistuviin pandemian pitkän aikavälin vaikutuksiin, erityisesti niihin, jotka liittyvät heidän täydennys- ja uudelleenkoulutukseensa, jonka avulla pyritään vastaamaan alan kehityksestä ja haasteista johtuviin tarpeisiin;</w:t>
      </w:r>
    </w:p>
    <w:p w:rsidR="00237A77" w:rsidRPr="00E324D9" w:rsidRDefault="00237A77" w:rsidP="00237A77">
      <w:pPr>
        <w:pStyle w:val="NormalHanging12a"/>
        <w:widowControl/>
        <w:rPr>
          <w:rFonts w:eastAsiaTheme="minorHAnsi"/>
        </w:rPr>
      </w:pPr>
      <w:r w:rsidRPr="00E324D9">
        <w:t>3.</w:t>
      </w:r>
      <w:r w:rsidRPr="00E324D9">
        <w:tab/>
        <w:t xml:space="preserve">pitää valitettavana, että kaikki jäsenvaltiot eivät kohdentaneet vähintään kahta prosenttia </w:t>
      </w:r>
      <w:proofErr w:type="spellStart"/>
      <w:r w:rsidRPr="00E324D9">
        <w:t>elpymis</w:t>
      </w:r>
      <w:proofErr w:type="spellEnd"/>
      <w:r w:rsidRPr="00E324D9">
        <w:t xml:space="preserve">- ja palautumistukivälineestä näiden alojen </w:t>
      </w:r>
      <w:proofErr w:type="spellStart"/>
      <w:r w:rsidRPr="00E324D9">
        <w:t>resilienssin</w:t>
      </w:r>
      <w:proofErr w:type="spellEnd"/>
      <w:r w:rsidRPr="00E324D9">
        <w:t xml:space="preserve"> varmistamiseen, kuten parlamentti on pyytänyt; kehottaa siksi kaikkia jäsenvaltioita vahvistamaan synergiaa ja varmistamaan riittävät kohdennetut investoinnit näille aloille muiden EU:n ohjelmien kautta;</w:t>
      </w:r>
    </w:p>
    <w:p w:rsidR="00237A77" w:rsidRPr="00E324D9" w:rsidRDefault="00237A77" w:rsidP="00237A77">
      <w:pPr>
        <w:pStyle w:val="NormalHanging12a"/>
        <w:widowControl/>
        <w:rPr>
          <w:rFonts w:eastAsiaTheme="minorHAnsi"/>
        </w:rPr>
      </w:pPr>
      <w:r w:rsidRPr="00E324D9">
        <w:t>4.</w:t>
      </w:r>
      <w:r w:rsidRPr="00E324D9">
        <w:tab/>
        <w:t xml:space="preserve">panee merkille komission ja </w:t>
      </w:r>
      <w:proofErr w:type="spellStart"/>
      <w:r w:rsidRPr="00E324D9">
        <w:t>EACEA:n</w:t>
      </w:r>
      <w:proofErr w:type="spellEnd"/>
      <w:r w:rsidRPr="00E324D9">
        <w:t xml:space="preserve"> joustavuuden ohjelman täytäntöönpanossa mukautettaessa sitä covid-19-pandemian seurausten huomioon ottamiseksi; korostaa kuitenkin tarvetta saattaa tasapainoon kaikkien EU:n ohjelmien yhdenmukaistetut hallintojärjestelmät ja toisaalta eri tuensaajien erityistarpeet; kehottaa siksi komissiota ja </w:t>
      </w:r>
      <w:proofErr w:type="spellStart"/>
      <w:r w:rsidRPr="00E324D9">
        <w:t>EACEA:ta</w:t>
      </w:r>
      <w:proofErr w:type="spellEnd"/>
      <w:r w:rsidRPr="00E324D9">
        <w:t xml:space="preserve"> tehostamaan toimiaan Luova Eurooppa -ohjelman 2021–2027 hallintomenettelyjen yksinkertaistamiseksi; korostaa kuitenkin, että virtaviivaistaminen ja yksinkertaistaminen eivät saisi johtaa hankkeiden seurantaan ja arviointiin osoitettujen taloudellisten ja henkilöresurssien vähenemiseen;</w:t>
      </w:r>
    </w:p>
    <w:p w:rsidR="00237A77" w:rsidRPr="00E324D9" w:rsidRDefault="00237A77" w:rsidP="00237A77">
      <w:pPr>
        <w:pStyle w:val="NormalHanging12a"/>
        <w:widowControl/>
        <w:rPr>
          <w:rFonts w:eastAsiaTheme="minorHAnsi"/>
        </w:rPr>
      </w:pPr>
      <w:r w:rsidRPr="00E324D9">
        <w:t>5.</w:t>
      </w:r>
      <w:r w:rsidRPr="00E324D9">
        <w:tab/>
        <w:t xml:space="preserve">toteaa, että hakuprosessi on usein monimutkainen erityisesti yksityishenkilöille sekä mikro- ja pienorganisaatioille, joiden taloudelliset ja henkilöresurssit ovat rajalliset; kehottaa siksi komissiota ja </w:t>
      </w:r>
      <w:proofErr w:type="spellStart"/>
      <w:r w:rsidRPr="00E324D9">
        <w:t>EACEA:ta</w:t>
      </w:r>
      <w:proofErr w:type="spellEnd"/>
      <w:r w:rsidRPr="00E324D9">
        <w:t xml:space="preserve"> sallimaan hakumenettelyyn liittyvien kustannusten sisällyttämisen arvioituihin kokonaiskustannuksiin; kehottaa lisäksi Luova Eurooppa -ohjelmayhteyspisteitä vahvistamaan edelleen tukea kaikille hakijoille;</w:t>
      </w:r>
    </w:p>
    <w:p w:rsidR="00237A77" w:rsidRPr="00E324D9" w:rsidRDefault="00237A77" w:rsidP="00237A77">
      <w:pPr>
        <w:pStyle w:val="NormalHanging12a"/>
        <w:widowControl/>
        <w:rPr>
          <w:rFonts w:eastAsiaTheme="minorHAnsi"/>
        </w:rPr>
      </w:pPr>
      <w:r w:rsidRPr="00E324D9">
        <w:t>6.</w:t>
      </w:r>
      <w:r w:rsidRPr="00E324D9">
        <w:tab/>
        <w:t>kehottaa komissiota sopimaan tuensaajien kanssa käytävän valmiuksien kehittämistä koskevan säännöllisen näkemystenvaihdon aikataulusta, jotta voidaan suunnitella uutuuksia, kuten raportointijärjestelmän uusia vaatimuksia, mukaan lukien yleisen tietosuoja-asetuksen mukaiset suoritteet</w:t>
      </w:r>
      <w:r w:rsidRPr="00E324D9">
        <w:rPr>
          <w:rStyle w:val="FootnoteReference"/>
          <w:rFonts w:eastAsiaTheme="minorHAnsi"/>
          <w:lang w:eastAsia="en-US"/>
        </w:rPr>
        <w:footnoteReference w:id="14"/>
      </w:r>
      <w:r w:rsidRPr="00E324D9">
        <w:t>; korostaa, että osana ohjelman tavoitetta lisätä monimuotoisuutta, osallisuutta ja sukupuolten tasa-arvoa on kiireellisesti parannettava raportointijärjestelmää saavutettavuuden ja helppokäyttöisyyden takaamiseksi kaikille edunsaajille, myös vammaisille henkilöille;</w:t>
      </w:r>
    </w:p>
    <w:p w:rsidR="00237A77" w:rsidRPr="00E324D9" w:rsidRDefault="00237A77" w:rsidP="00237A77">
      <w:pPr>
        <w:pStyle w:val="NormalHanging12a"/>
        <w:widowControl/>
        <w:rPr>
          <w:rFonts w:eastAsiaTheme="minorHAnsi"/>
        </w:rPr>
      </w:pPr>
      <w:r w:rsidRPr="00E324D9">
        <w:lastRenderedPageBreak/>
        <w:t>7.</w:t>
      </w:r>
      <w:r w:rsidRPr="00E324D9">
        <w:tab/>
        <w:t>panee merkille osallisuuteen liittyvien kannustimien asteittaisen käyttöönoton kaikilla toimintalinjoilla ohjelman kahden ensimmäisen täytäntöönpanovuoden aikana; panee kuitenkin merkille, ettei ole olemassa kattavia tietoja siitä, miten ohjelman tavoitteisiin pyritään osallisuutta, tasa-arvoa, monimuotoisuutta ja osallistumista edistävällä tavalla; kehottaa komissiota raportoimaan tästä yksityiskohtaisesti väliarvioinnissaan;</w:t>
      </w:r>
    </w:p>
    <w:p w:rsidR="00237A77" w:rsidRPr="00E324D9" w:rsidRDefault="00237A77" w:rsidP="00237A77">
      <w:pPr>
        <w:pStyle w:val="NormalHanging12a"/>
        <w:widowControl/>
        <w:rPr>
          <w:rFonts w:eastAsiaTheme="minorHAnsi"/>
        </w:rPr>
      </w:pPr>
      <w:r w:rsidRPr="00E324D9">
        <w:t>8.</w:t>
      </w:r>
      <w:r w:rsidRPr="00E324D9">
        <w:tab/>
        <w:t>toteaa, että ohjelman toimien avulla edistetään ilmasto- ja ympäristökestävyyttä koskevaa tavoitetta; panee kuitenkin merkille, että viherryttämisen painopisteet on otettu käyttöön eri tavoin ohjelman kolmessa toimintalinjassa; kehottaa komissiota seuraamaan tiiviisti viherryttämisen painopisteiden täytäntöönpanoa ja niiden vaikutusta aloihin ja raportoimaan säännöllisesti täytäntöönpanon arvioinnista; korostaa, että on tärkeää kehittää koulutus- ja tiedotustoimia, jotta voidaan edistää kestävämpien käytäntöjen omaksumista kulttuurialalla ja luovilla aloilla;</w:t>
      </w:r>
    </w:p>
    <w:p w:rsidR="00237A77" w:rsidRPr="00E324D9" w:rsidRDefault="00237A77" w:rsidP="00237A77">
      <w:pPr>
        <w:pStyle w:val="NormalHanging12a"/>
        <w:widowControl/>
        <w:rPr>
          <w:rFonts w:eastAsiaTheme="minorHAnsi"/>
        </w:rPr>
      </w:pPr>
      <w:r w:rsidRPr="00E324D9">
        <w:t>9.</w:t>
      </w:r>
      <w:r w:rsidRPr="00E324D9">
        <w:tab/>
        <w:t xml:space="preserve">korostaa, että on tärkeää tukea kulttuurialan ja luovien alojen toimijoita EU:n tasolla tarjottavien mahdollisuuksien hyödyntämisessä; pitää tässä yhteydessä myönteisenä </w:t>
      </w:r>
      <w:proofErr w:type="spellStart"/>
      <w:r w:rsidRPr="00E324D9">
        <w:t>CulturEU</w:t>
      </w:r>
      <w:proofErr w:type="spellEnd"/>
      <w:r w:rsidRPr="00E324D9">
        <w:t xml:space="preserve">-aloitetta, jossa on kyse monikielisestä interaktiivisesta oppaasta, jossa kartoitetaan kaikki saatavilla olevat rahoitusmahdollisuudet; painottaa, että on ratkaisevan tärkeää ylläpitää säännöllistä ja tarvittaessa kohdennettua vaihtoa kulttuurialan, luovien alojen ja </w:t>
      </w:r>
      <w:proofErr w:type="spellStart"/>
      <w:r w:rsidRPr="00E324D9">
        <w:t>audiovisuaalialan</w:t>
      </w:r>
      <w:proofErr w:type="spellEnd"/>
      <w:r w:rsidRPr="00E324D9">
        <w:t xml:space="preserve"> sekä uutismedian kanssa hyödyllisen yhteistyön aikaansaamiseksi; muistuttaa komissiota siitä, että on tärkeää varmistaa sidosryhmien asianmukainen osallistuminen tulevien vuotuisten työohjelmien valmisteluun; ehdottaa, että komissio arvioisi, voitaisiinko Luova Eurooppa 2028–2034 toteuttaa paremmin vuotuisten tai kaksivuotisten työohjelmien avulla;</w:t>
      </w:r>
    </w:p>
    <w:p w:rsidR="00237A77" w:rsidRPr="00E324D9" w:rsidRDefault="00237A77" w:rsidP="00237A77">
      <w:pPr>
        <w:pStyle w:val="NormalHanging12a"/>
        <w:widowControl/>
        <w:rPr>
          <w:rFonts w:eastAsiaTheme="minorHAnsi"/>
        </w:rPr>
      </w:pPr>
      <w:r w:rsidRPr="00E324D9">
        <w:t>10.</w:t>
      </w:r>
      <w:r w:rsidRPr="00E324D9">
        <w:tab/>
        <w:t xml:space="preserve">kehottaa vahvistamaan viestintää ja tiedonvaihtoa komission, </w:t>
      </w:r>
      <w:proofErr w:type="spellStart"/>
      <w:r w:rsidRPr="00E324D9">
        <w:t>EACEA:n</w:t>
      </w:r>
      <w:proofErr w:type="spellEnd"/>
      <w:r w:rsidRPr="00E324D9">
        <w:t xml:space="preserve"> ja Luova Eurooppa -ohjelmayhteyspisteiden välillä sen varmistamiseksi, että viimeksi mainituilla on käytettävissään kaikki asiaankuuluvat tiedot, jotta hakijoille ja edunsaajille voidaan tarjota laadukasta tukea ja ohjausta; muistuttaa tässä yhteydessä myös avoimuuden merkityksestä ehdotuspyyntöjen tulosten levittämisessä; kehottaa siksi komissiota edelleen julkaisemaan luettelon kaikista avustuksen saajista sekä myönnetystä rahoituksesta hyvissä ajoin;</w:t>
      </w:r>
    </w:p>
    <w:p w:rsidR="00237A77" w:rsidRPr="00E324D9" w:rsidRDefault="00237A77" w:rsidP="00237A77">
      <w:pPr>
        <w:pStyle w:val="NormalHanging12a"/>
        <w:widowControl/>
        <w:rPr>
          <w:rFonts w:eastAsiaTheme="minorHAnsi"/>
        </w:rPr>
      </w:pPr>
      <w:r w:rsidRPr="00E324D9">
        <w:t>11.</w:t>
      </w:r>
      <w:r w:rsidRPr="00E324D9">
        <w:tab/>
        <w:t>korostaa, että on tärkeää yksilöidä ohjelma ja lisätä sen näkyvyyttä; kehottaa tässä yhteydessä komissiota raportoimaan parlamentille ohjelman viestintästrategian täytäntöönpanosta, virallisten logojen käyttö mukaan luettuna;</w:t>
      </w:r>
    </w:p>
    <w:p w:rsidR="00237A77" w:rsidRPr="00E324D9" w:rsidRDefault="00237A77" w:rsidP="00237A77">
      <w:pPr>
        <w:pStyle w:val="NormalHanging12a"/>
        <w:widowControl/>
        <w:rPr>
          <w:rFonts w:eastAsiaTheme="minorHAnsi"/>
        </w:rPr>
      </w:pPr>
      <w:r w:rsidRPr="00E324D9">
        <w:t>12.</w:t>
      </w:r>
      <w:r w:rsidRPr="00E324D9">
        <w:tab/>
        <w:t xml:space="preserve">painottaa, että merkittävän monet tuensaajat ovat halukkaita kertomaan saavutuksistaan ja tuloksistaan kulttuurialalle, luoville aloille ja </w:t>
      </w:r>
      <w:proofErr w:type="spellStart"/>
      <w:r w:rsidRPr="00E324D9">
        <w:t>audiovisuaalialalle</w:t>
      </w:r>
      <w:proofErr w:type="spellEnd"/>
      <w:r w:rsidRPr="00E324D9">
        <w:t xml:space="preserve"> sekä EU:n kansalaisille; huomauttaa, että tätä tarkoitusta varten perustettua alustaa pidetään epätyydyttävänä, ja kehottaa siksi komissiota ottamaan tuensaajat mukaan sopivamman alustan kehittämiseen;</w:t>
      </w:r>
    </w:p>
    <w:p w:rsidR="00237A77" w:rsidRPr="00E324D9" w:rsidRDefault="00237A77" w:rsidP="00237A77">
      <w:pPr>
        <w:pStyle w:val="NormalHanging12a"/>
        <w:widowControl/>
      </w:pPr>
      <w:r w:rsidRPr="00E324D9">
        <w:t>13.</w:t>
      </w:r>
      <w:r w:rsidRPr="00E324D9">
        <w:tab/>
        <w:t>panee merkille, että jotkin jäsenvaltiot eivät tarjoa kansallisia korvausjärjestelmiä tai vakuutusturvaa kulttuuriomaisuuden liikkuvuuden helpottamiseksi; toteaa, että kaupalliset vakuutuskustannukset voivat olla monille kulttuurialan toimijoille merkittäviä; ehdottaa tässä yhteydessä, että komissio julkaisee ensimmäisenä askeleena tämän ongelman ratkaisemiseksi toteutettavuustutkimuksen yleiseurooppalaisesta takausjärjestelmästä, jolla katetaan korvauskustannukset;</w:t>
      </w:r>
    </w:p>
    <w:p w:rsidR="00237A77" w:rsidRPr="00E324D9" w:rsidRDefault="00237A77" w:rsidP="00237A77">
      <w:pPr>
        <w:pStyle w:val="NormalHanging12a"/>
        <w:widowControl/>
      </w:pPr>
      <w:r w:rsidRPr="00E324D9">
        <w:t>14.</w:t>
      </w:r>
      <w:r w:rsidRPr="00E324D9">
        <w:tab/>
        <w:t xml:space="preserve">kehottaa komissiota edistämään tekoälyn ihmiskeskeistä ja avointa käyttämistä taiteellisessa ja luovassa prosessissa kehittämällä tekoälyn käyttöön liittyviä </w:t>
      </w:r>
      <w:r w:rsidRPr="00E324D9">
        <w:lastRenderedPageBreak/>
        <w:t>asianmukaisia eettisiä normeja; kehottaa tässä yhteydessä komissiota varmistamaan, että sekä hakijat että edunsaajat antavat tietoa tekoälyn käytöstä hankkeissa, myös luovien teosten tuotannossa, jakelussa ja myynninedistämisessä, jotta voidaan arvioida tätä kulttuurialan ja luovien alojen uutta suuntausta ja sen vaikutuksia ohjelmaan;</w:t>
      </w:r>
    </w:p>
    <w:p w:rsidR="00237A77" w:rsidRPr="00E324D9" w:rsidRDefault="00237A77" w:rsidP="00237A77">
      <w:pPr>
        <w:pStyle w:val="NormalHanging12a"/>
        <w:widowControl/>
      </w:pPr>
      <w:r w:rsidRPr="00E324D9">
        <w:t>15.</w:t>
      </w:r>
      <w:r w:rsidRPr="00E324D9">
        <w:tab/>
        <w:t>painottaa Luova Eurooppa -ohjelman merkittävää potentiaalia ohjelmamaiden välisten kumppanuuksien kehittämisessä ja tehostamisessa ja siten myös EU:n kansainvälisten suhteiden edistämisessä kulttuurin välityksellä;</w:t>
      </w:r>
    </w:p>
    <w:p w:rsidR="00237A77" w:rsidRPr="00E324D9" w:rsidRDefault="00237A77" w:rsidP="00237A77">
      <w:pPr>
        <w:pStyle w:val="NormalHanging12a"/>
        <w:widowControl/>
      </w:pPr>
      <w:r w:rsidRPr="00E324D9">
        <w:t>16.</w:t>
      </w:r>
      <w:r w:rsidRPr="00E324D9">
        <w:tab/>
        <w:t xml:space="preserve">kehottaa komissiota investoimaan riittävästi resursseja ohjelman ulkoiseen ulottuvuuteen ja kannustamaan jäsenvaltioiden kulttuuri-instituuttien ja </w:t>
      </w:r>
      <w:r w:rsidRPr="00E324D9">
        <w:noBreakHyphen/>
        <w:t>organisaatioiden sekä EU:n kansallisten kulttuuri-instituuttien (EUNIC) klusterien yhteistyön lisäämistä kolmansissa maissa; kehottaa lisäksi komissiota tukemaan ja helpottamaan mahdollisuuksien mukaan kolmansien maiden osallistumista ohjelmaan;</w:t>
      </w:r>
    </w:p>
    <w:p w:rsidR="00237A77" w:rsidRPr="00E324D9" w:rsidRDefault="00237A77" w:rsidP="00626AB5">
      <w:pPr>
        <w:pStyle w:val="NormalHanging12a"/>
        <w:keepNext/>
        <w:widowControl/>
        <w:ind w:left="0" w:firstLine="0"/>
        <w:rPr>
          <w:rFonts w:eastAsiaTheme="minorHAnsi"/>
          <w:b/>
          <w:i/>
        </w:rPr>
      </w:pPr>
      <w:r w:rsidRPr="00E324D9">
        <w:rPr>
          <w:b/>
          <w:i/>
        </w:rPr>
        <w:t>Talousarvio</w:t>
      </w:r>
    </w:p>
    <w:p w:rsidR="00237A77" w:rsidRPr="00E324D9" w:rsidRDefault="00237A77" w:rsidP="00237A77">
      <w:pPr>
        <w:pStyle w:val="NormalHanging12a"/>
        <w:widowControl/>
        <w:rPr>
          <w:rFonts w:eastAsiaTheme="minorHAnsi"/>
        </w:rPr>
      </w:pPr>
      <w:r w:rsidRPr="00E324D9">
        <w:t>17.</w:t>
      </w:r>
      <w:r w:rsidRPr="00E324D9">
        <w:tab/>
        <w:t>korostaa, että nykyisestä Luova Eurooppa -ohjelmasta haetaan edelleen enemmän tukea kuin sillä on määrärahoja, vaikka sen talousarviota on kasvatettu merkittävästi kaudella 2021–2027; kehottaakin komissiota ja jäsenvaltioita lisäämään merkittävästi Luova Eurooppa -ohjelmasta 2028–2034 kohdennettavia määrärahoja;</w:t>
      </w:r>
    </w:p>
    <w:p w:rsidR="00237A77" w:rsidRPr="00E324D9" w:rsidRDefault="00237A77" w:rsidP="00237A77">
      <w:pPr>
        <w:pStyle w:val="NormalHanging12a"/>
        <w:widowControl/>
        <w:rPr>
          <w:rFonts w:eastAsiaTheme="minorHAnsi"/>
        </w:rPr>
      </w:pPr>
      <w:r w:rsidRPr="00E324D9">
        <w:t>18.</w:t>
      </w:r>
      <w:r w:rsidRPr="00E324D9">
        <w:tab/>
        <w:t>toteaa, että kaksivuotiskaudella 2021–2022 menoja oli kiireellisesti käytettävä etupainotteisesti covid-19-pandemian ja Venäjän Ukrainaa vastaan käymän hyökkäyssodan vaikutusten lieventämiseen; korostaa kuitenkin, että tästä aiheutuu haitallisia vaikutuksia rahoitussyklin jälkipuoliskolla;</w:t>
      </w:r>
    </w:p>
    <w:p w:rsidR="00237A77" w:rsidRPr="00E324D9" w:rsidRDefault="00237A77" w:rsidP="00237A77">
      <w:pPr>
        <w:pStyle w:val="NormalHanging12a"/>
        <w:widowControl/>
        <w:rPr>
          <w:rFonts w:eastAsiaTheme="minorHAnsi"/>
        </w:rPr>
      </w:pPr>
      <w:r w:rsidRPr="00E324D9">
        <w:t>19.</w:t>
      </w:r>
      <w:r w:rsidRPr="00E324D9">
        <w:tab/>
        <w:t xml:space="preserve">kehottaa jäsenvaltioita ja komissiota varmistamaan, että ohjelman määrärahoja ei leikata tulevina varainhoitovuosina, sillä </w:t>
      </w:r>
      <w:proofErr w:type="spellStart"/>
      <w:r w:rsidRPr="00E324D9">
        <w:t>digitalisaatio</w:t>
      </w:r>
      <w:proofErr w:type="spellEnd"/>
      <w:r w:rsidRPr="00E324D9">
        <w:t xml:space="preserve"> ja viherryttäminen samoin kuin korkea osallistumisaste tuovat mukanaan haasteita, inflaatio kiihtyy ja energiakustannukset sen myötä kohoavat ja tämä kaikki vaikuttaa vakavasti tuensaajien toimintakykyyn;</w:t>
      </w:r>
    </w:p>
    <w:p w:rsidR="00237A77" w:rsidRPr="00E324D9" w:rsidRDefault="00237A77" w:rsidP="00237A77">
      <w:pPr>
        <w:pStyle w:val="NormalHanging12a"/>
        <w:widowControl/>
        <w:rPr>
          <w:rFonts w:eastAsiaTheme="minorHAnsi"/>
        </w:rPr>
      </w:pPr>
      <w:r w:rsidRPr="00E324D9">
        <w:t>20.</w:t>
      </w:r>
      <w:r w:rsidRPr="00E324D9">
        <w:tab/>
        <w:t>pitää valitettavana, että huippuosaamismerkkiä ei ole vielä pantu täytäntöön; kehottaa komissiota ottamaan tämän merkin käyttöön välittömästi, jotta hankkeet voivat hyödyntää kumulatiivisen ja vaihtoehtoisen rahoituksen tarjoamia mahdollisuuksia tämän ohjelmakauden aikana;</w:t>
      </w:r>
    </w:p>
    <w:p w:rsidR="00237A77" w:rsidRPr="00E324D9" w:rsidRDefault="00237A77" w:rsidP="00237A77">
      <w:pPr>
        <w:pStyle w:val="NormalHanging12a"/>
        <w:widowControl/>
        <w:rPr>
          <w:rFonts w:eastAsiaTheme="minorHAnsi"/>
        </w:rPr>
      </w:pPr>
      <w:r w:rsidRPr="00E324D9">
        <w:t>21.</w:t>
      </w:r>
      <w:r w:rsidRPr="00E324D9">
        <w:tab/>
        <w:t>pitää valitettavana, että vuosien 2021–2027 monivuotisessa rahoituskehyksessä ei ole joustovaraa Luova Eurooppa -ohjelman täydentämiseen, ja korostaa, että tämä estää uusien aloitteiden, arvokkaiden pilottihankkeiden ja valmistelutoimien rahoittamisen; muistuttaa tässä yhteydessä, että pilottihankkeet ja valmistelutoimet ovat tärkeitä välineitä sellaisten uusien aloitteiden testaamiseksi, jotka voivat kehittyä pysyviksi EU:n rahoitusohjelmiksi tai jotka voidaan sisällyttää olemassa oleviin ohjelmiin;</w:t>
      </w:r>
    </w:p>
    <w:p w:rsidR="00237A77" w:rsidRPr="00E324D9" w:rsidRDefault="00237A77" w:rsidP="00237A77">
      <w:pPr>
        <w:pStyle w:val="NormalHanging12a"/>
        <w:widowControl/>
        <w:rPr>
          <w:rFonts w:eastAsiaTheme="minorHAnsi"/>
        </w:rPr>
      </w:pPr>
      <w:r w:rsidRPr="00E324D9">
        <w:t>22.</w:t>
      </w:r>
      <w:r w:rsidRPr="00E324D9">
        <w:tab/>
        <w:t>pitää valitettavana monivuotisen rahoituskehyksen kahden syklin välille jäänyttä rahoitusvajetta, joka vaikutti erityisesti verkostotoimeen, ja kehottaa komissiota varmistamaan, että tämä ei toistu tulevaisuudessa; kehottaa komissiota myöntämään riittävästi rahoitusta ja harkitsemaan lisäksi toiminta-avustusten käyttöönottoa tätä toimintaa varten, sillä tällä toimella on keskeinen rooli tuettaessa kulttuurialan ja luovien alojen mahdollisuuksia ohjelmamaiden väliseen ja kansainväliseen toimintaan;</w:t>
      </w:r>
    </w:p>
    <w:p w:rsidR="00237A77" w:rsidRPr="00E324D9" w:rsidRDefault="00237A77" w:rsidP="00626AB5">
      <w:pPr>
        <w:pStyle w:val="NormalHanging12a"/>
        <w:keepNext/>
        <w:widowControl/>
        <w:ind w:left="0" w:firstLine="0"/>
        <w:rPr>
          <w:rFonts w:eastAsiaTheme="minorHAnsi"/>
          <w:b/>
          <w:i/>
        </w:rPr>
      </w:pPr>
      <w:r w:rsidRPr="00E324D9">
        <w:rPr>
          <w:b/>
          <w:i/>
        </w:rPr>
        <w:lastRenderedPageBreak/>
        <w:t>Kulttuurin toimintalinja</w:t>
      </w:r>
    </w:p>
    <w:p w:rsidR="00237A77" w:rsidRPr="00E324D9" w:rsidRDefault="00237A77" w:rsidP="00237A77">
      <w:pPr>
        <w:pStyle w:val="NormalHanging12a"/>
        <w:widowControl/>
        <w:rPr>
          <w:rFonts w:eastAsiaTheme="minorHAnsi"/>
        </w:rPr>
      </w:pPr>
      <w:r w:rsidRPr="00E324D9">
        <w:t>23.</w:t>
      </w:r>
      <w:r w:rsidRPr="00E324D9">
        <w:tab/>
        <w:t>suhtautuu myönteisesti alakohtaisen lähestymistavan käyttöönottoon Kulttuurin toimintalinjan uutena piirteenä, joka täydentää horisontaalisia toimia; kehottaa vahvistamaan sitä riittävillä määrärahoilla, joiden avulla varmistetaan, että yhtäkään alaa ei jätetä jälkeen eikä horisontaalisten toimien määrärahoja vähennetä;</w:t>
      </w:r>
    </w:p>
    <w:p w:rsidR="00237A77" w:rsidRPr="00E324D9" w:rsidRDefault="00237A77" w:rsidP="00237A77">
      <w:pPr>
        <w:pStyle w:val="NormalHanging12a"/>
        <w:widowControl/>
        <w:rPr>
          <w:rFonts w:eastAsiaTheme="minorHAnsi"/>
        </w:rPr>
      </w:pPr>
      <w:r w:rsidRPr="00E324D9">
        <w:t>24.</w:t>
      </w:r>
      <w:r w:rsidRPr="00E324D9">
        <w:tab/>
        <w:t>muistuttaa, että on tärkeää turvata ja edistää edelleen taiteellisen ilmaisun vapautta erityisesti sellaisten rahoitusmahdollisuuksien osalta, joita ohjelma tarjoaa kulttuuriyhteistyöhankkeiden ja eurooppalaisia verkostoja koskevan toimen puitteissa;</w:t>
      </w:r>
    </w:p>
    <w:p w:rsidR="00237A77" w:rsidRPr="00E324D9" w:rsidRDefault="00237A77" w:rsidP="00237A77">
      <w:pPr>
        <w:pStyle w:val="NormalHanging12a"/>
        <w:widowControl/>
      </w:pPr>
      <w:r w:rsidRPr="00E324D9">
        <w:t>25.</w:t>
      </w:r>
      <w:r w:rsidRPr="00E324D9">
        <w:tab/>
        <w:t>toteaa, että erityisesti pienten yhteistyöhankkeiden yhteisrahoitusosuuksien korottaminen on hyödyllistä ja se helpottaa pienten organisaatioiden osallistumista; pyytää tähän liittyen, että komissio ja EACEA sallisivat hankekonsortioiden määritellä itsenäisesti, miten rahoitus jaetaan kumppaneiden kesken, sillä edellytyksellä, että yleistä yhteisrahoitusosuutta sovelletaan hanketasolla;</w:t>
      </w:r>
    </w:p>
    <w:p w:rsidR="00237A77" w:rsidRPr="00E324D9" w:rsidRDefault="00237A77" w:rsidP="00237A77">
      <w:pPr>
        <w:pStyle w:val="NormalHanging12a"/>
        <w:widowControl/>
      </w:pPr>
      <w:r w:rsidRPr="00E324D9">
        <w:t>26.</w:t>
      </w:r>
      <w:r w:rsidRPr="00E324D9">
        <w:tab/>
        <w:t xml:space="preserve">korostaa </w:t>
      </w:r>
      <w:proofErr w:type="spellStart"/>
      <w:r w:rsidRPr="00E324D9">
        <w:t>rajatylittävän</w:t>
      </w:r>
      <w:proofErr w:type="spellEnd"/>
      <w:r w:rsidRPr="00E324D9">
        <w:t xml:space="preserve"> liikkuvuuden merkitystä kaikille luovan työn tekijöille, sillä se tukee luovaa prosessia parantamalla ammatillisia mahdollisuuksia ulkomailla; pitää tässä yhteydessä myönteisenä Kulttuuri liikuttaa Eurooppaa -toimea uutena Luova Eurooppa -ohjelman mukaisena liikkuvuustoimena;</w:t>
      </w:r>
    </w:p>
    <w:p w:rsidR="00237A77" w:rsidRPr="00E324D9" w:rsidRDefault="00237A77" w:rsidP="00237A77">
      <w:pPr>
        <w:pStyle w:val="NormalHanging12a"/>
        <w:widowControl/>
      </w:pPr>
      <w:r w:rsidRPr="00E324D9">
        <w:t>27.</w:t>
      </w:r>
      <w:r w:rsidRPr="00E324D9">
        <w:tab/>
        <w:t>panee merkille, että liikkuvuustoimessa on saatu varsin laadukkaita hakemuksia; kehottaa komissiota kuitenkin lisäämään Kulttuuri liikuttaa Eurooppaa -toimen tunnettuutta laajemman yleisön keskuudessa kaikkien Luova Eurooppa -ohjelmayhteyspisteiden avulla ja tuella toteuttamalla viestintä- ja tiedotustoimia; katsoo, että nämä toimet olisi kohdennettava erityisesti yksittäisiin aloihin, mukaan lukien luovan työn tekijät kaikista marginalisoituneista ryhmistä sekä vähemmän edustettuina olevista maista ja aloilta, jotta voidaan varmistaa maantieteellinen tasapaino;</w:t>
      </w:r>
    </w:p>
    <w:p w:rsidR="00237A77" w:rsidRPr="00E324D9" w:rsidRDefault="00237A77" w:rsidP="00237A77">
      <w:pPr>
        <w:pStyle w:val="NormalHanging12a"/>
        <w:widowControl/>
      </w:pPr>
      <w:r w:rsidRPr="00E324D9">
        <w:t>28.</w:t>
      </w:r>
      <w:r w:rsidRPr="00E324D9">
        <w:tab/>
        <w:t>panee merkille uuden liikkuvuustoimen merkittävän menestyksen mutta huomauttaa kuitenkin, että on välttämätöntä analysoida tärkeimpiä esiin nousevia suuntauksia vuoden 2024 loppuun mennessä, jotta voidaan tutkia mahdollisuutta laajentaa tätä toimea edelleen siten, että se kattaisi uusia toimijoita, kuten kirja-alan edustajia; kehottaa tässä yhteydessä komissiota lisäämään tähän toimeen osoitettuja määrärahoja vuodesta 2025 alkaen;</w:t>
      </w:r>
    </w:p>
    <w:p w:rsidR="00237A77" w:rsidRPr="00E324D9" w:rsidRDefault="00237A77" w:rsidP="00237A77">
      <w:pPr>
        <w:pStyle w:val="NormalHanging12a"/>
        <w:widowControl/>
      </w:pPr>
      <w:r w:rsidRPr="00E324D9">
        <w:t>29.</w:t>
      </w:r>
      <w:r w:rsidRPr="00E324D9">
        <w:tab/>
        <w:t>korostaa liikkuvuustoimessa toteutettujen ”vihreiden” ja perheille tarkoitettujen täydentävien tukien myönteistä vaikutusta konkreettisena esimerkkinä siitä, miten ohjelma voi olla osallistavampi; kehottaa siksi komissiota harkitsemaan tämän lähestymistavan täytäntöönpanoa muissa Luova Eurooppa -ohjelman toimissa;</w:t>
      </w:r>
    </w:p>
    <w:p w:rsidR="00237A77" w:rsidRPr="00E324D9" w:rsidRDefault="00237A77" w:rsidP="00237A77">
      <w:pPr>
        <w:pStyle w:val="NormalHanging12a"/>
        <w:widowControl/>
      </w:pPr>
      <w:r w:rsidRPr="00E324D9">
        <w:t>30.</w:t>
      </w:r>
      <w:r w:rsidRPr="00E324D9">
        <w:tab/>
        <w:t>pitää myönteisenä, että uusia taiteilijoita tunnetuksi tekevien eurooppalaisten foorumien rahoitusta Kulttuurin toimintalinjasta on lisätty, ja korostaa sen myönteistä vaikutusta monimuotoisuuteen, koska se on tuonut taiteilijoille ja heidän teoksilleen lisää kansainvälistä näkyvyyttä; pyytää siksi, että komissio jatkaisi tämän toimen kehittämistä varmistamalla riittävän rahoituksen ja promootion;</w:t>
      </w:r>
    </w:p>
    <w:p w:rsidR="00237A77" w:rsidRPr="00E324D9" w:rsidRDefault="00237A77" w:rsidP="00237A77">
      <w:pPr>
        <w:pStyle w:val="NormalHanging12a"/>
        <w:widowControl/>
      </w:pPr>
      <w:r w:rsidRPr="00E324D9">
        <w:t>31.</w:t>
      </w:r>
      <w:r w:rsidRPr="00E324D9">
        <w:tab/>
        <w:t xml:space="preserve">korostaa verkostotoimen merkitystä tarjottaessa Euroopan kulttuurialan ja luovien alojen monimuotoisuutta ja kilpailukykyä vahvistavia mahdollisuuksia verkottumiseen ja valmiuksien kehittämiseen; kehottaa tässä yhteydessä komissiota myöntämään tälle </w:t>
      </w:r>
      <w:r w:rsidRPr="00E324D9">
        <w:lastRenderedPageBreak/>
        <w:t>toimelle riittävästi rahoitusta, jotta voidaan tukea nykyisiä tuensaajia ja uusia verkostoja;</w:t>
      </w:r>
    </w:p>
    <w:p w:rsidR="00237A77" w:rsidRPr="00E324D9" w:rsidRDefault="00237A77" w:rsidP="00237A77">
      <w:pPr>
        <w:pStyle w:val="NormalHanging12a"/>
        <w:widowControl/>
      </w:pPr>
      <w:r w:rsidRPr="00E324D9">
        <w:t>32.</w:t>
      </w:r>
      <w:r w:rsidRPr="00E324D9">
        <w:tab/>
        <w:t>korostaa, että alakohtainen lähestymistapa on erinomainen väline, joka vahvistaa kirja- ja kustannusalaa ja mahdollistaa yhteiset toimet, joilla tuetaan ja edistetään eurooppalaisten teosten markkinoille pääsyä ja laajempaa levitystä;</w:t>
      </w:r>
    </w:p>
    <w:p w:rsidR="00237A77" w:rsidRPr="00E324D9" w:rsidRDefault="00237A77" w:rsidP="00237A77">
      <w:pPr>
        <w:pStyle w:val="NormalHanging12a"/>
        <w:widowControl/>
      </w:pPr>
      <w:r w:rsidRPr="00E324D9">
        <w:t>33.</w:t>
      </w:r>
      <w:r w:rsidRPr="00E324D9">
        <w:tab/>
        <w:t>muistuttaa, että kirjallisuuden kääntäminen on kirja-alan tärkein tukitoimi; painottaa kuitenkin, että tätä toimea on laajennettava siten, että se kattaa eurooppalaisten tietokirjojen kääntämisen; kehottaa komissiota laatimaan ohjelman väliarviointia varten mitattavissa olevia tavoitteita sille, millä tavalla rahoitusta kohdennetaan kirjojen saatavuuden parantamiseksi vammaisten henkilöiden kannalta;</w:t>
      </w:r>
    </w:p>
    <w:p w:rsidR="00237A77" w:rsidRPr="00E324D9" w:rsidRDefault="00237A77" w:rsidP="00237A77">
      <w:pPr>
        <w:pStyle w:val="NormalHanging12a"/>
        <w:widowControl/>
      </w:pPr>
      <w:r w:rsidRPr="00E324D9">
        <w:t>34.</w:t>
      </w:r>
      <w:r w:rsidRPr="00E324D9">
        <w:tab/>
        <w:t>panee tyytyväisenä merkille, että Kulttuurin toimintalinjaan kuuluvia musiikkialaa tukevia toimia on lisätty, mikä on johtanut siihen, että nykyisessä ohjelmassa esitetään enemmän musiikkiin liittyviä hankkeita; kehottaa soveltamaan musiikkialaan strategisempaa ja alakohtaista lähestymistapaa, jotta voidaan vastata uudenlaisiin ja tulossa oleviin haasteisiin, ja perustamaan sen Musiikki liikuttaa Eurooppaa -valmistelutoimen tuloksiin; painottaa tässä yhteydessä musiikkialan ekosysteemin ja komission välisen säännöllisen jäsennellyn vuoropuhelun tärkeyttä; kehottaa lisäksi komissiota keräämään yhteistyössä alan kanssa tietoja jäsenvaltioiden musiikkimarkkinoista ja raportoimaan kaikista koko toimintaympäristöön vaikuttavista uusista haasteista;</w:t>
      </w:r>
    </w:p>
    <w:p w:rsidR="00237A77" w:rsidRPr="00E324D9" w:rsidRDefault="00237A77" w:rsidP="00237A77">
      <w:pPr>
        <w:pStyle w:val="NormalHanging12a"/>
        <w:widowControl/>
      </w:pPr>
      <w:r w:rsidRPr="00E324D9">
        <w:t>35.</w:t>
      </w:r>
      <w:r w:rsidRPr="00E324D9">
        <w:tab/>
        <w:t xml:space="preserve">korostaa Euroopan kulttuuripääkaupunki -erityistoimen suurta merkitystä kaupunkien ja alueiden kulttuurisen ja taloudellisen elvyttämisen käynnistäjänä; painottaa, että tämä erityistoimi tarvitsee jo pitkään kaivattua lisärahoitusta, jotta voidaan kattaa covid-19-pandemian pitkän aikavälin vaikutuksista ja kiihtyvästä inflaatiosta aiheutuvat lisäkustannukset; kehottaa siksi komissiota lisäämään </w:t>
      </w:r>
      <w:proofErr w:type="spellStart"/>
      <w:r w:rsidRPr="00E324D9">
        <w:t>Melina</w:t>
      </w:r>
      <w:proofErr w:type="spellEnd"/>
      <w:r w:rsidRPr="00E324D9">
        <w:t xml:space="preserve"> </w:t>
      </w:r>
      <w:proofErr w:type="spellStart"/>
      <w:r w:rsidRPr="00E324D9">
        <w:t>Mercouri</w:t>
      </w:r>
      <w:proofErr w:type="spellEnd"/>
      <w:r w:rsidRPr="00E324D9">
        <w:t xml:space="preserve"> -palkinnon rahoitusta, joka on ollut vain 1,5 miljoonaa euroa jo useita vuosia; kehottaa lisäksi jäsenvaltioita varmistamaan, että aloitteella on pysyviä vaikutuksia ja tukemaan sen tunnetuksi tekemistä, jotta voidaan lisätä osallistumista sen puitteissa kehitettyyn kulttuuritoimintaan;</w:t>
      </w:r>
    </w:p>
    <w:p w:rsidR="00237A77" w:rsidRPr="00E324D9" w:rsidRDefault="00237A77" w:rsidP="00237A77">
      <w:pPr>
        <w:pStyle w:val="NormalHanging12a"/>
        <w:widowControl/>
      </w:pPr>
      <w:r w:rsidRPr="00E324D9">
        <w:t>36.</w:t>
      </w:r>
      <w:r w:rsidRPr="00E324D9">
        <w:tab/>
        <w:t>toteaa, että Euroopan kulttuuriperintötunnus on arvokas aloite, jolla edistetään erinäisten kohteiden merkittävää roolia Euroopan historiassa ja kulttuurissa, ja panee merkille, että vuosina 2013–2021 tunnus myönnettiin 60 kohteelle; kehottaa komissiota kuitenkin parantamaan Euroopan kulttuuriperintötunnuksen näkyvyyttä luomalla synergiaa muiden asiaankuuluvien EU:n rahoitusvälineiden kanssa;</w:t>
      </w:r>
    </w:p>
    <w:p w:rsidR="00237A77" w:rsidRPr="00E324D9" w:rsidRDefault="00237A77" w:rsidP="00237A77">
      <w:pPr>
        <w:pStyle w:val="NormalHanging12a"/>
        <w:widowControl/>
      </w:pPr>
      <w:r w:rsidRPr="00E324D9">
        <w:t>37.</w:t>
      </w:r>
      <w:r w:rsidRPr="00E324D9">
        <w:tab/>
        <w:t>korostaa Luova Eurooppa -ohjelmasta tuettujen palkintojen merkitystä kirjallisuuden, arkkitehtuurin ja kulttuuriperinnön, musiikin (nykymusiikki, rock ja pop) ja audiovisuaalisen taiteen aloilla; korostaa, että nämä jo pidempään käytössä olleet aloitteet tunnetaan näillä aloilla hyvin ja että ne lisäävät Euroopan kulttuurialan ja luovien alojen näkyvyyttä palkitsemalla saavutuksia eri aloilla;</w:t>
      </w:r>
    </w:p>
    <w:p w:rsidR="00237A77" w:rsidRPr="00E324D9" w:rsidRDefault="00237A77" w:rsidP="00626AB5">
      <w:pPr>
        <w:pStyle w:val="NormalHanging12a"/>
        <w:keepNext/>
        <w:widowControl/>
        <w:ind w:left="0" w:firstLine="0"/>
        <w:rPr>
          <w:rFonts w:eastAsiaTheme="minorHAnsi"/>
          <w:b/>
          <w:i/>
        </w:rPr>
      </w:pPr>
      <w:r w:rsidRPr="00E324D9">
        <w:rPr>
          <w:b/>
          <w:i/>
        </w:rPr>
        <w:t>Median toimintalinja</w:t>
      </w:r>
    </w:p>
    <w:p w:rsidR="00237A77" w:rsidRPr="00E324D9" w:rsidRDefault="00237A77" w:rsidP="00237A77">
      <w:pPr>
        <w:pStyle w:val="NormalHanging12a"/>
        <w:widowControl/>
      </w:pPr>
      <w:r w:rsidRPr="00E324D9">
        <w:t>38.</w:t>
      </w:r>
      <w:r w:rsidRPr="00E324D9">
        <w:tab/>
        <w:t xml:space="preserve">toteaa, että Median toimintalinja on edelleen tärkein EU:n väline, josta annetaan strategista tukea riippumattomalle </w:t>
      </w:r>
      <w:proofErr w:type="spellStart"/>
      <w:r w:rsidRPr="00E324D9">
        <w:t>audiovisuaalialalle</w:t>
      </w:r>
      <w:proofErr w:type="spellEnd"/>
      <w:r w:rsidRPr="00E324D9">
        <w:t xml:space="preserve">, joka koostuu pääasiassa pienistä ja keskisuurista yrityksistä; korostaa, että Euroopan </w:t>
      </w:r>
      <w:proofErr w:type="spellStart"/>
      <w:r w:rsidRPr="00E324D9">
        <w:t>audiovisuaali</w:t>
      </w:r>
      <w:proofErr w:type="spellEnd"/>
      <w:r w:rsidRPr="00E324D9">
        <w:t xml:space="preserve">-, elokuva- ja videopelialalla on merkittävää kansainvälistä kilpailua ja että tämä toimintalinja tukee </w:t>
      </w:r>
      <w:r w:rsidRPr="00E324D9">
        <w:lastRenderedPageBreak/>
        <w:t>ratkaisevasti näiden alojen elpymistä ja muutosta sekä EU:n strategisen riippumattomuuden lisäämistä; painottaa tässä yhteydessä, että on tärkeää varmistaa riittävät määrärahat Median toimintalinjalle, ja korostaa, että tarvitaan kattavia tietoja sen arvioimiseksi ja seuraamiseksi, onnistutaanko ohjelman avulla lisäämään tehokkaasti näiden alojen taloudellisia ja kulttuurisia mahdollisuuksia ja miten se onnistuu;</w:t>
      </w:r>
    </w:p>
    <w:p w:rsidR="00237A77" w:rsidRPr="00E324D9" w:rsidRDefault="00237A77" w:rsidP="00237A77">
      <w:pPr>
        <w:pStyle w:val="NormalHanging12a"/>
        <w:widowControl/>
      </w:pPr>
      <w:r w:rsidRPr="00E324D9">
        <w:t>39.</w:t>
      </w:r>
      <w:r w:rsidRPr="00E324D9">
        <w:tab/>
        <w:t xml:space="preserve">toteaa, että Median toimintalinjassa käyttöön otetuilla kohdennetuilla toimenpiteillä on ollut myönteinen vaikutus </w:t>
      </w:r>
      <w:proofErr w:type="spellStart"/>
      <w:r w:rsidRPr="00E324D9">
        <w:t>audiovisuaalialan</w:t>
      </w:r>
      <w:proofErr w:type="spellEnd"/>
      <w:r w:rsidRPr="00E324D9">
        <w:t xml:space="preserve"> kapasiteetiltaan erilaisten maiden osallistumisen laajentamiseen ja </w:t>
      </w:r>
      <w:proofErr w:type="spellStart"/>
      <w:r w:rsidRPr="00E324D9">
        <w:t>rajatylittävän</w:t>
      </w:r>
      <w:proofErr w:type="spellEnd"/>
      <w:r w:rsidRPr="00E324D9">
        <w:t xml:space="preserve"> yhteistyön vahvistamiseen;</w:t>
      </w:r>
    </w:p>
    <w:p w:rsidR="00237A77" w:rsidRPr="00E324D9" w:rsidRDefault="00237A77" w:rsidP="00237A77">
      <w:pPr>
        <w:pStyle w:val="NormalHanging12a"/>
        <w:widowControl/>
        <w:rPr>
          <w:rFonts w:eastAsiaTheme="minorHAnsi"/>
        </w:rPr>
      </w:pPr>
      <w:r w:rsidRPr="00E324D9">
        <w:t>40.</w:t>
      </w:r>
      <w:r w:rsidRPr="00E324D9">
        <w:tab/>
        <w:t>korostaa, että talousarviorajoitusten vuoksi vuosina 2021–2022 hylättiin suuri määrä korkealaatuisia hankkeita, joita esitettiin yhteiskehittämistoimen ja Mini-Slate -toimen mukaisesti; kehottaa siksi komissiota osoittamaan enemmän määrärahoja näiden toimien tulevaan täytäntöönpanoon;</w:t>
      </w:r>
    </w:p>
    <w:p w:rsidR="00237A77" w:rsidRPr="00E324D9" w:rsidRDefault="00237A77" w:rsidP="00237A77">
      <w:pPr>
        <w:pStyle w:val="NormalHanging12a"/>
        <w:widowControl/>
        <w:rPr>
          <w:rFonts w:eastAsiaTheme="minorHAnsi"/>
        </w:rPr>
      </w:pPr>
      <w:r w:rsidRPr="00E324D9">
        <w:t>41.</w:t>
      </w:r>
      <w:r w:rsidRPr="00E324D9">
        <w:tab/>
        <w:t xml:space="preserve">korostaa eurooppalaisten elokuvien levitystä ja eurooppalaisten elokuvien myyntiä koskevien tukitoimien keskeistä roolia Euroopan </w:t>
      </w:r>
      <w:proofErr w:type="spellStart"/>
      <w:r w:rsidRPr="00E324D9">
        <w:t>audiovisuaalialan</w:t>
      </w:r>
      <w:proofErr w:type="spellEnd"/>
      <w:r w:rsidRPr="00E324D9">
        <w:t xml:space="preserve"> kulttuurisen monimuotoisuuden edistämisessä, sillä ne lisäävät eurooppalaisten elokuvien levitystä yli rajojen ja tasoittavat osaa niistä riskeistä, joita jakelijat ottavat investoidessaan muiden kuin kotimaisten eurooppalaisten elokuvien tuotantoon, levitykseen ja markkinointiin; painottaa siksi, että on olennaisen tärkeää lisätä molempien toimien rahoitusta ja pyrkiä edelleen varmistamaan eurooppalaisten teosten laajempi levitys ja saatavuus verkossa;</w:t>
      </w:r>
    </w:p>
    <w:p w:rsidR="00237A77" w:rsidRPr="00E324D9" w:rsidRDefault="00237A77" w:rsidP="00237A77">
      <w:pPr>
        <w:pStyle w:val="NormalHanging12a"/>
        <w:widowControl/>
        <w:rPr>
          <w:rFonts w:eastAsiaTheme="minorHAnsi"/>
        </w:rPr>
      </w:pPr>
      <w:r w:rsidRPr="00E324D9">
        <w:t>42.</w:t>
      </w:r>
      <w:r w:rsidRPr="00E324D9">
        <w:tab/>
        <w:t xml:space="preserve">korostaa, että monissa Euroopan maissa ei ole elokuvateosten esittämiseen tarkoitettuja tukijärjestelmiä; korostaa tässä yhteydessä, että on tärkeää säilyttää riittävä rahoitus Europa </w:t>
      </w:r>
      <w:proofErr w:type="spellStart"/>
      <w:r w:rsidRPr="00E324D9">
        <w:t>Cinemas</w:t>
      </w:r>
      <w:proofErr w:type="spellEnd"/>
      <w:r w:rsidRPr="00E324D9">
        <w:t xml:space="preserve"> -verkostolle eli Median toimintalinjan lippulaivahankkeelle, jolla edistetään eurooppalaisten elokuvien levitystä elokuvateattereissa;</w:t>
      </w:r>
    </w:p>
    <w:p w:rsidR="00237A77" w:rsidRPr="00E324D9" w:rsidRDefault="00237A77" w:rsidP="00237A77">
      <w:pPr>
        <w:pStyle w:val="NormalHanging12a"/>
        <w:widowControl/>
      </w:pPr>
      <w:r w:rsidRPr="00E324D9">
        <w:t>43.</w:t>
      </w:r>
      <w:r w:rsidRPr="00E324D9">
        <w:tab/>
        <w:t xml:space="preserve">painottaa, että Luova Eurooppa -ohjelmaa 2021–2027 koskevalla asetuksella parannetaan </w:t>
      </w:r>
      <w:proofErr w:type="spellStart"/>
      <w:r w:rsidRPr="00E324D9">
        <w:t>audiovisuaalialan</w:t>
      </w:r>
      <w:proofErr w:type="spellEnd"/>
      <w:r w:rsidRPr="00E324D9">
        <w:t xml:space="preserve"> ammattilaisten, myös luovan työn tekijöiden, verkottumistoimien tukemista; huomauttaa, että tätä toimea ei ole vielä pantu täytäntöön; kehottaa siksi komissiota toteuttamaan erityistoimen, jonka tavoitteena on tukea eurooppalaisten ammatti- ja kulttuurijärjestöjen verkottumista ja yhteistyötä </w:t>
      </w:r>
      <w:proofErr w:type="spellStart"/>
      <w:r w:rsidRPr="00E324D9">
        <w:t>audiovisuaalialan</w:t>
      </w:r>
      <w:proofErr w:type="spellEnd"/>
      <w:r w:rsidRPr="00E324D9">
        <w:t xml:space="preserve"> arvoketjussa oikea-aikaisesti;</w:t>
      </w:r>
    </w:p>
    <w:p w:rsidR="00237A77" w:rsidRPr="00E324D9" w:rsidRDefault="00237A77" w:rsidP="00237A77">
      <w:pPr>
        <w:pStyle w:val="NormalHanging12a"/>
        <w:widowControl/>
      </w:pPr>
      <w:r w:rsidRPr="00E324D9">
        <w:t>44.</w:t>
      </w:r>
      <w:r w:rsidRPr="00E324D9">
        <w:tab/>
        <w:t>palauttaa mieliin Kirjoittava Eurooppa -valmistelutoimen menestyksen ja ehdottaa, että komissio sisällyttäisi tämän toimen tavoitteet Luova Eurooppa -ohjelmaan;</w:t>
      </w:r>
    </w:p>
    <w:p w:rsidR="00237A77" w:rsidRPr="00E324D9" w:rsidRDefault="00237A77" w:rsidP="00237A77">
      <w:pPr>
        <w:pStyle w:val="NormalHanging12a"/>
        <w:widowControl/>
        <w:rPr>
          <w:rFonts w:eastAsiaTheme="minorHAnsi"/>
        </w:rPr>
      </w:pPr>
      <w:r w:rsidRPr="00E324D9">
        <w:t>45.</w:t>
      </w:r>
      <w:r w:rsidRPr="00E324D9">
        <w:tab/>
        <w:t xml:space="preserve">pitää myönteisenä erityistoimen käyttöönottoa videopelien ja </w:t>
      </w:r>
      <w:proofErr w:type="spellStart"/>
      <w:r w:rsidRPr="00E324D9">
        <w:t>immersiivisen</w:t>
      </w:r>
      <w:proofErr w:type="spellEnd"/>
      <w:r w:rsidRPr="00E324D9">
        <w:t xml:space="preserve"> sisällön kehittämisen tukemiseksi, mikä on herättänyt huomattavaa kiinnostusta alalla; kehottaa komissiota tukemaan tämän alan kulttuurista ja luovaa ulottuvuutta ottamalla huomioon sen erityispiirteet ja niihin liittyvät tarpeet suunnitellessaan asiaankuuluvia ehdotuspyyntöjä, mukaan lukien tarve testata uusia liiketoimintamalleja virtuaalimaailmassa, jotta mahdollistetaan osaamisen kehittäminen tällä alalla kiinnittäen erityistä huomiota naisten osallistumiseen; toteaa kuitenkin, että nykyinen talousarvio ei ehkä riitä tähän, ja kehottaa myöntämään lisärahoitusta eurooppalaisen videopelialan ekosysteemin kasvun tukemiseen ja eurooppalaisten kykyjen kehittämiseen ja säilyttämiseen;</w:t>
      </w:r>
    </w:p>
    <w:p w:rsidR="00237A77" w:rsidRPr="00E324D9" w:rsidRDefault="00237A77" w:rsidP="00237A77">
      <w:pPr>
        <w:pStyle w:val="NormalHanging12a"/>
        <w:widowControl/>
        <w:rPr>
          <w:rFonts w:eastAsiaTheme="minorHAnsi"/>
        </w:rPr>
      </w:pPr>
      <w:r w:rsidRPr="00E324D9">
        <w:lastRenderedPageBreak/>
        <w:t>46.</w:t>
      </w:r>
      <w:r w:rsidRPr="00E324D9">
        <w:tab/>
        <w:t xml:space="preserve">korostaa, että inflaation kiihtyminen vaikuttaa tuotantokustannuksiin </w:t>
      </w:r>
      <w:proofErr w:type="spellStart"/>
      <w:r w:rsidRPr="00E324D9">
        <w:t>audiovisuaalimarkkinoilla</w:t>
      </w:r>
      <w:proofErr w:type="spellEnd"/>
      <w:r w:rsidRPr="00E324D9">
        <w:t xml:space="preserve">, joilla kilpailu on kovaa; kehottaa siksi komissiota mukauttamaan rahoituksen enimmäismääriä ylöspäin sen varmistamiseksi, että Median toimintalinjan tuki </w:t>
      </w:r>
      <w:proofErr w:type="spellStart"/>
      <w:r w:rsidRPr="00E324D9">
        <w:t>audiovisuaalialalle</w:t>
      </w:r>
      <w:proofErr w:type="spellEnd"/>
      <w:r w:rsidRPr="00E324D9">
        <w:t xml:space="preserve"> toteutuu;</w:t>
      </w:r>
    </w:p>
    <w:p w:rsidR="00237A77" w:rsidRPr="00E324D9" w:rsidRDefault="00237A77" w:rsidP="00237A77">
      <w:pPr>
        <w:pStyle w:val="NormalHanging12a"/>
        <w:widowControl/>
        <w:rPr>
          <w:rFonts w:eastAsiaTheme="minorHAnsi"/>
        </w:rPr>
      </w:pPr>
      <w:r w:rsidRPr="00E324D9">
        <w:t>47.</w:t>
      </w:r>
      <w:r w:rsidRPr="00E324D9">
        <w:tab/>
        <w:t>panee merkille eurooppalaisten festivaalien verkostoa koskevan ehdotuspyynnön menestyksen, sillä sen avulla on tuettu 71:tä festivaalia 12 verkostossa, jotka ovat tehneet yhteistyötä muun muassa yleisön osallistumisen edistämiseksi; kehottaa siksi komissiota jatkamaan kahden täydentävän toimen, eurooppalaisten festivaalien ja eurooppalaisten festivaalien verkoston, rahoittamista vuorovuosina;</w:t>
      </w:r>
    </w:p>
    <w:p w:rsidR="00237A77" w:rsidRPr="00E324D9" w:rsidRDefault="00237A77" w:rsidP="00237A77">
      <w:pPr>
        <w:pStyle w:val="NormalHanging12a"/>
        <w:widowControl/>
        <w:rPr>
          <w:rFonts w:eastAsiaTheme="minorHAnsi"/>
        </w:rPr>
      </w:pPr>
      <w:r w:rsidRPr="00E324D9">
        <w:t>48.</w:t>
      </w:r>
      <w:r w:rsidRPr="00E324D9">
        <w:tab/>
        <w:t xml:space="preserve">panee merkille, että koska Media Invest -väline houkutteli paljon hakemuksia, sen tulevaa täytäntöönpanoa varten on varmistettava, että talousarvion synergiaa </w:t>
      </w:r>
      <w:proofErr w:type="spellStart"/>
      <w:r w:rsidRPr="00E324D9">
        <w:t>InvestEU</w:t>
      </w:r>
      <w:proofErr w:type="spellEnd"/>
      <w:r w:rsidRPr="00E324D9">
        <w:t xml:space="preserve">-ohjelman kanssa lisätään; kehottaa komissiota parantamaan edelleen tämän välineen tunnetuksi tekemistä </w:t>
      </w:r>
      <w:proofErr w:type="spellStart"/>
      <w:r w:rsidRPr="00E324D9">
        <w:t>audiovisuaalialalla</w:t>
      </w:r>
      <w:proofErr w:type="spellEnd"/>
      <w:r w:rsidRPr="00E324D9">
        <w:t>;</w:t>
      </w:r>
    </w:p>
    <w:p w:rsidR="00237A77" w:rsidRPr="00E324D9" w:rsidRDefault="00237A77" w:rsidP="00237A77">
      <w:pPr>
        <w:pStyle w:val="NormalHanging12a"/>
        <w:widowControl/>
        <w:rPr>
          <w:rFonts w:eastAsiaTheme="minorHAnsi"/>
        </w:rPr>
      </w:pPr>
      <w:r w:rsidRPr="00E324D9">
        <w:t>49.</w:t>
      </w:r>
      <w:r w:rsidRPr="00E324D9">
        <w:tab/>
        <w:t>muistuttaa, että syyskuussa 2022 annetulla komission ehdotuksella eurooppalaisesta medianvapaussäädöksestä perustetaan eurooppalainen mediapalvelulautakunta, joka korvaa direktiivillä 2010/13/EU</w:t>
      </w:r>
      <w:r w:rsidRPr="00E324D9">
        <w:rPr>
          <w:rStyle w:val="FootnoteReference"/>
          <w:rFonts w:eastAsiaTheme="minorHAnsi"/>
        </w:rPr>
        <w:footnoteReference w:id="15"/>
      </w:r>
      <w:r w:rsidRPr="00E324D9">
        <w:t xml:space="preserve"> perustetun audiovisuaalisten mediapalvelujen eurooppalaisten sääntelyviranomaisten ryhmän (ERGA); korostaa, että ohjelman tavoitteiden toteuttamiseen on käytettävissä rajalliset taloudelliset resurssit, joten Median toimintalinjaan ja muihin ohjelman budjettikohtiin osoitettuja määrärahoja ei saa osoittaa lautakunnan rahoittamiseen;</w:t>
      </w:r>
    </w:p>
    <w:p w:rsidR="00237A77" w:rsidRPr="00E324D9" w:rsidRDefault="00237A77" w:rsidP="00626AB5">
      <w:pPr>
        <w:pStyle w:val="NormalHanging12a"/>
        <w:keepNext/>
        <w:widowControl/>
        <w:ind w:left="0" w:firstLine="0"/>
        <w:rPr>
          <w:rFonts w:eastAsiaTheme="minorHAnsi"/>
          <w:b/>
          <w:i/>
        </w:rPr>
      </w:pPr>
      <w:r w:rsidRPr="00E324D9">
        <w:rPr>
          <w:b/>
          <w:i/>
        </w:rPr>
        <w:t>Monialainen toimintalinja</w:t>
      </w:r>
    </w:p>
    <w:p w:rsidR="00237A77" w:rsidRPr="00E324D9" w:rsidRDefault="00237A77" w:rsidP="00237A77">
      <w:pPr>
        <w:pStyle w:val="NormalHanging12a"/>
        <w:widowControl/>
        <w:rPr>
          <w:rFonts w:eastAsiaTheme="minorHAnsi"/>
        </w:rPr>
      </w:pPr>
      <w:r w:rsidRPr="00E324D9">
        <w:t>50.</w:t>
      </w:r>
      <w:r w:rsidRPr="00E324D9">
        <w:tab/>
        <w:t>pitää valitettavana, että Monialaisen toimintalinjan suunniteltujen toimien toteutus on viivästynyt eniten, erityisesti vuonna 2021, mikä johtuu toimintalinjassa käyttöön otetuista uutuuksista;</w:t>
      </w:r>
    </w:p>
    <w:p w:rsidR="00237A77" w:rsidRPr="00E324D9" w:rsidRDefault="00237A77" w:rsidP="00237A77">
      <w:pPr>
        <w:pStyle w:val="NormalHanging12a"/>
        <w:widowControl/>
        <w:rPr>
          <w:rFonts w:eastAsiaTheme="minorHAnsi"/>
        </w:rPr>
      </w:pPr>
      <w:r w:rsidRPr="00E324D9">
        <w:t>51.</w:t>
      </w:r>
      <w:r w:rsidRPr="00E324D9">
        <w:tab/>
        <w:t>panee merkille, että journalismikumppanuuksiin ja medialukutaitoa koskeviin ehdotuspyyntöihin saatiin eniten hakemuksia vuosina 2021–2022, mikä osoittaa Euroopan media-alan tarvitsevan kiireellisesti lisää rahoitustukea;</w:t>
      </w:r>
    </w:p>
    <w:p w:rsidR="00237A77" w:rsidRPr="00E324D9" w:rsidRDefault="00237A77" w:rsidP="00237A77">
      <w:pPr>
        <w:pStyle w:val="NormalHanging12a"/>
        <w:widowControl/>
        <w:rPr>
          <w:rFonts w:eastAsiaTheme="minorHAnsi"/>
        </w:rPr>
      </w:pPr>
      <w:r w:rsidRPr="00E324D9">
        <w:t>52.</w:t>
      </w:r>
      <w:r w:rsidRPr="00E324D9">
        <w:tab/>
        <w:t>panee merkille, että Monialaisen toimintalinjan hakemusten alhainen hyväksymisaste on hakemusten yleisestä laadukkuudesta huolimatta osoitus rahoitustuen suuresta kysynnästä, johon ei valitettavasti pystytä vastaamaan nykyisissä rahoituspuitteissa;</w:t>
      </w:r>
    </w:p>
    <w:p w:rsidR="00237A77" w:rsidRPr="00E324D9" w:rsidRDefault="00237A77" w:rsidP="00237A77">
      <w:pPr>
        <w:pStyle w:val="NormalHanging12a"/>
        <w:widowControl/>
        <w:rPr>
          <w:rFonts w:eastAsiaTheme="minorHAnsi"/>
        </w:rPr>
      </w:pPr>
      <w:r w:rsidRPr="00E324D9">
        <w:t>53.</w:t>
      </w:r>
      <w:r w:rsidRPr="00E324D9">
        <w:tab/>
        <w:t>kehottaa komissiota varmistamaan, että jäljellä olevalla ohjelmakaudella vuosien 2021–2027 kokonaistalousarviosta ei osoiteta Monialaisen toimintalinjan tavoitteiden tukemiseen 9:ää prosenttia vähempää</w:t>
      </w:r>
      <w:r w:rsidRPr="00E324D9">
        <w:rPr>
          <w:rStyle w:val="FootnoteReference"/>
        </w:rPr>
        <w:footnoteReference w:id="16"/>
      </w:r>
      <w:r w:rsidRPr="00E324D9">
        <w:t>;</w:t>
      </w:r>
    </w:p>
    <w:p w:rsidR="00237A77" w:rsidRPr="00E324D9" w:rsidRDefault="00237A77" w:rsidP="00237A77">
      <w:pPr>
        <w:pStyle w:val="NormalHanging12a"/>
        <w:widowControl/>
        <w:jc w:val="center"/>
        <w:rPr>
          <w:rFonts w:eastAsiaTheme="minorHAnsi"/>
        </w:rPr>
      </w:pPr>
      <w:r w:rsidRPr="00E324D9">
        <w:t>°</w:t>
      </w:r>
    </w:p>
    <w:p w:rsidR="00237A77" w:rsidRPr="00E324D9" w:rsidRDefault="00237A77" w:rsidP="00237A77">
      <w:pPr>
        <w:pStyle w:val="NormalHanging12a"/>
        <w:widowControl/>
        <w:jc w:val="center"/>
        <w:rPr>
          <w:rFonts w:eastAsiaTheme="minorHAnsi"/>
        </w:rPr>
      </w:pPr>
      <w:r w:rsidRPr="00E324D9">
        <w:t>°</w:t>
      </w:r>
      <w:r w:rsidRPr="00E324D9">
        <w:tab/>
        <w:t>°</w:t>
      </w:r>
    </w:p>
    <w:p w:rsidR="00E365E1" w:rsidRPr="00E324D9" w:rsidRDefault="00237A77" w:rsidP="00626AB5">
      <w:pPr>
        <w:pStyle w:val="NormalHanging12a"/>
        <w:widowControl/>
      </w:pPr>
      <w:r w:rsidRPr="00E324D9">
        <w:lastRenderedPageBreak/>
        <w:t>54.</w:t>
      </w:r>
      <w:r w:rsidRPr="00E324D9">
        <w:tab/>
        <w:t>kehottaa puhemiestä välittämään tämän päätöslauselman neuvostolle ja komissiolle</w:t>
      </w:r>
      <w:r w:rsidRPr="00E324D9">
        <w:rPr>
          <w:snapToGrid w:val="0"/>
        </w:rPr>
        <w:t xml:space="preserve"> sekä kansallisille Luova Eurooppa -ohjelmayhteyspisteille.</w:t>
      </w:r>
      <w:bookmarkStart w:id="9" w:name="TextBodyEnd"/>
      <w:bookmarkEnd w:id="9"/>
    </w:p>
    <w:sectPr w:rsidR="00E365E1" w:rsidRPr="00E324D9" w:rsidSect="00E324D9">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74E3" w:rsidRPr="00E324D9" w:rsidRDefault="008B74E3">
      <w:r w:rsidRPr="00E324D9">
        <w:separator/>
      </w:r>
    </w:p>
  </w:endnote>
  <w:endnote w:type="continuationSeparator" w:id="0">
    <w:p w:rsidR="008B74E3" w:rsidRPr="00E324D9" w:rsidRDefault="008B74E3">
      <w:r w:rsidRPr="00E324D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74E3" w:rsidRPr="00E324D9" w:rsidRDefault="008B74E3">
      <w:r w:rsidRPr="00E324D9">
        <w:separator/>
      </w:r>
    </w:p>
  </w:footnote>
  <w:footnote w:type="continuationSeparator" w:id="0">
    <w:p w:rsidR="008B74E3" w:rsidRPr="00E324D9" w:rsidRDefault="008B74E3">
      <w:r w:rsidRPr="00E324D9">
        <w:continuationSeparator/>
      </w:r>
    </w:p>
  </w:footnote>
  <w:footnote w:id="1">
    <w:p w:rsidR="00237A77" w:rsidRPr="00E324D9" w:rsidRDefault="00237A77" w:rsidP="00E324D9">
      <w:pPr>
        <w:pStyle w:val="FootnoteText"/>
        <w:ind w:left="567" w:hanging="567"/>
        <w:rPr>
          <w:sz w:val="24"/>
          <w:lang w:val="fi-FI"/>
        </w:rPr>
      </w:pPr>
      <w:r w:rsidRPr="00E324D9">
        <w:rPr>
          <w:rStyle w:val="FootnoteReference"/>
          <w:sz w:val="24"/>
          <w:lang w:val="fi-FI"/>
        </w:rPr>
        <w:footnoteRef/>
      </w:r>
      <w:r w:rsidR="00E324D9" w:rsidRPr="00E324D9">
        <w:rPr>
          <w:sz w:val="24"/>
          <w:lang w:val="fi-FI"/>
        </w:rPr>
        <w:t xml:space="preserve"> </w:t>
      </w:r>
      <w:r w:rsidR="00E324D9" w:rsidRPr="00E324D9">
        <w:rPr>
          <w:sz w:val="24"/>
          <w:lang w:val="fi-FI"/>
        </w:rPr>
        <w:tab/>
      </w:r>
      <w:r w:rsidRPr="00E324D9">
        <w:rPr>
          <w:sz w:val="24"/>
          <w:lang w:val="fi-FI"/>
        </w:rPr>
        <w:t>EUVL L 189, 28.5.2021, s. 34.</w:t>
      </w:r>
    </w:p>
  </w:footnote>
  <w:footnote w:id="2">
    <w:p w:rsidR="00237A77" w:rsidRPr="00E324D9" w:rsidRDefault="00237A77" w:rsidP="00E324D9">
      <w:pPr>
        <w:pStyle w:val="FootnoteText"/>
        <w:ind w:left="567" w:hanging="567"/>
        <w:rPr>
          <w:sz w:val="24"/>
          <w:lang w:val="fi-FI"/>
        </w:rPr>
      </w:pPr>
      <w:r w:rsidRPr="00E324D9">
        <w:rPr>
          <w:rStyle w:val="FootnoteReference"/>
          <w:sz w:val="24"/>
          <w:lang w:val="fi-FI"/>
        </w:rPr>
        <w:footnoteRef/>
      </w:r>
      <w:r w:rsidR="00E324D9" w:rsidRPr="00E324D9">
        <w:rPr>
          <w:sz w:val="24"/>
          <w:lang w:val="fi-FI"/>
        </w:rPr>
        <w:t xml:space="preserve"> </w:t>
      </w:r>
      <w:r w:rsidR="00E324D9" w:rsidRPr="00E324D9">
        <w:rPr>
          <w:sz w:val="24"/>
          <w:lang w:val="fi-FI"/>
        </w:rPr>
        <w:tab/>
      </w:r>
      <w:r w:rsidRPr="00E324D9">
        <w:rPr>
          <w:sz w:val="24"/>
          <w:lang w:val="fi-FI"/>
        </w:rPr>
        <w:t>EUVL L 347, 20.12.2013, s. 221.</w:t>
      </w:r>
    </w:p>
  </w:footnote>
  <w:footnote w:id="3">
    <w:p w:rsidR="00237A77" w:rsidRPr="00E324D9" w:rsidRDefault="00237A77" w:rsidP="00E324D9">
      <w:pPr>
        <w:pStyle w:val="FootnoteText"/>
        <w:ind w:left="567" w:hanging="567"/>
        <w:rPr>
          <w:sz w:val="24"/>
          <w:lang w:val="fi-FI"/>
        </w:rPr>
      </w:pPr>
      <w:r w:rsidRPr="00E324D9">
        <w:rPr>
          <w:rStyle w:val="FootnoteReference"/>
          <w:sz w:val="24"/>
          <w:lang w:val="fi-FI"/>
        </w:rPr>
        <w:footnoteRef/>
      </w:r>
      <w:r w:rsidR="00E324D9" w:rsidRPr="00E324D9">
        <w:rPr>
          <w:sz w:val="24"/>
          <w:lang w:val="fi-FI"/>
        </w:rPr>
        <w:t xml:space="preserve"> </w:t>
      </w:r>
      <w:r w:rsidR="00E324D9" w:rsidRPr="00E324D9">
        <w:rPr>
          <w:sz w:val="24"/>
          <w:lang w:val="fi-FI"/>
        </w:rPr>
        <w:tab/>
      </w:r>
      <w:r w:rsidRPr="00E324D9">
        <w:rPr>
          <w:sz w:val="24"/>
          <w:lang w:val="fi-FI"/>
        </w:rPr>
        <w:t>EUVL C 108, 26.3.2021, s. 934.</w:t>
      </w:r>
    </w:p>
  </w:footnote>
  <w:footnote w:id="4">
    <w:p w:rsidR="00237A77" w:rsidRPr="00E324D9" w:rsidRDefault="00237A77" w:rsidP="00E324D9">
      <w:pPr>
        <w:pStyle w:val="FootnoteText"/>
        <w:ind w:left="567" w:hanging="567"/>
        <w:rPr>
          <w:sz w:val="24"/>
          <w:lang w:val="fi-FI"/>
        </w:rPr>
      </w:pPr>
      <w:r w:rsidRPr="00E324D9">
        <w:rPr>
          <w:rStyle w:val="FootnoteReference"/>
          <w:sz w:val="24"/>
          <w:lang w:val="fi-FI"/>
        </w:rPr>
        <w:footnoteRef/>
      </w:r>
      <w:r w:rsidR="00E324D9" w:rsidRPr="00E324D9">
        <w:rPr>
          <w:sz w:val="24"/>
          <w:lang w:val="fi-FI"/>
        </w:rPr>
        <w:t xml:space="preserve"> </w:t>
      </w:r>
      <w:r w:rsidR="00E324D9" w:rsidRPr="00E324D9">
        <w:rPr>
          <w:sz w:val="24"/>
          <w:lang w:val="fi-FI"/>
        </w:rPr>
        <w:tab/>
      </w:r>
      <w:r w:rsidRPr="00E324D9">
        <w:rPr>
          <w:sz w:val="24"/>
          <w:lang w:val="fi-FI"/>
        </w:rPr>
        <w:t>EUVL C 110, 22.3.2019, s. 87.</w:t>
      </w:r>
    </w:p>
  </w:footnote>
  <w:footnote w:id="5">
    <w:p w:rsidR="00237A77" w:rsidRPr="00E324D9" w:rsidRDefault="00237A77" w:rsidP="00E324D9">
      <w:pPr>
        <w:pStyle w:val="FootnoteText"/>
        <w:ind w:left="567" w:hanging="567"/>
        <w:rPr>
          <w:sz w:val="24"/>
          <w:lang w:val="fi-FI"/>
        </w:rPr>
      </w:pPr>
      <w:r w:rsidRPr="00E324D9">
        <w:rPr>
          <w:rStyle w:val="FootnoteReference"/>
          <w:sz w:val="24"/>
          <w:lang w:val="fi-FI"/>
        </w:rPr>
        <w:footnoteRef/>
      </w:r>
      <w:r w:rsidR="00E324D9" w:rsidRPr="00E324D9">
        <w:rPr>
          <w:sz w:val="24"/>
          <w:lang w:val="fi-FI"/>
        </w:rPr>
        <w:t xml:space="preserve"> </w:t>
      </w:r>
      <w:r w:rsidR="00E324D9" w:rsidRPr="00E324D9">
        <w:rPr>
          <w:sz w:val="24"/>
          <w:lang w:val="fi-FI"/>
        </w:rPr>
        <w:tab/>
      </w:r>
      <w:r w:rsidRPr="00E324D9">
        <w:rPr>
          <w:sz w:val="24"/>
          <w:lang w:val="fi-FI"/>
        </w:rPr>
        <w:t>EUVL C 168, 16.5.2019, s. 37.</w:t>
      </w:r>
    </w:p>
  </w:footnote>
  <w:footnote w:id="6">
    <w:p w:rsidR="00237A77" w:rsidRPr="00E324D9" w:rsidRDefault="00237A77" w:rsidP="00E324D9">
      <w:pPr>
        <w:pStyle w:val="FootnoteText"/>
        <w:ind w:left="567" w:hanging="567"/>
        <w:rPr>
          <w:sz w:val="24"/>
          <w:lang w:val="fi-FI"/>
        </w:rPr>
      </w:pPr>
      <w:r w:rsidRPr="00E324D9">
        <w:rPr>
          <w:rStyle w:val="FootnoteReference"/>
          <w:sz w:val="24"/>
          <w:lang w:val="fi-FI"/>
        </w:rPr>
        <w:footnoteRef/>
      </w:r>
      <w:r w:rsidR="00E324D9" w:rsidRPr="00E324D9">
        <w:rPr>
          <w:sz w:val="24"/>
          <w:lang w:val="fi-FI"/>
        </w:rPr>
        <w:t xml:space="preserve"> </w:t>
      </w:r>
      <w:r w:rsidR="00E324D9" w:rsidRPr="00E324D9">
        <w:rPr>
          <w:sz w:val="24"/>
          <w:lang w:val="fi-FI"/>
        </w:rPr>
        <w:tab/>
      </w:r>
      <w:r w:rsidRPr="00E324D9">
        <w:rPr>
          <w:sz w:val="24"/>
          <w:lang w:val="fi-FI"/>
        </w:rPr>
        <w:t>EUVL C 466, 7.12.2022, s. 1.</w:t>
      </w:r>
    </w:p>
  </w:footnote>
  <w:footnote w:id="7">
    <w:p w:rsidR="00237A77" w:rsidRPr="00E324D9" w:rsidRDefault="00237A77" w:rsidP="00E324D9">
      <w:pPr>
        <w:pStyle w:val="FootnoteText"/>
        <w:ind w:left="567" w:hanging="567"/>
        <w:rPr>
          <w:sz w:val="24"/>
          <w:lang w:val="fi-FI"/>
        </w:rPr>
      </w:pPr>
      <w:r w:rsidRPr="00E324D9">
        <w:rPr>
          <w:rStyle w:val="FootnoteReference"/>
          <w:sz w:val="24"/>
          <w:lang w:val="fi-FI"/>
        </w:rPr>
        <w:footnoteRef/>
      </w:r>
      <w:r w:rsidR="00E324D9" w:rsidRPr="00E324D9">
        <w:rPr>
          <w:sz w:val="24"/>
          <w:lang w:val="fi-FI"/>
        </w:rPr>
        <w:t xml:space="preserve"> </w:t>
      </w:r>
      <w:r w:rsidR="00E324D9" w:rsidRPr="00E324D9">
        <w:rPr>
          <w:sz w:val="24"/>
          <w:lang w:val="fi-FI"/>
        </w:rPr>
        <w:tab/>
      </w:r>
      <w:r w:rsidRPr="00E324D9">
        <w:rPr>
          <w:sz w:val="24"/>
          <w:lang w:val="fi-FI"/>
        </w:rPr>
        <w:t>Hyväksytyt tekstit, P9_</w:t>
      </w:r>
      <w:proofErr w:type="gramStart"/>
      <w:r w:rsidRPr="00E324D9">
        <w:rPr>
          <w:sz w:val="24"/>
          <w:lang w:val="fi-FI"/>
        </w:rPr>
        <w:t>TA(</w:t>
      </w:r>
      <w:proofErr w:type="gramEnd"/>
      <w:r w:rsidRPr="00E324D9">
        <w:rPr>
          <w:sz w:val="24"/>
          <w:lang w:val="fi-FI"/>
        </w:rPr>
        <w:t>2023)0329.</w:t>
      </w:r>
    </w:p>
  </w:footnote>
  <w:footnote w:id="8">
    <w:p w:rsidR="00237A77" w:rsidRPr="00E324D9" w:rsidRDefault="00237A77" w:rsidP="00E324D9">
      <w:pPr>
        <w:pStyle w:val="FootnoteText"/>
        <w:ind w:left="567" w:hanging="567"/>
        <w:rPr>
          <w:sz w:val="24"/>
          <w:lang w:val="fi-FI"/>
        </w:rPr>
      </w:pPr>
      <w:r w:rsidRPr="00E324D9">
        <w:rPr>
          <w:rStyle w:val="FootnoteReference"/>
          <w:sz w:val="24"/>
          <w:lang w:val="fi-FI"/>
        </w:rPr>
        <w:footnoteRef/>
      </w:r>
      <w:r w:rsidR="00E324D9" w:rsidRPr="00E324D9">
        <w:rPr>
          <w:sz w:val="24"/>
          <w:lang w:val="fi-FI"/>
        </w:rPr>
        <w:t xml:space="preserve"> </w:t>
      </w:r>
      <w:r w:rsidR="00E324D9" w:rsidRPr="00E324D9">
        <w:rPr>
          <w:sz w:val="24"/>
          <w:lang w:val="fi-FI"/>
        </w:rPr>
        <w:tab/>
      </w:r>
      <w:r w:rsidRPr="00E324D9">
        <w:rPr>
          <w:sz w:val="24"/>
          <w:lang w:val="fi-FI"/>
        </w:rPr>
        <w:t>EUVL C 177, 17.5.2023, s. 78.</w:t>
      </w:r>
    </w:p>
  </w:footnote>
  <w:footnote w:id="9">
    <w:p w:rsidR="00237A77" w:rsidRPr="00E324D9" w:rsidRDefault="00237A77" w:rsidP="00E324D9">
      <w:pPr>
        <w:pStyle w:val="FootnoteText"/>
        <w:ind w:left="567" w:hanging="567"/>
        <w:rPr>
          <w:sz w:val="24"/>
          <w:lang w:val="fi-FI"/>
        </w:rPr>
      </w:pPr>
      <w:r w:rsidRPr="00E324D9">
        <w:rPr>
          <w:rStyle w:val="FootnoteReference"/>
          <w:sz w:val="24"/>
          <w:lang w:val="fi-FI"/>
        </w:rPr>
        <w:footnoteRef/>
      </w:r>
      <w:r w:rsidR="00E324D9" w:rsidRPr="00E324D9">
        <w:rPr>
          <w:sz w:val="24"/>
          <w:lang w:val="fi-FI"/>
        </w:rPr>
        <w:t xml:space="preserve"> </w:t>
      </w:r>
      <w:r w:rsidR="00E324D9" w:rsidRPr="00E324D9">
        <w:rPr>
          <w:sz w:val="24"/>
          <w:lang w:val="fi-FI"/>
        </w:rPr>
        <w:tab/>
      </w:r>
      <w:r w:rsidRPr="00E324D9">
        <w:rPr>
          <w:sz w:val="24"/>
          <w:lang w:val="fi-FI"/>
        </w:rPr>
        <w:t>EUVL C 184, 5.5.2022, s. 71.</w:t>
      </w:r>
    </w:p>
  </w:footnote>
  <w:footnote w:id="10">
    <w:p w:rsidR="00237A77" w:rsidRPr="00E324D9" w:rsidRDefault="00237A77" w:rsidP="00E324D9">
      <w:pPr>
        <w:pStyle w:val="FootnoteText"/>
        <w:ind w:left="567" w:hanging="567"/>
        <w:rPr>
          <w:sz w:val="24"/>
          <w:lang w:val="fi-FI"/>
        </w:rPr>
      </w:pPr>
      <w:r w:rsidRPr="00E324D9">
        <w:rPr>
          <w:rStyle w:val="FootnoteReference"/>
          <w:sz w:val="24"/>
          <w:lang w:val="fi-FI"/>
        </w:rPr>
        <w:footnoteRef/>
      </w:r>
      <w:r w:rsidR="00E324D9" w:rsidRPr="00E324D9">
        <w:rPr>
          <w:sz w:val="24"/>
          <w:lang w:val="fi-FI"/>
        </w:rPr>
        <w:t xml:space="preserve"> </w:t>
      </w:r>
      <w:r w:rsidR="00E324D9" w:rsidRPr="00E324D9">
        <w:rPr>
          <w:sz w:val="24"/>
          <w:lang w:val="fi-FI"/>
        </w:rPr>
        <w:tab/>
      </w:r>
      <w:r w:rsidRPr="00E324D9">
        <w:rPr>
          <w:sz w:val="24"/>
          <w:lang w:val="fi-FI"/>
        </w:rPr>
        <w:t>EUVL C 316, 6.8.2021, s. 2.</w:t>
      </w:r>
    </w:p>
  </w:footnote>
  <w:footnote w:id="11">
    <w:p w:rsidR="00237A77" w:rsidRPr="00E324D9" w:rsidRDefault="00237A77" w:rsidP="00E324D9">
      <w:pPr>
        <w:pStyle w:val="FootnoteText"/>
        <w:ind w:left="567" w:hanging="567"/>
        <w:rPr>
          <w:sz w:val="24"/>
          <w:lang w:val="fi-FI"/>
        </w:rPr>
      </w:pPr>
      <w:r w:rsidRPr="00E324D9">
        <w:rPr>
          <w:rStyle w:val="FootnoteReference"/>
          <w:sz w:val="24"/>
          <w:lang w:val="fi-FI"/>
        </w:rPr>
        <w:footnoteRef/>
      </w:r>
      <w:r w:rsidR="00E324D9" w:rsidRPr="00E324D9">
        <w:rPr>
          <w:sz w:val="24"/>
          <w:lang w:val="fi-FI"/>
        </w:rPr>
        <w:t xml:space="preserve"> </w:t>
      </w:r>
      <w:r w:rsidR="00E324D9" w:rsidRPr="00E324D9">
        <w:rPr>
          <w:sz w:val="24"/>
          <w:lang w:val="fi-FI"/>
        </w:rPr>
        <w:tab/>
      </w:r>
      <w:r w:rsidRPr="00E324D9">
        <w:rPr>
          <w:sz w:val="24"/>
          <w:lang w:val="fi-FI"/>
        </w:rPr>
        <w:t>EUVL C 385, 22.9.2021, s. 2.</w:t>
      </w:r>
    </w:p>
  </w:footnote>
  <w:footnote w:id="12">
    <w:p w:rsidR="00237A77" w:rsidRPr="00E324D9" w:rsidRDefault="00237A77" w:rsidP="00E324D9">
      <w:pPr>
        <w:pStyle w:val="FootnoteText"/>
        <w:ind w:left="567" w:hanging="567"/>
        <w:rPr>
          <w:sz w:val="24"/>
          <w:lang w:val="fi-FI"/>
        </w:rPr>
      </w:pPr>
      <w:r w:rsidRPr="00E324D9">
        <w:rPr>
          <w:rStyle w:val="FootnoteReference"/>
          <w:sz w:val="24"/>
          <w:lang w:val="fi-FI"/>
        </w:rPr>
        <w:footnoteRef/>
      </w:r>
      <w:r w:rsidR="00E324D9" w:rsidRPr="00E324D9">
        <w:rPr>
          <w:sz w:val="24"/>
          <w:lang w:val="fi-FI"/>
        </w:rPr>
        <w:t xml:space="preserve"> </w:t>
      </w:r>
      <w:r w:rsidR="00E324D9" w:rsidRPr="00E324D9">
        <w:rPr>
          <w:sz w:val="24"/>
          <w:lang w:val="fi-FI"/>
        </w:rPr>
        <w:tab/>
      </w:r>
      <w:r w:rsidRPr="00E324D9">
        <w:rPr>
          <w:sz w:val="24"/>
          <w:lang w:val="fi-FI"/>
        </w:rPr>
        <w:t>EUVL C 385, 22.9.2021, s. 152.</w:t>
      </w:r>
    </w:p>
  </w:footnote>
  <w:footnote w:id="13">
    <w:p w:rsidR="00237A77" w:rsidRPr="00E324D9" w:rsidRDefault="00237A77" w:rsidP="00E324D9">
      <w:pPr>
        <w:pStyle w:val="FootnoteText"/>
        <w:ind w:left="567" w:hanging="567"/>
        <w:rPr>
          <w:sz w:val="24"/>
          <w:lang w:val="fi-FI"/>
        </w:rPr>
      </w:pPr>
      <w:r w:rsidRPr="00E324D9">
        <w:rPr>
          <w:rStyle w:val="FootnoteReference"/>
          <w:sz w:val="24"/>
          <w:lang w:val="fi-FI"/>
        </w:rPr>
        <w:footnoteRef/>
      </w:r>
      <w:r w:rsidR="00E324D9" w:rsidRPr="00E324D9">
        <w:rPr>
          <w:sz w:val="24"/>
          <w:lang w:val="fi-FI"/>
        </w:rPr>
        <w:t xml:space="preserve"> </w:t>
      </w:r>
      <w:r w:rsidR="00E324D9" w:rsidRPr="00E324D9">
        <w:rPr>
          <w:sz w:val="24"/>
          <w:lang w:val="fi-FI"/>
        </w:rPr>
        <w:tab/>
      </w:r>
      <w:r w:rsidRPr="00E324D9">
        <w:rPr>
          <w:sz w:val="24"/>
          <w:lang w:val="fi-FI"/>
        </w:rPr>
        <w:t>https://ec.europa.eu/eurostat/web/products-eurostat-news/w/ddn-20230309-2.</w:t>
      </w:r>
    </w:p>
  </w:footnote>
  <w:footnote w:id="14">
    <w:p w:rsidR="00237A77" w:rsidRPr="00E324D9" w:rsidRDefault="00237A77" w:rsidP="00E324D9">
      <w:pPr>
        <w:pStyle w:val="FootnoteText"/>
        <w:ind w:left="567" w:hanging="567"/>
        <w:rPr>
          <w:sz w:val="24"/>
          <w:lang w:val="fi-FI"/>
        </w:rPr>
      </w:pPr>
      <w:r w:rsidRPr="00E324D9">
        <w:rPr>
          <w:rStyle w:val="FootnoteReference"/>
          <w:sz w:val="24"/>
          <w:lang w:val="fi-FI"/>
        </w:rPr>
        <w:footnoteRef/>
      </w:r>
      <w:r w:rsidR="00E324D9" w:rsidRPr="00E324D9">
        <w:rPr>
          <w:sz w:val="24"/>
          <w:lang w:val="fi-FI"/>
        </w:rPr>
        <w:t xml:space="preserve"> </w:t>
      </w:r>
      <w:r w:rsidR="00E324D9" w:rsidRPr="00E324D9">
        <w:rPr>
          <w:sz w:val="24"/>
          <w:lang w:val="fi-FI"/>
        </w:rPr>
        <w:tab/>
      </w:r>
      <w:r w:rsidRPr="00E324D9">
        <w:rPr>
          <w:sz w:val="24"/>
          <w:lang w:val="fi-FI"/>
        </w:rPr>
        <w:t xml:space="preserve">Euroopan parlamentin ja neuvoston asetus (EU) 2016/679, annettu 27. huhtikuuta 2016, luonnollisten henkilöiden suojelusta henkilötietojen käsittelyssä sekä näiden tietojen vapaasta liikkuvuudesta ja direktiivin 95/46/EY kumoamisesta </w:t>
      </w:r>
      <w:r w:rsidR="00626AB5">
        <w:rPr>
          <w:sz w:val="24"/>
          <w:lang w:val="fi-FI"/>
        </w:rPr>
        <w:t>(</w:t>
      </w:r>
      <w:r w:rsidRPr="00E324D9">
        <w:rPr>
          <w:sz w:val="24"/>
          <w:lang w:val="fi-FI"/>
        </w:rPr>
        <w:t>EUVL L 119, 4.5.2016, s. 1</w:t>
      </w:r>
      <w:r w:rsidR="00626AB5">
        <w:rPr>
          <w:sz w:val="24"/>
          <w:lang w:val="fi-FI"/>
        </w:rPr>
        <w:t>)</w:t>
      </w:r>
      <w:r w:rsidRPr="00E324D9">
        <w:rPr>
          <w:sz w:val="24"/>
          <w:lang w:val="fi-FI"/>
        </w:rPr>
        <w:t>.</w:t>
      </w:r>
    </w:p>
  </w:footnote>
  <w:footnote w:id="15">
    <w:p w:rsidR="00237A77" w:rsidRPr="00E324D9" w:rsidRDefault="00237A77" w:rsidP="00E324D9">
      <w:pPr>
        <w:pStyle w:val="FootnoteText"/>
        <w:ind w:left="567" w:hanging="567"/>
        <w:rPr>
          <w:sz w:val="24"/>
          <w:lang w:val="fi-FI"/>
        </w:rPr>
      </w:pPr>
      <w:r w:rsidRPr="00E324D9">
        <w:rPr>
          <w:rStyle w:val="FootnoteReference"/>
          <w:sz w:val="24"/>
          <w:lang w:val="fi-FI"/>
        </w:rPr>
        <w:footnoteRef/>
      </w:r>
      <w:r w:rsidR="00E324D9" w:rsidRPr="00E324D9">
        <w:rPr>
          <w:sz w:val="24"/>
          <w:lang w:val="fi-FI"/>
        </w:rPr>
        <w:t xml:space="preserve"> </w:t>
      </w:r>
      <w:r w:rsidR="00E324D9" w:rsidRPr="00E324D9">
        <w:rPr>
          <w:sz w:val="24"/>
          <w:lang w:val="fi-FI"/>
        </w:rPr>
        <w:tab/>
      </w:r>
      <w:r w:rsidRPr="00E324D9">
        <w:rPr>
          <w:sz w:val="24"/>
          <w:lang w:val="fi-FI"/>
        </w:rPr>
        <w:t xml:space="preserve">Euroopan parlamentin ja neuvoston direktiivi 2010/13/EU, annettu 10. maaliskuuta 2010, audiovisuaalisten mediapalvelujen tarjoamista koskevien jäsenvaltioiden tiettyjen lakien, asetusten ja hallinnollisten määräysten yhteensovittamisesta (audiovisuaalisia mediapalveluja koskeva direktiivi) </w:t>
      </w:r>
      <w:r w:rsidR="00626AB5">
        <w:rPr>
          <w:sz w:val="24"/>
          <w:lang w:val="fi-FI"/>
        </w:rPr>
        <w:t>(</w:t>
      </w:r>
      <w:r w:rsidRPr="00E324D9">
        <w:rPr>
          <w:sz w:val="24"/>
          <w:lang w:val="fi-FI"/>
        </w:rPr>
        <w:t>EUVL L 95, 15.4.2010, s. 1</w:t>
      </w:r>
      <w:r w:rsidR="00626AB5">
        <w:rPr>
          <w:sz w:val="24"/>
          <w:lang w:val="fi-FI"/>
        </w:rPr>
        <w:t>)</w:t>
      </w:r>
      <w:r w:rsidRPr="00E324D9">
        <w:rPr>
          <w:sz w:val="24"/>
          <w:lang w:val="fi-FI"/>
        </w:rPr>
        <w:t>.</w:t>
      </w:r>
    </w:p>
  </w:footnote>
  <w:footnote w:id="16">
    <w:p w:rsidR="00237A77" w:rsidRPr="00E324D9" w:rsidRDefault="00237A77" w:rsidP="00E324D9">
      <w:pPr>
        <w:pStyle w:val="FootnoteText"/>
        <w:ind w:left="567" w:hanging="567"/>
        <w:rPr>
          <w:sz w:val="24"/>
          <w:lang w:val="fi-FI"/>
        </w:rPr>
      </w:pPr>
      <w:r w:rsidRPr="00E324D9">
        <w:rPr>
          <w:rStyle w:val="FootnoteReference"/>
          <w:sz w:val="24"/>
          <w:lang w:val="fi-FI"/>
        </w:rPr>
        <w:footnoteRef/>
      </w:r>
      <w:r w:rsidR="00E324D9" w:rsidRPr="00E324D9">
        <w:rPr>
          <w:sz w:val="24"/>
          <w:lang w:val="fi-FI"/>
        </w:rPr>
        <w:t xml:space="preserve"> </w:t>
      </w:r>
      <w:r w:rsidR="00E324D9" w:rsidRPr="00E324D9">
        <w:rPr>
          <w:sz w:val="24"/>
          <w:lang w:val="fi-FI"/>
        </w:rPr>
        <w:tab/>
      </w:r>
      <w:r w:rsidRPr="00E324D9">
        <w:rPr>
          <w:sz w:val="24"/>
          <w:lang w:val="fi-FI"/>
        </w:rPr>
        <w:t>Luova Eurooppa -ohjelman (2021–2027) perustamisesta annetun asetuksen (EU) 2021/818 8 artikla.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5/2023"/>
    <w:docVar w:name="dvlangue" w:val="FI"/>
    <w:docVar w:name="dvnumam" w:val="0"/>
    <w:docVar w:name="dvpe" w:val="750.020"/>
    <w:docVar w:name="dvrapporteur" w:val="Esittelijä: "/>
    <w:docVar w:name="dvtitre" w:val="Euroopan parlamentin päätöslauselma xx. tammikuuta 2024 vuosien 2021–2027 Luova Eurooppa -ohjelman täytäntöönpanosta(2023/2003(INI))"/>
  </w:docVars>
  <w:rsids>
    <w:rsidRoot w:val="008B74E3"/>
    <w:rsid w:val="00002272"/>
    <w:rsid w:val="00064002"/>
    <w:rsid w:val="000677B9"/>
    <w:rsid w:val="000831BA"/>
    <w:rsid w:val="000A42CC"/>
    <w:rsid w:val="000E7DD9"/>
    <w:rsid w:val="0010095E"/>
    <w:rsid w:val="00125B37"/>
    <w:rsid w:val="00187494"/>
    <w:rsid w:val="001F32AE"/>
    <w:rsid w:val="00237A77"/>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26AB5"/>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74E3"/>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313C0"/>
    <w:rsid w:val="00D56C11"/>
    <w:rsid w:val="00D834A0"/>
    <w:rsid w:val="00D872DF"/>
    <w:rsid w:val="00D91E21"/>
    <w:rsid w:val="00DA7FCD"/>
    <w:rsid w:val="00E324D9"/>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F582F7"/>
  <w15:chartTrackingRefBased/>
  <w15:docId w15:val="{6E54E48A-1788-4E48-A492-4D4843988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6AB5"/>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N Footnote Reference,EN Footnote text,Exposant 3 Point,Footnote,Footnote Reference Number,Footnote Reference_LVL6,Footnote Reference_LVL61,Footnote reference number,Footnote symbol,R,Ref,SUPERS,Times 10 Point,de nota al pie,note TESI"/>
    <w:uiPriority w:val="99"/>
    <w:qFormat/>
    <w:rsid w:val="00395FA1"/>
    <w:rPr>
      <w:b w:val="0"/>
      <w:vertAlign w:val="superscript"/>
    </w:rPr>
  </w:style>
  <w:style w:type="paragraph" w:styleId="FootnoteText">
    <w:name w:val="footnote text"/>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237A77"/>
    <w:pPr>
      <w:spacing w:after="240"/>
      <w:ind w:left="567" w:hanging="567"/>
    </w:pPr>
  </w:style>
  <w:style w:type="paragraph" w:customStyle="1" w:styleId="EPComma">
    <w:name w:val="EPComma"/>
    <w:basedOn w:val="Normal"/>
    <w:rsid w:val="00237A77"/>
    <w:pPr>
      <w:spacing w:before="480" w:after="240"/>
    </w:pPr>
  </w:style>
  <w:style w:type="paragraph" w:styleId="Footer">
    <w:name w:val="footer"/>
    <w:basedOn w:val="Normal"/>
    <w:link w:val="FooterChar"/>
    <w:rsid w:val="00626AB5"/>
    <w:pPr>
      <w:tabs>
        <w:tab w:val="center" w:pos="4513"/>
        <w:tab w:val="right" w:pos="9026"/>
      </w:tabs>
    </w:pPr>
  </w:style>
  <w:style w:type="character" w:customStyle="1" w:styleId="FooterChar">
    <w:name w:val="Footer Char"/>
    <w:basedOn w:val="DefaultParagraphFont"/>
    <w:link w:val="Footer"/>
    <w:rsid w:val="00626AB5"/>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E9449F-A66A-4F2F-A854-89F2371216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3786</Words>
  <Characters>31698</Characters>
  <Application>Microsoft Office Word</Application>
  <DocSecurity>0</DocSecurity>
  <Lines>1320</Lines>
  <Paragraphs>389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2024-01-16T11:05:00Z</dcterms:created>
  <dcterms:modified xsi:type="dcterms:W3CDTF">2024-01-16T11:05:00Z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A9-0425/2023</vt:lpwstr>
  </property>
  <property fmtid="{D5CDD505-2E9C-101B-9397-08002B2CF9AE}" pid="4" name="&lt;Type&gt;">
    <vt:lpwstr>RR</vt:lpwstr>
  </property>
</Properties>
</file>