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444E" w:rsidTr="0010095E">
        <w:trPr>
          <w:trHeight w:hRule="exact" w:val="1418"/>
        </w:trPr>
        <w:tc>
          <w:tcPr>
            <w:tcW w:w="6804" w:type="dxa"/>
            <w:shd w:val="clear" w:color="auto" w:fill="auto"/>
            <w:vAlign w:val="center"/>
          </w:tcPr>
          <w:p w:rsidR="00751A4A" w:rsidRPr="0095444E" w:rsidRDefault="00EA3F86" w:rsidP="0010095E">
            <w:pPr>
              <w:pStyle w:val="EPName"/>
            </w:pPr>
            <w:r w:rsidRPr="0095444E">
              <w:t>Parlement européen</w:t>
            </w:r>
          </w:p>
          <w:p w:rsidR="00751A4A" w:rsidRPr="0095444E" w:rsidRDefault="00817416" w:rsidP="00756632">
            <w:pPr>
              <w:pStyle w:val="EPTerm"/>
              <w:rPr>
                <w:rStyle w:val="HideTWBExt"/>
                <w:noProof w:val="0"/>
                <w:vanish w:val="0"/>
                <w:color w:val="auto"/>
              </w:rPr>
            </w:pPr>
            <w:r w:rsidRPr="0095444E">
              <w:t>2019-2024</w:t>
            </w:r>
          </w:p>
        </w:tc>
        <w:tc>
          <w:tcPr>
            <w:tcW w:w="2268" w:type="dxa"/>
            <w:shd w:val="clear" w:color="auto" w:fill="auto"/>
          </w:tcPr>
          <w:p w:rsidR="00751A4A" w:rsidRPr="0095444E" w:rsidRDefault="00187494" w:rsidP="0010095E">
            <w:pPr>
              <w:pStyle w:val="EPLogo"/>
            </w:pPr>
            <w:r w:rsidRPr="0095444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444E" w:rsidRDefault="00D058B8" w:rsidP="004C5D52">
      <w:pPr>
        <w:pStyle w:val="LineTop"/>
      </w:pPr>
    </w:p>
    <w:p w:rsidR="00680577" w:rsidRPr="0095444E" w:rsidRDefault="00EA3F86" w:rsidP="00680577">
      <w:pPr>
        <w:pStyle w:val="EPBodyTA1"/>
      </w:pPr>
      <w:r w:rsidRPr="0095444E">
        <w:t>TEXTES ADOPTÉS</w:t>
      </w:r>
    </w:p>
    <w:p w:rsidR="00D058B8" w:rsidRPr="0095444E" w:rsidRDefault="00D058B8" w:rsidP="00D058B8">
      <w:pPr>
        <w:pStyle w:val="LineBottom"/>
      </w:pPr>
    </w:p>
    <w:p w:rsidR="00EA3F86" w:rsidRPr="0095444E" w:rsidRDefault="00EA3F86" w:rsidP="00EA3F86">
      <w:pPr>
        <w:pStyle w:val="ATHeading1"/>
      </w:pPr>
      <w:bookmarkStart w:id="0" w:name="TANumber"/>
      <w:r w:rsidRPr="0095444E">
        <w:t>P9_TA(2024)000</w:t>
      </w:r>
      <w:r w:rsidR="00E83BCF">
        <w:t>8</w:t>
      </w:r>
      <w:bookmarkEnd w:id="0"/>
    </w:p>
    <w:p w:rsidR="00EA3F86" w:rsidRPr="0095444E" w:rsidRDefault="00743332" w:rsidP="00EA3F86">
      <w:pPr>
        <w:pStyle w:val="ATHeading2"/>
      </w:pPr>
      <w:r w:rsidRPr="00743332">
        <w:t>Mise en œuvre du programme</w:t>
      </w:r>
      <w:proofErr w:type="gramStart"/>
      <w:r w:rsidRPr="00743332">
        <w:t xml:space="preserve"> «Europe</w:t>
      </w:r>
      <w:proofErr w:type="gramEnd"/>
      <w:r w:rsidRPr="00743332">
        <w:t xml:space="preserve"> créative» 2021- 2027</w:t>
      </w:r>
    </w:p>
    <w:p w:rsidR="00EA3F86" w:rsidRPr="0095444E" w:rsidRDefault="00EA3F86" w:rsidP="00EA3F86">
      <w:pPr>
        <w:rPr>
          <w:i/>
          <w:vanish/>
        </w:rPr>
      </w:pPr>
      <w:r w:rsidRPr="0095444E">
        <w:rPr>
          <w:i/>
        </w:rPr>
        <w:fldChar w:fldCharType="begin"/>
      </w:r>
      <w:r w:rsidRPr="0095444E">
        <w:rPr>
          <w:i/>
        </w:rPr>
        <w:instrText xml:space="preserve"> TC"(</w:instrText>
      </w:r>
      <w:bookmarkStart w:id="1" w:name="DocNumber"/>
      <w:r w:rsidRPr="0095444E">
        <w:rPr>
          <w:i/>
        </w:rPr>
        <w:instrText>A9-0425/2023</w:instrText>
      </w:r>
      <w:bookmarkEnd w:id="1"/>
      <w:r w:rsidRPr="0095444E">
        <w:rPr>
          <w:i/>
        </w:rPr>
        <w:instrText xml:space="preserve"> - Rapporteur: Massimiliano Smeriglio)"\l3 \n&gt; \* MERGEFORMAT </w:instrText>
      </w:r>
      <w:r w:rsidRPr="0095444E">
        <w:rPr>
          <w:i/>
        </w:rPr>
        <w:fldChar w:fldCharType="end"/>
      </w:r>
    </w:p>
    <w:p w:rsidR="00EA3F86" w:rsidRPr="0095444E" w:rsidRDefault="00EA3F86" w:rsidP="00EA3F86">
      <w:pPr>
        <w:rPr>
          <w:vanish/>
        </w:rPr>
      </w:pPr>
      <w:bookmarkStart w:id="2" w:name="Commission"/>
      <w:r w:rsidRPr="0095444E">
        <w:rPr>
          <w:vanish/>
        </w:rPr>
        <w:t>Commission de la culture et de l’éducation</w:t>
      </w:r>
      <w:bookmarkEnd w:id="2"/>
    </w:p>
    <w:p w:rsidR="00EA3F86" w:rsidRPr="0095444E" w:rsidRDefault="00EA3F86" w:rsidP="00EA3F86">
      <w:pPr>
        <w:rPr>
          <w:vanish/>
        </w:rPr>
      </w:pPr>
      <w:bookmarkStart w:id="3" w:name="PE"/>
      <w:r w:rsidRPr="0095444E">
        <w:rPr>
          <w:vanish/>
        </w:rPr>
        <w:t>PE750.020</w:t>
      </w:r>
      <w:bookmarkEnd w:id="3"/>
    </w:p>
    <w:p w:rsidR="00EA3F86" w:rsidRPr="0095444E" w:rsidRDefault="00EA3F86" w:rsidP="00EA3F86">
      <w:pPr>
        <w:pStyle w:val="ATHeading3"/>
      </w:pPr>
      <w:bookmarkStart w:id="4" w:name="Sujet"/>
      <w:r w:rsidRPr="0095444E">
        <w:t xml:space="preserve">Résolution du Parlement européen du </w:t>
      </w:r>
      <w:bookmarkStart w:id="5" w:name="_GoBack"/>
      <w:bookmarkEnd w:id="5"/>
      <w:r w:rsidR="009C27D5">
        <w:t xml:space="preserve">16 </w:t>
      </w:r>
      <w:r w:rsidR="00743332">
        <w:t>janvier</w:t>
      </w:r>
      <w:r w:rsidRPr="0095444E">
        <w:t xml:space="preserve"> 2024 sur la mise en œuvre du programme «Europe créative» 2021-2027</w:t>
      </w:r>
      <w:bookmarkEnd w:id="4"/>
      <w:r w:rsidRPr="0095444E">
        <w:t xml:space="preserve"> </w:t>
      </w:r>
      <w:bookmarkStart w:id="6" w:name="References"/>
      <w:r w:rsidRPr="0095444E">
        <w:t>(2023/2003(INI))</w:t>
      </w:r>
      <w:bookmarkEnd w:id="6"/>
    </w:p>
    <w:p w:rsidR="004E4659" w:rsidRPr="0095444E" w:rsidRDefault="004E4659" w:rsidP="004E4659">
      <w:pPr>
        <w:pStyle w:val="EPComma"/>
        <w:widowControl/>
      </w:pPr>
      <w:bookmarkStart w:id="7" w:name="TextBodyBegin"/>
      <w:bookmarkEnd w:id="7"/>
      <w:r w:rsidRPr="0095444E">
        <w:rPr>
          <w:i/>
        </w:rPr>
        <w:t>Le Parlement européen</w:t>
      </w:r>
      <w:r w:rsidRPr="0095444E">
        <w:t>,</w:t>
      </w:r>
    </w:p>
    <w:p w:rsidR="004E4659" w:rsidRPr="0095444E" w:rsidRDefault="004E4659" w:rsidP="004E4659">
      <w:pPr>
        <w:pStyle w:val="NormalHanging12a"/>
        <w:widowControl/>
      </w:pPr>
      <w:r w:rsidRPr="0095444E">
        <w:t>–</w:t>
      </w:r>
      <w:r w:rsidRPr="0095444E">
        <w:tab/>
        <w:t>vu le traité sur le fonctionnement de l’Union européenne, notamment son article 167, son article 173, paragraphe 3, et son article 294, paragraphe 7,</w:t>
      </w:r>
    </w:p>
    <w:p w:rsidR="004E4659" w:rsidRPr="0095444E" w:rsidRDefault="004E4659" w:rsidP="004E4659">
      <w:pPr>
        <w:pStyle w:val="NormalHanging12a"/>
        <w:widowControl/>
      </w:pPr>
      <w:r w:rsidRPr="0095444E">
        <w:t>–</w:t>
      </w:r>
      <w:r w:rsidRPr="0095444E">
        <w:tab/>
        <w:t>vu le règlement (UE) 2021/818 du Parlement européen et du Conseil du 20 mai 2021 établissant le programme «Europe créative» (2021 à 2027)</w:t>
      </w:r>
      <w:r w:rsidRPr="0095444E">
        <w:rPr>
          <w:rStyle w:val="FootnoteReference"/>
        </w:rPr>
        <w:footnoteReference w:id="1"/>
      </w:r>
      <w:r w:rsidRPr="0095444E">
        <w:t>,</w:t>
      </w:r>
    </w:p>
    <w:p w:rsidR="004E4659" w:rsidRPr="0095444E" w:rsidRDefault="004E4659" w:rsidP="004E4659">
      <w:pPr>
        <w:pStyle w:val="NormalHanging12a"/>
        <w:widowControl/>
      </w:pPr>
      <w:r w:rsidRPr="0095444E">
        <w:t>–</w:t>
      </w:r>
      <w:r w:rsidRPr="0095444E">
        <w:tab/>
        <w:t>vu le règlement (UE) nº 1295/2013 du Parlement européen et du Conseil du 11 décembre 2013 établissant le programme «Europe créative» (2014 à 2020)</w:t>
      </w:r>
      <w:r w:rsidRPr="0095444E">
        <w:rPr>
          <w:rStyle w:val="FootnoteReference"/>
          <w:color w:val="000000"/>
          <w:szCs w:val="24"/>
        </w:rPr>
        <w:footnoteReference w:id="2"/>
      </w:r>
      <w:r w:rsidRPr="0095444E">
        <w:t>,</w:t>
      </w:r>
    </w:p>
    <w:p w:rsidR="004E4659" w:rsidRPr="0095444E" w:rsidRDefault="004E4659" w:rsidP="004E4659">
      <w:pPr>
        <w:pStyle w:val="NormalHanging12a"/>
        <w:widowControl/>
      </w:pPr>
      <w:r w:rsidRPr="0095444E">
        <w:t>–</w:t>
      </w:r>
      <w:r w:rsidRPr="0095444E">
        <w:tab/>
        <w:t>vu la proposition de la Commission du 5 mai 2018 en vue d’un règlement du Parlement européen et du Conseil établissant le programme</w:t>
      </w:r>
      <w:proofErr w:type="gramStart"/>
      <w:r w:rsidRPr="0095444E">
        <w:t xml:space="preserve"> «Europe</w:t>
      </w:r>
      <w:proofErr w:type="gramEnd"/>
      <w:r w:rsidRPr="0095444E">
        <w:t xml:space="preserve"> créative» (2021 à 2027) et abrogeant le règlement (UE) nº 1295/2013 (COM(2018)0366),</w:t>
      </w:r>
    </w:p>
    <w:p w:rsidR="004E4659" w:rsidRPr="0095444E" w:rsidRDefault="004E4659" w:rsidP="004E4659">
      <w:pPr>
        <w:pStyle w:val="NormalHanging12a"/>
        <w:widowControl/>
      </w:pPr>
      <w:r w:rsidRPr="0095444E">
        <w:t>–</w:t>
      </w:r>
      <w:r w:rsidRPr="0095444E">
        <w:tab/>
        <w:t>vu sa position en première lecture du 28 mars 2019 sur la proposition de règlement du Parlement européen et du Conseil établissant le programme «Europe créative» (2021 à 2027) et abrogeant le règlement (UE) nº 1295/2013</w:t>
      </w:r>
      <w:r w:rsidRPr="0095444E">
        <w:rPr>
          <w:rStyle w:val="FootnoteReference"/>
          <w:color w:val="000000"/>
        </w:rPr>
        <w:footnoteReference w:id="3"/>
      </w:r>
      <w:r w:rsidRPr="0095444E">
        <w:t>,</w:t>
      </w:r>
    </w:p>
    <w:p w:rsidR="004E4659" w:rsidRPr="0095444E" w:rsidRDefault="004E4659" w:rsidP="004E4659">
      <w:pPr>
        <w:pStyle w:val="NormalHanging12a"/>
        <w:widowControl/>
      </w:pPr>
      <w:r w:rsidRPr="0095444E">
        <w:t>–</w:t>
      </w:r>
      <w:r w:rsidRPr="0095444E">
        <w:tab/>
        <w:t>vu l’avis du Comité économique et social européen du 12 décembre 2018 sur la «proposition de règlement du Parlement européen et du Conseil établissant le programme «Europe créative» (2021 à 2027) et abrogeant le règlement (UE) nº 1295/2013»</w:t>
      </w:r>
      <w:r w:rsidRPr="0095444E">
        <w:rPr>
          <w:rStyle w:val="FootnoteReference"/>
        </w:rPr>
        <w:footnoteReference w:id="4"/>
      </w:r>
      <w:r w:rsidRPr="0095444E">
        <w:t>,</w:t>
      </w:r>
    </w:p>
    <w:p w:rsidR="004E4659" w:rsidRPr="0095444E" w:rsidRDefault="004E4659" w:rsidP="004E4659">
      <w:pPr>
        <w:pStyle w:val="NormalHanging12a"/>
        <w:widowControl/>
      </w:pPr>
      <w:r w:rsidRPr="0095444E">
        <w:lastRenderedPageBreak/>
        <w:t>–</w:t>
      </w:r>
      <w:r w:rsidRPr="0095444E">
        <w:tab/>
        <w:t>vu l’avis du Comité européen des régions du 6 février 2019 sur le thème «Europe créative et un nouvel agenda européen de la culture»</w:t>
      </w:r>
      <w:r w:rsidRPr="0095444E">
        <w:rPr>
          <w:rStyle w:val="FootnoteReference"/>
          <w:color w:val="000000"/>
          <w:szCs w:val="24"/>
        </w:rPr>
        <w:footnoteReference w:id="5"/>
      </w:r>
      <w:r w:rsidRPr="0095444E">
        <w:t>,</w:t>
      </w:r>
    </w:p>
    <w:p w:rsidR="004E4659" w:rsidRPr="0095444E" w:rsidRDefault="004E4659" w:rsidP="004E4659">
      <w:pPr>
        <w:pStyle w:val="NormalHanging12a"/>
        <w:widowControl/>
      </w:pPr>
      <w:r w:rsidRPr="0095444E">
        <w:t>–</w:t>
      </w:r>
      <w:r w:rsidRPr="0095444E">
        <w:tab/>
        <w:t>vu le rapport de la Commission du 30 avril 2018 intitulé</w:t>
      </w:r>
      <w:proofErr w:type="gramStart"/>
      <w:r w:rsidRPr="0095444E">
        <w:t xml:space="preserve"> «Évaluation</w:t>
      </w:r>
      <w:proofErr w:type="gramEnd"/>
      <w:r w:rsidRPr="0095444E">
        <w:t xml:space="preserve"> intermédiaire du programme "Europe créative" (2014-2020)» (COM(2018)0248),</w:t>
      </w:r>
    </w:p>
    <w:p w:rsidR="004E4659" w:rsidRPr="0095444E" w:rsidRDefault="004E4659" w:rsidP="004E4659">
      <w:pPr>
        <w:pStyle w:val="NormalHanging12a"/>
        <w:widowControl/>
      </w:pPr>
      <w:r w:rsidRPr="0095444E">
        <w:t>–</w:t>
      </w:r>
      <w:r w:rsidRPr="0095444E">
        <w:tab/>
        <w:t>vu la décision d’exécution </w:t>
      </w:r>
      <w:proofErr w:type="gramStart"/>
      <w:r w:rsidRPr="0095444E">
        <w:t>C(</w:t>
      </w:r>
      <w:proofErr w:type="gramEnd"/>
      <w:r w:rsidRPr="0095444E">
        <w:t>2023)3227 de la Commission du 5 juin 2023 modifiant la décision d’exécution C(2021)3563 relative au financement du programme Europe créative pour la période 2021-2025 et à l’adoption des programmes de travail pour 2021, 2022 et 2023,</w:t>
      </w:r>
    </w:p>
    <w:p w:rsidR="004E4659" w:rsidRPr="0095444E" w:rsidRDefault="004E4659" w:rsidP="004E4659">
      <w:pPr>
        <w:pStyle w:val="NormalHanging12a"/>
        <w:widowControl/>
      </w:pPr>
      <w:r w:rsidRPr="0095444E">
        <w:t>–</w:t>
      </w:r>
      <w:r w:rsidRPr="0095444E">
        <w:tab/>
        <w:t>vu la décision d’exécution </w:t>
      </w:r>
      <w:proofErr w:type="gramStart"/>
      <w:r w:rsidRPr="0095444E">
        <w:t>C(</w:t>
      </w:r>
      <w:proofErr w:type="gramEnd"/>
      <w:r w:rsidRPr="0095444E">
        <w:t>2022)6138 de la Commission du 31 août 2022 modifiant la décision d’exécution C(2021)3563 relative au financement du programme Europe créative pour la période 2021-2023 et à l’adoption des programmes de travail pour 2021 et 2022,</w:t>
      </w:r>
    </w:p>
    <w:p w:rsidR="004E4659" w:rsidRPr="0095444E" w:rsidRDefault="004E4659" w:rsidP="004E4659">
      <w:pPr>
        <w:pStyle w:val="NormalHanging12a"/>
        <w:widowControl/>
      </w:pPr>
      <w:r w:rsidRPr="0095444E">
        <w:t>–</w:t>
      </w:r>
      <w:r w:rsidRPr="0095444E">
        <w:tab/>
        <w:t>vu la décision d’exécution </w:t>
      </w:r>
      <w:proofErr w:type="gramStart"/>
      <w:r w:rsidRPr="0095444E">
        <w:t>C(</w:t>
      </w:r>
      <w:proofErr w:type="gramEnd"/>
      <w:r w:rsidRPr="0095444E">
        <w:t>2021)3563 de la Commission du 26 mai 2021 relative à l’adoption du programme de travail pour la mise en œuvre du programme Europe créative pour 2021,</w:t>
      </w:r>
    </w:p>
    <w:p w:rsidR="004E4659" w:rsidRPr="0095444E" w:rsidRDefault="004E4659" w:rsidP="004E4659">
      <w:pPr>
        <w:pStyle w:val="NormalHanging12a"/>
        <w:widowControl/>
      </w:pPr>
      <w:r w:rsidRPr="0095444E">
        <w:t>–</w:t>
      </w:r>
      <w:r w:rsidRPr="0095444E">
        <w:tab/>
        <w:t>vu le programme de travail annuel 2022 de la Commission pour la mise en œuvre du programme Europe créative,</w:t>
      </w:r>
    </w:p>
    <w:p w:rsidR="004E4659" w:rsidRPr="0095444E" w:rsidRDefault="004E4659" w:rsidP="004E4659">
      <w:pPr>
        <w:pStyle w:val="NormalHanging12a"/>
        <w:widowControl/>
      </w:pPr>
      <w:r w:rsidRPr="0095444E">
        <w:t>–</w:t>
      </w:r>
      <w:r w:rsidRPr="0095444E">
        <w:tab/>
        <w:t>vu le programme de travail annuel 2021 de la Commission pour la mise en œuvre du programme Europe créative,</w:t>
      </w:r>
    </w:p>
    <w:p w:rsidR="004E4659" w:rsidRPr="0095444E" w:rsidRDefault="004E4659" w:rsidP="004E4659">
      <w:pPr>
        <w:pStyle w:val="NormalHanging12a"/>
        <w:widowControl/>
      </w:pPr>
      <w:r w:rsidRPr="0095444E">
        <w:t>–</w:t>
      </w:r>
      <w:r w:rsidRPr="0095444E">
        <w:tab/>
        <w:t>vu la communication de la Commission du 11 juillet 2023 intitulée</w:t>
      </w:r>
      <w:proofErr w:type="gramStart"/>
      <w:r w:rsidRPr="0095444E">
        <w:t xml:space="preserve"> «Une</w:t>
      </w:r>
      <w:proofErr w:type="gramEnd"/>
      <w:r w:rsidRPr="0095444E">
        <w:t xml:space="preserve"> initiative de l’UE sur le web 4.0 et les mondes virtuels: prendre de l’avance pour la prochaine transition technologique» (COM(2023)0442),</w:t>
      </w:r>
    </w:p>
    <w:p w:rsidR="004E4659" w:rsidRPr="0095444E" w:rsidRDefault="004E4659" w:rsidP="004E4659">
      <w:pPr>
        <w:pStyle w:val="NormalHanging12a"/>
        <w:widowControl/>
      </w:pPr>
      <w:r w:rsidRPr="0095444E">
        <w:t>–</w:t>
      </w:r>
      <w:r w:rsidRPr="0095444E">
        <w:tab/>
        <w:t>vu la communication de la Commission du 3 décembre 2020 intitulée</w:t>
      </w:r>
      <w:proofErr w:type="gramStart"/>
      <w:r w:rsidRPr="0095444E">
        <w:t xml:space="preserve"> «Les</w:t>
      </w:r>
      <w:proofErr w:type="gramEnd"/>
      <w:r w:rsidRPr="0095444E">
        <w:t xml:space="preserve"> médias européens dans la décennie numérique: Un plan d’action pour soutenir la reprise et la transformation» (COM(2020)0784),</w:t>
      </w:r>
    </w:p>
    <w:p w:rsidR="004E4659" w:rsidRPr="0095444E" w:rsidRDefault="004E4659" w:rsidP="004E4659">
      <w:pPr>
        <w:pStyle w:val="NormalHanging12a"/>
        <w:widowControl/>
      </w:pPr>
      <w:r w:rsidRPr="0095444E">
        <w:t>–</w:t>
      </w:r>
      <w:r w:rsidRPr="0095444E">
        <w:tab/>
        <w:t>vu la communication de la Commission du 22 mai 2018 intitulée</w:t>
      </w:r>
      <w:proofErr w:type="gramStart"/>
      <w:r w:rsidRPr="0095444E">
        <w:t xml:space="preserve"> «Un</w:t>
      </w:r>
      <w:proofErr w:type="gramEnd"/>
      <w:r w:rsidRPr="0095444E">
        <w:t xml:space="preserve"> nouvel agenda européen de la culture» (COM(2018)0267),</w:t>
      </w:r>
    </w:p>
    <w:p w:rsidR="004E4659" w:rsidRPr="0095444E" w:rsidRDefault="004E4659" w:rsidP="004E4659">
      <w:pPr>
        <w:pStyle w:val="NormalHanging12a"/>
        <w:widowControl/>
      </w:pPr>
      <w:r w:rsidRPr="0095444E">
        <w:t>–</w:t>
      </w:r>
      <w:r w:rsidRPr="0095444E">
        <w:tab/>
        <w:t>vu la résolution du Conseil du 7 décembre 2022 sur le programme de travail 2023-2026 de l’UE en faveur de la culture</w:t>
      </w:r>
      <w:r w:rsidRPr="0095444E">
        <w:rPr>
          <w:rStyle w:val="FootnoteReference"/>
          <w:color w:val="000000"/>
          <w:szCs w:val="24"/>
        </w:rPr>
        <w:footnoteReference w:id="6"/>
      </w:r>
      <w:r w:rsidRPr="0095444E">
        <w:t>,</w:t>
      </w:r>
    </w:p>
    <w:p w:rsidR="004E4659" w:rsidRPr="0095444E" w:rsidRDefault="004E4659" w:rsidP="004E4659">
      <w:pPr>
        <w:pStyle w:val="NormalHanging12a"/>
        <w:widowControl/>
      </w:pPr>
      <w:r w:rsidRPr="0095444E">
        <w:t>–</w:t>
      </w:r>
      <w:r w:rsidRPr="0095444E">
        <w:tab/>
        <w:t>vu sa résolution du 14 septembre 2023 sur l’avenir du secteur européen du livre</w:t>
      </w:r>
      <w:r w:rsidRPr="0095444E">
        <w:rPr>
          <w:rStyle w:val="FootnoteReference"/>
        </w:rPr>
        <w:footnoteReference w:id="7"/>
      </w:r>
      <w:r w:rsidRPr="0095444E">
        <w:t>,</w:t>
      </w:r>
    </w:p>
    <w:p w:rsidR="004E4659" w:rsidRPr="0095444E" w:rsidRDefault="004E4659" w:rsidP="004E4659">
      <w:pPr>
        <w:pStyle w:val="NormalHanging12a"/>
        <w:widowControl/>
      </w:pPr>
      <w:r w:rsidRPr="0095444E">
        <w:t>–</w:t>
      </w:r>
      <w:r w:rsidRPr="0095444E">
        <w:tab/>
        <w:t>vu sa résolution du 14 décembre 2022 sur la mise en œuvre du nouvel agenda européen de la culture et de la stratégie de l’Union européenne dans le domaine des relations culturelles internationales</w:t>
      </w:r>
      <w:r w:rsidRPr="0095444E">
        <w:rPr>
          <w:rStyle w:val="FootnoteReference"/>
          <w:color w:val="000000"/>
          <w:szCs w:val="24"/>
        </w:rPr>
        <w:footnoteReference w:id="8"/>
      </w:r>
      <w:r w:rsidRPr="0095444E">
        <w:t>,</w:t>
      </w:r>
    </w:p>
    <w:p w:rsidR="004E4659" w:rsidRPr="0095444E" w:rsidRDefault="004E4659" w:rsidP="004E4659">
      <w:pPr>
        <w:pStyle w:val="NormalHanging12a"/>
        <w:widowControl/>
      </w:pPr>
      <w:r w:rsidRPr="0095444E">
        <w:lastRenderedPageBreak/>
        <w:t>–</w:t>
      </w:r>
      <w:r w:rsidRPr="0095444E">
        <w:tab/>
        <w:t>vu sa résolution du 20 octobre 2021 sur les médias européens dans la décennie numérique: un plan d’action pour soutenir la reprise et la transformation</w:t>
      </w:r>
      <w:r w:rsidRPr="0095444E">
        <w:rPr>
          <w:rStyle w:val="FootnoteReference"/>
          <w:color w:val="000000"/>
          <w:szCs w:val="24"/>
        </w:rPr>
        <w:footnoteReference w:id="9"/>
      </w:r>
      <w:r w:rsidRPr="0095444E">
        <w:t>,</w:t>
      </w:r>
    </w:p>
    <w:p w:rsidR="004E4659" w:rsidRPr="0095444E" w:rsidRDefault="004E4659" w:rsidP="004E4659">
      <w:pPr>
        <w:pStyle w:val="NormalHanging12a"/>
        <w:widowControl/>
      </w:pPr>
      <w:r w:rsidRPr="0095444E">
        <w:t>–</w:t>
      </w:r>
      <w:r w:rsidRPr="0095444E">
        <w:tab/>
        <w:t>vu sa résolution du 17 avril 2020 sur une action coordonnée de l’Union pour combattre la pandémie de COVID-19 et ses conséquences</w:t>
      </w:r>
      <w:r w:rsidRPr="0095444E">
        <w:rPr>
          <w:rStyle w:val="FootnoteReference"/>
          <w:color w:val="000000"/>
          <w:szCs w:val="24"/>
        </w:rPr>
        <w:footnoteReference w:id="10"/>
      </w:r>
      <w:r w:rsidRPr="0095444E">
        <w:t>,</w:t>
      </w:r>
    </w:p>
    <w:p w:rsidR="004E4659" w:rsidRPr="0095444E" w:rsidRDefault="004E4659" w:rsidP="004E4659">
      <w:pPr>
        <w:pStyle w:val="NormalHanging12a"/>
        <w:widowControl/>
      </w:pPr>
      <w:r w:rsidRPr="0095444E">
        <w:t>–</w:t>
      </w:r>
      <w:r w:rsidRPr="0095444E">
        <w:tab/>
        <w:t>vu sa résolution du 15 septembre 2020 sur les mesures efficaces pour rendre plus écologiques les programmes Erasmus+ et Europe créative ainsi que le corps européen de solidarité</w:t>
      </w:r>
      <w:r w:rsidRPr="0095444E">
        <w:rPr>
          <w:rStyle w:val="FootnoteReference"/>
        </w:rPr>
        <w:footnoteReference w:id="11"/>
      </w:r>
      <w:r w:rsidRPr="0095444E">
        <w:t>,</w:t>
      </w:r>
    </w:p>
    <w:p w:rsidR="004E4659" w:rsidRPr="0095444E" w:rsidRDefault="004E4659" w:rsidP="004E4659">
      <w:pPr>
        <w:pStyle w:val="NormalHanging12a"/>
        <w:widowControl/>
      </w:pPr>
      <w:r w:rsidRPr="0095444E">
        <w:t>–</w:t>
      </w:r>
      <w:r w:rsidRPr="0095444E">
        <w:tab/>
        <w:t>vu sa résolution du 17 septembre 2020 sur la relance culturelle de l’Europe</w:t>
      </w:r>
      <w:r w:rsidRPr="0095444E">
        <w:rPr>
          <w:rStyle w:val="FootnoteReference"/>
        </w:rPr>
        <w:footnoteReference w:id="12"/>
      </w:r>
      <w:r w:rsidRPr="0095444E">
        <w:t xml:space="preserve">, </w:t>
      </w:r>
    </w:p>
    <w:p w:rsidR="004E4659" w:rsidRPr="0095444E" w:rsidRDefault="004E4659" w:rsidP="004E4659">
      <w:pPr>
        <w:pStyle w:val="NormalHanging12a"/>
        <w:widowControl/>
      </w:pPr>
      <w:r w:rsidRPr="0095444E">
        <w:t>–</w:t>
      </w:r>
      <w:r w:rsidRPr="0095444E">
        <w:tab/>
        <w:t>vu l’article 54 de son règlement intérieur, ainsi que l’article 1</w:t>
      </w:r>
      <w:r w:rsidRPr="0095444E">
        <w:rPr>
          <w:vertAlign w:val="superscript"/>
        </w:rPr>
        <w:t>er</w:t>
      </w:r>
      <w:r w:rsidRPr="0095444E">
        <w:t>, paragraphe 1, point e), et l’annexe 3 de la décision de la Conférence des présidents du 12 décembre 2002 relative à la procédure d’autorisation pour l’élaboration de rapports d’initiative,</w:t>
      </w:r>
    </w:p>
    <w:p w:rsidR="004E4659" w:rsidRPr="0095444E" w:rsidRDefault="004E4659" w:rsidP="004E4659">
      <w:pPr>
        <w:pStyle w:val="NormalHanging12a"/>
        <w:widowControl/>
      </w:pPr>
      <w:r w:rsidRPr="0095444E">
        <w:t>–</w:t>
      </w:r>
      <w:r w:rsidRPr="0095444E">
        <w:tab/>
        <w:t>vu le rapport de la commission de la culture et de l’éducation (A9-0425/2023),</w:t>
      </w:r>
    </w:p>
    <w:p w:rsidR="004E4659" w:rsidRPr="0095444E" w:rsidRDefault="004E4659" w:rsidP="004E4659">
      <w:pPr>
        <w:pStyle w:val="NormalHanging12a"/>
        <w:widowControl/>
        <w:rPr>
          <w:rFonts w:eastAsiaTheme="minorHAnsi"/>
        </w:rPr>
      </w:pPr>
      <w:r w:rsidRPr="0095444E">
        <w:t>A.</w:t>
      </w:r>
      <w:r w:rsidRPr="0095444E">
        <w:tab/>
        <w:t>considérant que les données recueillies confirment le vif intérêt porté aux secteurs de la culture et de la création dans le cadre du programme; considérant que des taux de cofinancement plus élevés accordés à diverses actions relevant des volets</w:t>
      </w:r>
      <w:proofErr w:type="gramStart"/>
      <w:r w:rsidRPr="0095444E">
        <w:t xml:space="preserve"> «culture</w:t>
      </w:r>
      <w:proofErr w:type="gramEnd"/>
      <w:r w:rsidRPr="0095444E">
        <w:t>» et MEDIA se sont révélés bénéfiques pour soutenir les écosystèmes culturels et créatifs et a également augmenté les chances des projets de moindre envergure, en particulier au lendemain de la pandémie;</w:t>
      </w:r>
    </w:p>
    <w:p w:rsidR="004E4659" w:rsidRPr="0095444E" w:rsidRDefault="004E4659" w:rsidP="004E4659">
      <w:pPr>
        <w:pStyle w:val="NormalHanging12a"/>
        <w:widowControl/>
        <w:rPr>
          <w:rFonts w:eastAsiaTheme="minorHAnsi"/>
        </w:rPr>
      </w:pPr>
      <w:r w:rsidRPr="0095444E">
        <w:t>B.</w:t>
      </w:r>
      <w:r w:rsidRPr="0095444E">
        <w:tab/>
        <w:t>considérant que le programme Europe créative 2021-2027 prévoit une augmentation globale du budget d’environ 68 % par rapport au programme précédent; que cette augmentation se déprécie considérablement en raison de l’augmentation constante des taux d’inflation</w:t>
      </w:r>
      <w:r w:rsidRPr="0095444E">
        <w:rPr>
          <w:rStyle w:val="FootnoteReference"/>
          <w:rFonts w:eastAsiaTheme="minorHAnsi"/>
          <w:lang w:eastAsia="en-US"/>
        </w:rPr>
        <w:footnoteReference w:id="13"/>
      </w:r>
      <w:r w:rsidRPr="0095444E">
        <w:t xml:space="preserve"> associée aux coûts de l’énergie; que le budget global a été utilisé anticipativement avec un tiers de la dotation financière engagée en 2021 et 2022 pour faire face, entre autres, aux répercussions de la pandémie de COVID-19;</w:t>
      </w:r>
    </w:p>
    <w:p w:rsidR="004E4659" w:rsidRPr="0095444E" w:rsidRDefault="004E4659" w:rsidP="004E4659">
      <w:pPr>
        <w:pStyle w:val="NormalHanging12a"/>
        <w:widowControl/>
        <w:rPr>
          <w:rFonts w:eastAsiaTheme="minorHAnsi"/>
        </w:rPr>
      </w:pPr>
      <w:r w:rsidRPr="0095444E">
        <w:t>C.</w:t>
      </w:r>
      <w:r w:rsidRPr="0095444E">
        <w:tab/>
        <w:t>considérant que le programme Europe créative est le seul programme qui apporte uniquement un soutien à l’ensemble des secteurs de la culture et de la création dont les activités se fondent sur des valeurs culturelles et artistiques, notamment en soutenant les créateurs et les artistes, tels que les auteurs et les interprètes, en plus des projets de petite envergure;</w:t>
      </w:r>
    </w:p>
    <w:p w:rsidR="004E4659" w:rsidRPr="0095444E" w:rsidRDefault="004E4659" w:rsidP="004E4659">
      <w:pPr>
        <w:pStyle w:val="NormalHanging12a"/>
        <w:widowControl/>
        <w:rPr>
          <w:rFonts w:eastAsiaTheme="minorHAnsi"/>
        </w:rPr>
      </w:pPr>
      <w:r w:rsidRPr="0095444E">
        <w:t>D.</w:t>
      </w:r>
      <w:r w:rsidRPr="0095444E">
        <w:tab/>
        <w:t>considérant que le programme reconnaît la valeur intrinsèque et artistique de la culture, qui devrait demeurer au cœur du programme, tout en recherchant un juste équilibre avec sa contribution plus large à l’innovation et à la croissance; considérant que le programme Europe créative, en tant que programme financé par l’Union, devrait contribuer à la mise en œuvre des principes du socle européen des droits sociaux et promouvoir des pratiques et des conditions de travail équitables dans les secteurs de la culture et de la création;</w:t>
      </w:r>
    </w:p>
    <w:p w:rsidR="004E4659" w:rsidRPr="0095444E" w:rsidRDefault="004E4659" w:rsidP="004E4659">
      <w:pPr>
        <w:pStyle w:val="NormalHanging12a"/>
        <w:widowControl/>
        <w:rPr>
          <w:rFonts w:eastAsiaTheme="minorHAnsi"/>
        </w:rPr>
      </w:pPr>
      <w:r w:rsidRPr="0095444E">
        <w:lastRenderedPageBreak/>
        <w:t>E.</w:t>
      </w:r>
      <w:r w:rsidRPr="0095444E">
        <w:tab/>
        <w:t>considérant que l’une des principales nouveautés du programme est qu’il intègre les priorités transversales de l’inclusion, de la diversité, en particulier de l’équilibre entre les hommes et les femmes et de l’écologisation; que les programmes de travail annuels de 2021 et de 2022 accordent une attention particulière à la promotion de l’inclusion sociale et de l’égalité entre les hommes et les femmes; que la mise en œuvre du programme devrait garantir la participation culturelle la plus large possible afin d’inclure, entre autres, les personnes handicapées et les personnes issues de milieux défavorisés;</w:t>
      </w:r>
    </w:p>
    <w:p w:rsidR="004E4659" w:rsidRPr="0095444E" w:rsidRDefault="004E4659" w:rsidP="004E4659">
      <w:pPr>
        <w:pStyle w:val="NormalHanging12a"/>
        <w:widowControl/>
        <w:rPr>
          <w:rFonts w:eastAsiaTheme="minorHAnsi"/>
        </w:rPr>
      </w:pPr>
      <w:r w:rsidRPr="0095444E">
        <w:t>F.</w:t>
      </w:r>
      <w:r w:rsidRPr="0095444E">
        <w:tab/>
        <w:t>considérant que le programme vise à soutenir la transition numérique des secteurs de la culture et de la création, car la technologie a transformé la manière dont ces secteurs créent, produisent et diffusent les contenus; que si la numérisation peut offrir des possibilités d’accroître la participation culturelle, elle peut également faire naître des défis différents de ceux de l’ère de l’analogique;</w:t>
      </w:r>
    </w:p>
    <w:p w:rsidR="004E4659" w:rsidRPr="0095444E" w:rsidRDefault="004E4659" w:rsidP="004E4659">
      <w:pPr>
        <w:pStyle w:val="NormalHanging12a"/>
        <w:widowControl/>
        <w:rPr>
          <w:rFonts w:eastAsiaTheme="minorHAnsi"/>
        </w:rPr>
      </w:pPr>
      <w:r w:rsidRPr="0095444E">
        <w:t>G.</w:t>
      </w:r>
      <w:r w:rsidRPr="0095444E">
        <w:tab/>
        <w:t>considérant que les procédures de gestion administrative du programme Europe créative (candidature, évaluation et rapports) sont toujours considérées par un grand nombre de bénéficiaires et de bénéficiaires éventuels comme lourdes et fastidieuses, malgré certains progrès accomplis en ce qui concerne la simplification;</w:t>
      </w:r>
    </w:p>
    <w:p w:rsidR="004E4659" w:rsidRPr="0095444E" w:rsidRDefault="004E4659" w:rsidP="004E4659">
      <w:pPr>
        <w:pStyle w:val="NormalHanging12a"/>
        <w:widowControl/>
        <w:rPr>
          <w:rFonts w:eastAsiaTheme="minorHAnsi"/>
        </w:rPr>
      </w:pPr>
      <w:r w:rsidRPr="0095444E">
        <w:t>H.</w:t>
      </w:r>
      <w:r w:rsidRPr="0095444E">
        <w:tab/>
        <w:t>considérant que le coût des procédures de gestion administrative décourage souvent la participation de candidats moins expérimentés, y compris les jeunes créateurs, ainsi que les organisations de petite taille, en particulier celles issues de régions défavorisées; que la procédure de candidature doit être simplifiée et améliorée, principalement en raison de l’augmentation du nombre d’étapes dans la procédure et de son interface peu conviviale, qui peuvent ne pas être compatibles avec des applications largement utilisées;</w:t>
      </w:r>
    </w:p>
    <w:p w:rsidR="004E4659" w:rsidRPr="0095444E" w:rsidRDefault="004E4659" w:rsidP="004E4659">
      <w:pPr>
        <w:pStyle w:val="NormalHanging12a"/>
        <w:widowControl/>
        <w:rPr>
          <w:rFonts w:eastAsiaTheme="minorHAnsi"/>
        </w:rPr>
      </w:pPr>
      <w:r w:rsidRPr="0095444E">
        <w:t>I.</w:t>
      </w:r>
      <w:r w:rsidRPr="0095444E">
        <w:tab/>
        <w:t>considérant que la plateforme du programme comprend une procédure de déclaration complexe, difficile à appréhender et qui n’a pas été conçue à l’origine pour le type de projets financés par le programme;</w:t>
      </w:r>
    </w:p>
    <w:p w:rsidR="004E4659" w:rsidRPr="0095444E" w:rsidRDefault="004E4659" w:rsidP="004E4659">
      <w:pPr>
        <w:pStyle w:val="NormalHanging12a"/>
        <w:widowControl/>
      </w:pPr>
      <w:r w:rsidRPr="0095444E">
        <w:t>J.</w:t>
      </w:r>
      <w:r w:rsidRPr="0095444E">
        <w:tab/>
        <w:t>considérant que le volet «culture» promeut la mise en réseau des communautés créatives et favorise la collaboration transfrontière, en mettant particulièrement l’accent sur les projets de coopération; qu’au cours des deux premières années de mise en œuvre, c’est le dispositif consacré aux projets de coopération qui est devenu le plus populaire dans le cadre du volet «culture», en soutenant 291 projets; que la Commission devrait envisager d’étendre les activités de sensibilisation du volet «culture» afin d’accroître la participation de toutes les communautés culturelles et créatives, y compris celles des régions périphériques et rurales;</w:t>
      </w:r>
    </w:p>
    <w:p w:rsidR="004E4659" w:rsidRPr="0095444E" w:rsidRDefault="004E4659" w:rsidP="004E4659">
      <w:pPr>
        <w:pStyle w:val="NormalHanging12a"/>
        <w:widowControl/>
      </w:pPr>
      <w:r w:rsidRPr="0095444E">
        <w:t>K.</w:t>
      </w:r>
      <w:r w:rsidRPr="0095444E">
        <w:tab/>
        <w:t>considérant que le volet MEDIA joue un rôle important pour stimuler la croissance et la résilience dans le secteur audiovisuel; considérant qu’il a attiré 2 124 candidats au cours de la période de deux ans comprise entre 2021 et 2022, avec un taux de réussite qui s’élevait en moyenne à 66 %;</w:t>
      </w:r>
    </w:p>
    <w:p w:rsidR="004E4659" w:rsidRPr="0095444E" w:rsidRDefault="004E4659" w:rsidP="004E4659">
      <w:pPr>
        <w:pStyle w:val="NormalHanging12a"/>
        <w:widowControl/>
        <w:rPr>
          <w:rFonts w:eastAsiaTheme="minorHAnsi"/>
        </w:rPr>
      </w:pPr>
      <w:r w:rsidRPr="0095444E">
        <w:t>L.</w:t>
      </w:r>
      <w:r w:rsidRPr="0095444E">
        <w:tab/>
        <w:t>considérant que l’action préparatoire</w:t>
      </w:r>
      <w:proofErr w:type="gramStart"/>
      <w:r w:rsidRPr="0095444E">
        <w:t xml:space="preserve"> «Rédiger</w:t>
      </w:r>
      <w:proofErr w:type="gramEnd"/>
      <w:r w:rsidRPr="0095444E">
        <w:t xml:space="preserve"> l’Europe», soutenue depuis 2021, a été mise en place dans le but de soutenir les créateurs, en particulier les auteurs, dans la conception et le développement de séries de fiction de qualité capables de traverser les frontières et d’atteindre de nouveaux publics;</w:t>
      </w:r>
    </w:p>
    <w:p w:rsidR="004E4659" w:rsidRPr="0095444E" w:rsidRDefault="004E4659" w:rsidP="004E4659">
      <w:pPr>
        <w:pStyle w:val="NormalHanging12a"/>
        <w:widowControl/>
        <w:rPr>
          <w:rFonts w:eastAsiaTheme="minorHAnsi"/>
        </w:rPr>
      </w:pPr>
      <w:r w:rsidRPr="0095444E">
        <w:t>M.</w:t>
      </w:r>
      <w:r w:rsidRPr="0095444E">
        <w:tab/>
        <w:t>considérant que le volet transsectoriel présente un plus grand nombre de nouveautés reflétant de nouveaux objectifs; considérant que les actions transversales de soutien au secteur des médias d’information constituent un tout nouveau thème du programme Europe créative;</w:t>
      </w:r>
    </w:p>
    <w:p w:rsidR="004E4659" w:rsidRPr="0095444E" w:rsidRDefault="004E4659" w:rsidP="004E4659">
      <w:pPr>
        <w:pStyle w:val="NormalHanging12a"/>
        <w:widowControl/>
      </w:pPr>
      <w:r w:rsidRPr="0095444E">
        <w:t>N.</w:t>
      </w:r>
      <w:r w:rsidRPr="0095444E">
        <w:tab/>
        <w:t>considérant que le renforcement de la mobilité dans les secteurs de la culture et de la création en Europe est un objectif spécifique du programme mis en œuvre grâce à un nouveau dispositif spécifique mis en place dans le cadre du volet</w:t>
      </w:r>
      <w:proofErr w:type="gramStart"/>
      <w:r w:rsidRPr="0095444E">
        <w:t xml:space="preserve"> «culture</w:t>
      </w:r>
      <w:proofErr w:type="gramEnd"/>
      <w:r w:rsidRPr="0095444E">
        <w:t>»;</w:t>
      </w:r>
    </w:p>
    <w:p w:rsidR="004E4659" w:rsidRPr="0095444E" w:rsidRDefault="004E4659" w:rsidP="004E4659">
      <w:pPr>
        <w:pStyle w:val="NormalHanging12a"/>
        <w:widowControl/>
        <w:rPr>
          <w:rFonts w:eastAsiaTheme="minorHAnsi"/>
        </w:rPr>
      </w:pPr>
      <w:r w:rsidRPr="0095444E">
        <w:t>O.</w:t>
      </w:r>
      <w:r w:rsidRPr="0095444E">
        <w:tab/>
        <w:t>considérant que</w:t>
      </w:r>
      <w:proofErr w:type="gramStart"/>
      <w:r w:rsidRPr="0095444E">
        <w:t xml:space="preserve"> «Culture</w:t>
      </w:r>
      <w:proofErr w:type="gramEnd"/>
      <w:r w:rsidRPr="0095444E">
        <w:t xml:space="preserve"> Moves Europe» est le plus grand programme de mobilité de l’Union pour les secteurs de la culture et de la création et qu’il avait attiré environ 4 660 candidatures à la mi-2023; que 85 % des candidatures, approximativement, proviennent de secteurs tels que les arts visuels, les arts du spectacle et la musique; </w:t>
      </w:r>
    </w:p>
    <w:p w:rsidR="004E4659" w:rsidRPr="0095444E" w:rsidRDefault="004E4659" w:rsidP="004E4659">
      <w:pPr>
        <w:pStyle w:val="NormalHanging12a"/>
        <w:widowControl/>
      </w:pPr>
      <w:r w:rsidRPr="0095444E">
        <w:t>P.</w:t>
      </w:r>
      <w:r w:rsidRPr="0095444E">
        <w:tab/>
        <w:t>considérant que le programme reconnaît l’importance du secteur musical en tant que composante essentielle de la diversité culturelle de l’Europe, qui peut bénéficier de l’approche horizontale du volet</w:t>
      </w:r>
      <w:proofErr w:type="gramStart"/>
      <w:r w:rsidRPr="0095444E">
        <w:t xml:space="preserve"> «culture</w:t>
      </w:r>
      <w:proofErr w:type="gramEnd"/>
      <w:r w:rsidRPr="0095444E">
        <w:t>»; qu’au cours de la période 2021-2022, l’initiative «Music Moves Europe» a consacré 5 millions d’euros au renforcement de la compétitivité, de l’innovation et de la diversité du secteur musical européen;</w:t>
      </w:r>
    </w:p>
    <w:p w:rsidR="004E4659" w:rsidRPr="0095444E" w:rsidRDefault="004E4659" w:rsidP="004E4659">
      <w:pPr>
        <w:pStyle w:val="NormalHanging12a"/>
        <w:widowControl/>
      </w:pPr>
      <w:r w:rsidRPr="0095444E">
        <w:t>Q.</w:t>
      </w:r>
      <w:r w:rsidRPr="0095444E">
        <w:tab/>
        <w:t>considérant que l’action en faveur de la traduction littéraire joue un rôle unique en promouvant les auteurs au-delà des frontières, en atteignant de nouveaux publics et en contribuant à une Europe plus diversifiée sur les plans culturel et linguistique;</w:t>
      </w:r>
    </w:p>
    <w:p w:rsidR="004E4659" w:rsidRPr="0095444E" w:rsidRDefault="004E4659" w:rsidP="004E4659">
      <w:pPr>
        <w:pStyle w:val="NormalHanging12a"/>
        <w:widowControl/>
      </w:pPr>
      <w:r w:rsidRPr="0095444E">
        <w:t>R.</w:t>
      </w:r>
      <w:r w:rsidRPr="0095444E">
        <w:tab/>
        <w:t>considérant que le soutien public à l’écosystème audiovisuel en Europe tire essentiellement sa source du niveau national, car le volet MEDIA complète les systèmes nationaux en soutenant des projets ayant une incidence sur le long terme;</w:t>
      </w:r>
    </w:p>
    <w:p w:rsidR="004E4659" w:rsidRPr="0095444E" w:rsidRDefault="004E4659" w:rsidP="004E4659">
      <w:pPr>
        <w:pStyle w:val="NormalHanging12a"/>
        <w:widowControl/>
        <w:rPr>
          <w:rFonts w:eastAsiaTheme="minorHAnsi"/>
        </w:rPr>
      </w:pPr>
      <w:r w:rsidRPr="0095444E">
        <w:t>S.</w:t>
      </w:r>
      <w:r w:rsidRPr="0095444E">
        <w:tab/>
        <w:t>considérant que les bureaux Europe créative jouent un rôle clé en tant qu’intermédiaires entre la Commission, l’Agence exécutive européenne pour l’éducation et la culture (EACEA), les candidats et les bénéficiaires; considérant que plus de 60 % de l’ensemble des candidats en 2021-2022 ont contacté leur bureau local avant de présenter leur candidature;</w:t>
      </w:r>
    </w:p>
    <w:p w:rsidR="004E4659" w:rsidRPr="0095444E" w:rsidRDefault="004E4659" w:rsidP="004E4659">
      <w:pPr>
        <w:pStyle w:val="NormalHanging12a"/>
        <w:widowControl/>
      </w:pPr>
      <w:r w:rsidRPr="0095444E">
        <w:t>T.</w:t>
      </w:r>
      <w:r w:rsidRPr="0095444E">
        <w:tab/>
        <w:t>considérant qu’à la lumière du rôle crucial joué par les bureaux Europe créative dans la promotion et l’information des secteurs de la culture et de la création sur tous les aspects du programme, la coopération et les échanges entre la Commission – y compris l’EACEA – et les bureaux Europe créative doivent être renforcés et concerner le partage des informations pertinentes sur les appels à propositions à venir;</w:t>
      </w:r>
    </w:p>
    <w:p w:rsidR="004E4659" w:rsidRPr="0095444E" w:rsidRDefault="004E4659" w:rsidP="004E4659">
      <w:pPr>
        <w:pStyle w:val="NormalHanging12a"/>
        <w:widowControl/>
      </w:pPr>
      <w:r w:rsidRPr="0095444E">
        <w:t>U.</w:t>
      </w:r>
      <w:r w:rsidRPr="0095444E">
        <w:tab/>
        <w:t>considérant que le programme Europe créative joue un rôle stratégique dans le renforcement de la dimension extérieure des relations culturelles de l’Union européenne en encourageant les partenariats entre les différents acteurs des secteurs de la culture et de la création, en recourant à une approche interpersonnelle et en promouvant la diversité culturelle en Europe et au-delà;</w:t>
      </w:r>
    </w:p>
    <w:p w:rsidR="004E4659" w:rsidRPr="0095444E" w:rsidRDefault="004E4659" w:rsidP="004E4659">
      <w:pPr>
        <w:pStyle w:val="NormalHanging12a"/>
        <w:widowControl/>
      </w:pPr>
      <w:r w:rsidRPr="0095444E">
        <w:t>V.</w:t>
      </w:r>
      <w:r w:rsidRPr="0095444E">
        <w:tab/>
        <w:t>considérant que le programme reconnaît l’importance qu’il y a à préserver et à promouvoir les secteurs de l’art et de l’artisanat, en particulier dans le domaine du patrimoine culturel, tout en reconnaissant leur rôle essentiel dans le soutien aux économies tant urbaines que rurales dans toute l’Europe, ainsi que leur rôle dans le renforcement de la diversité culturelle;</w:t>
      </w:r>
    </w:p>
    <w:p w:rsidR="004E4659" w:rsidRPr="0095444E" w:rsidRDefault="004E4659" w:rsidP="004E4659">
      <w:pPr>
        <w:pStyle w:val="NormalHanging12a"/>
        <w:widowControl/>
      </w:pPr>
      <w:r w:rsidRPr="0095444E">
        <w:t>W.</w:t>
      </w:r>
      <w:r w:rsidRPr="0095444E">
        <w:tab/>
        <w:t xml:space="preserve">considérant que le label d’excellence est une nouveauté du programme Europe créative 2021-2027, introduite dans le but d’accroître les synergies et de simplifier la recherche de financements alternatifs en cas de contraintes budgétaires; </w:t>
      </w:r>
    </w:p>
    <w:p w:rsidR="004E4659" w:rsidRPr="0095444E" w:rsidRDefault="004E4659" w:rsidP="004E4659">
      <w:pPr>
        <w:pStyle w:val="NormalHanging12a"/>
        <w:widowControl/>
      </w:pPr>
      <w:r w:rsidRPr="0095444E">
        <w:t>X.</w:t>
      </w:r>
      <w:r w:rsidRPr="0095444E">
        <w:tab/>
        <w:t>considérant qu’en tant qu’action spéciale, la</w:t>
      </w:r>
      <w:proofErr w:type="gramStart"/>
      <w:r w:rsidRPr="0095444E">
        <w:t xml:space="preserve"> «Capitale</w:t>
      </w:r>
      <w:proofErr w:type="gramEnd"/>
      <w:r w:rsidRPr="0095444E">
        <w:t xml:space="preserve"> européenne de la culture» est une initiative prestigieuse qui occupe une place bien établie dans les agendas culturels à l’échelle mondiale et qui, depuis sa création en 1985, met en lumière la richesse et le caractère unique de la diversité des cultures et des villes;</w:t>
      </w:r>
    </w:p>
    <w:p w:rsidR="004E4659" w:rsidRPr="0095444E" w:rsidRDefault="004E4659" w:rsidP="004E4659">
      <w:pPr>
        <w:pStyle w:val="NormalHanging12a"/>
        <w:widowControl/>
        <w:rPr>
          <w:rFonts w:eastAsiaTheme="minorHAnsi"/>
        </w:rPr>
      </w:pPr>
      <w:r w:rsidRPr="0095444E">
        <w:t>1.</w:t>
      </w:r>
      <w:r w:rsidRPr="0095444E">
        <w:tab/>
        <w:t>souligne que la nouvelle génération du programme Europe créative continue de susciter un vif intérêt dans les secteurs de la culture, de la création et de l’audiovisuel, ainsi que des médias d’information, avec un nombre croissant de candidatures reçues dans le cadre des trois volets, ce qui se traduit par une diminution proportionnelle du taux de réussite des candidatures et peut entraîner un sentiment de désillusion à l’égard du programme dans ces secteurs;</w:t>
      </w:r>
    </w:p>
    <w:p w:rsidR="004E4659" w:rsidRPr="0095444E" w:rsidRDefault="004E4659" w:rsidP="004E4659">
      <w:pPr>
        <w:pStyle w:val="NormalHanging12a"/>
        <w:widowControl/>
        <w:rPr>
          <w:rFonts w:eastAsiaTheme="minorHAnsi"/>
        </w:rPr>
      </w:pPr>
      <w:r w:rsidRPr="0095444E">
        <w:t>2.</w:t>
      </w:r>
      <w:r w:rsidRPr="0095444E">
        <w:tab/>
        <w:t>se félicite de la réponse apportée par le programme pour atténuer les effets de la pandémie de COVID-19, qui a gravement perturbé les secteurs de la culture et de la création avant même le lancement du programme actuel; renouvelle, toutefois, son appel à la Commission et aux États membres afin qu’ils intensifient leurs efforts pour remédier aux effets à long terme de la pandémie sur les créateurs et les professionnels de la culture, en particulier ceux liés au perfectionnement et à la reconversion professionnels de ces derniers, afin de répondre aux besoins découlant des évolutions et des défis auxquels sont confrontés les secteurs;</w:t>
      </w:r>
    </w:p>
    <w:p w:rsidR="004E4659" w:rsidRPr="0095444E" w:rsidRDefault="004E4659" w:rsidP="004E4659">
      <w:pPr>
        <w:pStyle w:val="NormalHanging12a"/>
        <w:widowControl/>
        <w:rPr>
          <w:rFonts w:eastAsiaTheme="minorHAnsi"/>
        </w:rPr>
      </w:pPr>
      <w:r w:rsidRPr="0095444E">
        <w:t>3.</w:t>
      </w:r>
      <w:r w:rsidRPr="0095444E">
        <w:tab/>
        <w:t>déplore que les États membres n’aient pas tous consacré au moins 2 % de la facilité pour la reprise et la résilience à garantir la résilience de ces secteurs, comme l’a demandé le Parlement; invite dès lors tous les États membres à renforcer les synergies et à garantir que ces secteurs reçoivent des investissements ciblés en nombre suffisant par l’intermédiaire d’autres programmes de l’Union;</w:t>
      </w:r>
    </w:p>
    <w:p w:rsidR="004E4659" w:rsidRPr="0095444E" w:rsidRDefault="004E4659" w:rsidP="004E4659">
      <w:pPr>
        <w:pStyle w:val="NormalHanging12a"/>
        <w:widowControl/>
        <w:rPr>
          <w:rFonts w:eastAsiaTheme="minorHAnsi"/>
        </w:rPr>
      </w:pPr>
      <w:r w:rsidRPr="0095444E">
        <w:t>4.</w:t>
      </w:r>
      <w:r w:rsidRPr="0095444E">
        <w:tab/>
        <w:t>reconnaît que la Commission et l’EACEA ont fait preuve de flexibilité dans la mise en œuvre du programme, lequel a été adapté pour tenir compte des conséquences de la pandémie de COVID-19; souligne, cependant, qu’il est nécessaire de trouver un équilibre entre des systèmes de gestion administrative harmonisés applicables à l’ensemble des programmes de l’Union, d’une part, et les besoins spécifiques des différents bénéficiaires, d’autre part; invite instamment la Commission et l’EACEA, par conséquent, à redoubler d’efforts pour simplifier les procédures de gestion administrative du programme Europe créative 2021-2027; insiste néanmoins sur le fait que la rationalisation et la simplification ne doivent pas conduire à une réduction des ressources financières et humaines consacrées au suivi et à l’évaluation des projets;</w:t>
      </w:r>
    </w:p>
    <w:p w:rsidR="004E4659" w:rsidRPr="0095444E" w:rsidRDefault="004E4659" w:rsidP="004E4659">
      <w:pPr>
        <w:pStyle w:val="NormalHanging12a"/>
        <w:widowControl/>
        <w:rPr>
          <w:rFonts w:eastAsiaTheme="minorHAnsi"/>
        </w:rPr>
      </w:pPr>
      <w:r w:rsidRPr="0095444E">
        <w:t>5.</w:t>
      </w:r>
      <w:r w:rsidRPr="0095444E">
        <w:tab/>
        <w:t>reconnaît que la procédure de candidature est souvent complexe, surtout pour les particuliers ainsi que pour les organisations de taille très réduite ou modeste dont les ressources financières et humaines sont limitées; demande par conséquent à la Commission et à l’EACEA de faire en sorte que les coûts liés à la procédure de candidature soient inclus dans les coûts budgétaires prévisionnels globaux; invite en outre les bureaux Europe créative à renforcer encore le soutien proposé à tous les candidats;</w:t>
      </w:r>
    </w:p>
    <w:p w:rsidR="004E4659" w:rsidRPr="0095444E" w:rsidRDefault="004E4659" w:rsidP="004E4659">
      <w:pPr>
        <w:pStyle w:val="NormalHanging12a"/>
        <w:widowControl/>
        <w:rPr>
          <w:rFonts w:eastAsiaTheme="minorHAnsi"/>
        </w:rPr>
      </w:pPr>
      <w:r w:rsidRPr="0095444E">
        <w:t>6.</w:t>
      </w:r>
      <w:r w:rsidRPr="0095444E">
        <w:tab/>
        <w:t>invite la Commission à prévoir des échanges réguliers consacrés au renforcement des capacités avec les bénéficiaires afin de présenter les nouveautés telles que les nouvelles exigences prévues par le système de déclaration, y compris en ce qui concerne les résultats, conformément au règlement général sur la protection des données</w:t>
      </w:r>
      <w:r w:rsidRPr="0095444E">
        <w:rPr>
          <w:rStyle w:val="FootnoteReference"/>
          <w:rFonts w:eastAsiaTheme="minorHAnsi"/>
          <w:lang w:eastAsia="en-US"/>
        </w:rPr>
        <w:footnoteReference w:id="14"/>
      </w:r>
      <w:r w:rsidRPr="0095444E">
        <w:t>; souligne qu’il est urgent, dans le cadre de l’objectif du programme destiné à renforcer la diversité, l’inclusion et l’égalité femmes-hommes, d’améliorer le système de déclaration afin de garantir l’accessibilité et la facilité d’utilisation pour tous les bénéficiaires, y compris les personnes handicapées;</w:t>
      </w:r>
    </w:p>
    <w:p w:rsidR="004E4659" w:rsidRPr="0095444E" w:rsidRDefault="004E4659" w:rsidP="004E4659">
      <w:pPr>
        <w:pStyle w:val="NormalHanging12a"/>
        <w:widowControl/>
        <w:rPr>
          <w:rFonts w:eastAsiaTheme="minorHAnsi"/>
        </w:rPr>
      </w:pPr>
      <w:r w:rsidRPr="0095444E">
        <w:t>7.</w:t>
      </w:r>
      <w:r w:rsidRPr="0095444E">
        <w:tab/>
        <w:t>prend acte de l’introduction progressive de mesures d’incitation à l’inclusion dans tous les volets au cours des deux premières années de mise en œuvre du programme; relève, toutefois, l’absence de données complètes sur la manière dont les objectifs du programme sont poursuivis afin d’encourager l’inclusion, l’égalité, la diversité et la participation; invite instamment la Commission à présenter, à cet égard, un rapport détaillé dans le cadre de son évaluation intermédiaire;</w:t>
      </w:r>
    </w:p>
    <w:p w:rsidR="004E4659" w:rsidRPr="0095444E" w:rsidRDefault="004E4659" w:rsidP="004E4659">
      <w:pPr>
        <w:pStyle w:val="NormalHanging12a"/>
        <w:widowControl/>
        <w:rPr>
          <w:rFonts w:eastAsiaTheme="minorHAnsi"/>
        </w:rPr>
      </w:pPr>
      <w:r w:rsidRPr="0095444E">
        <w:t>8.</w:t>
      </w:r>
      <w:r w:rsidRPr="0095444E">
        <w:tab/>
        <w:t>reconnaît que le programme contribue, par ses actions, à l’objectif de durabilité climatique et environnementale; constate, cependant, que les priorités en matière d’écologisation ont été introduites de manière différente dans les trois volets du programme; invite la Commission à suivre de près la mise en œuvre des priorités en matière d’écologisation et leur incidence sur les secteurs et à présenter régulièrement un rapport sur son évaluation; souligne qu’il importe de développer des activités de formation et de sensibilisation afin de promouvoir l’adoption de pratiques plus durables par les secteurs de la culture et de la création;</w:t>
      </w:r>
    </w:p>
    <w:p w:rsidR="004E4659" w:rsidRPr="0095444E" w:rsidRDefault="004E4659" w:rsidP="004E4659">
      <w:pPr>
        <w:pStyle w:val="NormalHanging12a"/>
        <w:widowControl/>
        <w:rPr>
          <w:rFonts w:eastAsiaTheme="minorHAnsi"/>
        </w:rPr>
      </w:pPr>
      <w:r w:rsidRPr="0095444E">
        <w:t>9.</w:t>
      </w:r>
      <w:r w:rsidRPr="0095444E">
        <w:tab/>
        <w:t xml:space="preserve">met l’accent sur le fait qu’il importe de soutenir les acteurs de la culture et de la création dans les démarches qu’ils effectuent pour saisir les possibilités offertes au niveau de l’Union; salue, à cet égard, l’initiative </w:t>
      </w:r>
      <w:proofErr w:type="spellStart"/>
      <w:r w:rsidRPr="0095444E">
        <w:t>CulturEU</w:t>
      </w:r>
      <w:proofErr w:type="spellEnd"/>
      <w:r w:rsidRPr="0095444E">
        <w:t>, un guide interactif multilingue qui recense toutes les possibilités de financement disponibles; souligne qu’il est essentiel de maintenir des échanges réguliers et, le cas échéant, ciblés avec les secteurs de la culture, de la création et de l’audiovisuel, ainsi que des médias d’information, pour parvenir à mettre en place une coopération avantageuse; rappelle à la Commission qu’il importe de garantir une participation appropriée des parties prenantes à l’élaboration des futurs programmes de travail annuels; propose que la Commission détermine si des programmes de travail annuels ou bisannuels permettraient de mieux mettre en œuvre le programme Europe créative 2028-2034;</w:t>
      </w:r>
    </w:p>
    <w:p w:rsidR="004E4659" w:rsidRPr="0095444E" w:rsidRDefault="004E4659" w:rsidP="004E4659">
      <w:pPr>
        <w:pStyle w:val="NormalHanging12a"/>
        <w:widowControl/>
        <w:rPr>
          <w:rFonts w:eastAsiaTheme="minorHAnsi"/>
        </w:rPr>
      </w:pPr>
      <w:r w:rsidRPr="0095444E">
        <w:t>10.</w:t>
      </w:r>
      <w:r w:rsidRPr="0095444E">
        <w:tab/>
        <w:t>demande que la communication et les échanges entre la Commission, l’EACEA et les bureaux Europe créative soient renforcés afin de garantir l’accès de ces derniers à toutes les informations pertinentes pour qu’ils soient en mesure de proposer un soutien et une orientation de qualité aux candidats et aux bénéficiaires; rappelle également, à cet égard, l’importance que revêt la transparence dans la diffusion des résultats des appels; demande dès lors à la Commission de continuer à publier en temps utile la liste de tous les bénéficiaires de subventions ainsi que les montants alloués;</w:t>
      </w:r>
    </w:p>
    <w:p w:rsidR="004E4659" w:rsidRPr="0095444E" w:rsidRDefault="004E4659" w:rsidP="004E4659">
      <w:pPr>
        <w:pStyle w:val="NormalHanging12a"/>
        <w:widowControl/>
        <w:rPr>
          <w:rFonts w:eastAsiaTheme="minorHAnsi"/>
        </w:rPr>
      </w:pPr>
      <w:r w:rsidRPr="0095444E">
        <w:t>11.</w:t>
      </w:r>
      <w:r w:rsidRPr="0095444E">
        <w:tab/>
        <w:t>souligne qu’il est important d’identifier le programme et d’en accroître la visibilité; invite la Commission, à cet égard, à rendre compte au Parlement de la mise en œuvre de la stratégie de communication du programme, y compris l’utilisation qui est faite des logos officiels;</w:t>
      </w:r>
    </w:p>
    <w:p w:rsidR="004E4659" w:rsidRPr="0095444E" w:rsidRDefault="004E4659" w:rsidP="004E4659">
      <w:pPr>
        <w:pStyle w:val="NormalHanging12a"/>
        <w:widowControl/>
        <w:rPr>
          <w:rFonts w:eastAsiaTheme="minorHAnsi"/>
        </w:rPr>
      </w:pPr>
      <w:r w:rsidRPr="0095444E">
        <w:t>12.</w:t>
      </w:r>
      <w:r w:rsidRPr="0095444E">
        <w:tab/>
        <w:t>insiste sur le fait qu’un nombre important de bénéficiaires souhaitent partager leurs réalisations avec les secteurs de la culture, de la création et de l’audiovisuel, ainsi qu’avec les citoyens européens; souligne, à cet égard, que la plateforme mise à disposition à cet effet est jugée insatisfaisante; invite dès lors la Commission à associer les bénéficiaires à l’élaboration d’une plateforme plus adaptée;</w:t>
      </w:r>
    </w:p>
    <w:p w:rsidR="004E4659" w:rsidRPr="0095444E" w:rsidRDefault="004E4659" w:rsidP="004E4659">
      <w:pPr>
        <w:pStyle w:val="NormalHanging12a"/>
        <w:widowControl/>
      </w:pPr>
      <w:r w:rsidRPr="0095444E">
        <w:t>13.</w:t>
      </w:r>
      <w:r w:rsidRPr="0095444E">
        <w:tab/>
        <w:t>constate que certains États membres ne prévoient pas de régimes d’indemnisation ni de couverture d’assurance au niveau national pour faciliter la mobilité des biens culturels; reconnaît que les coûts d’une assurance commerciale peuvent être considérables pour de nombreux acteurs culturels; propose, à cet égard, que la Commission publie une étude de faisabilité relative à la mise en place d’un régime de garantie paneuropéen destiné à couvrir les coûts d’indemnisation comme première étape pour remédier à ce problème;</w:t>
      </w:r>
    </w:p>
    <w:p w:rsidR="004E4659" w:rsidRPr="0095444E" w:rsidRDefault="004E4659" w:rsidP="004E4659">
      <w:pPr>
        <w:pStyle w:val="NormalHanging12a"/>
        <w:widowControl/>
      </w:pPr>
      <w:r w:rsidRPr="0095444E">
        <w:t>14.</w:t>
      </w:r>
      <w:r w:rsidRPr="0095444E">
        <w:tab/>
        <w:t>invite instamment la Commission à promouvoir l’utilisation transparente et axée sur l’humain de l’intelligence artificielle (IA) dans le processus artistique et créatif en élaborant des normes éthiques appropriées en matière d’utilisation de l’IA; invite la Commission, à cet égard, à veiller à ce que les candidats et les bénéficiaires communiquent des informations sur l’utilisation de l’IA dans leurs projets, y compris dans la production, la distribution et la promotion d’œuvres créatives, afin d’évaluer cette tendance émergente dans les secteurs de la culture et de la création et son incidence sur le programme;</w:t>
      </w:r>
    </w:p>
    <w:p w:rsidR="004E4659" w:rsidRPr="0095444E" w:rsidRDefault="004E4659" w:rsidP="004E4659">
      <w:pPr>
        <w:pStyle w:val="NormalHanging12a"/>
        <w:widowControl/>
      </w:pPr>
      <w:r w:rsidRPr="0095444E">
        <w:t>15.</w:t>
      </w:r>
      <w:r w:rsidRPr="0095444E">
        <w:tab/>
        <w:t>souligne que le programme Europe créative offre un potentiel considérable en ce qui concerne le développement et le renforcement des partenariats transnationaux puisqu’il contribue, grâce à la culture, aux relations internationales de l’Union;</w:t>
      </w:r>
    </w:p>
    <w:p w:rsidR="004E4659" w:rsidRPr="0095444E" w:rsidRDefault="004E4659" w:rsidP="004E4659">
      <w:pPr>
        <w:pStyle w:val="NormalHanging12a"/>
        <w:widowControl/>
      </w:pPr>
      <w:r w:rsidRPr="0095444E">
        <w:t>16.</w:t>
      </w:r>
      <w:r w:rsidRPr="0095444E">
        <w:tab/>
        <w:t>invite la Commission à consacrer des ressources appropriées à la dimension extérieure du programme et à encourager une coopération accrue entre les organisations et les instituts culturels dans les États membres et les réseaux des instituts culturels nationaux de l’Union européenne (EUNIC) dans les pays tiers; invite en outre la Commission à soutenir et à faciliter, dans la mesure du possible, la participation des pays tiers au programme;</w:t>
      </w:r>
    </w:p>
    <w:p w:rsidR="004E4659" w:rsidRPr="0095444E" w:rsidRDefault="004E4659" w:rsidP="004E4659">
      <w:pPr>
        <w:pStyle w:val="NormalHanging12a"/>
        <w:widowControl/>
        <w:rPr>
          <w:rFonts w:eastAsiaTheme="minorHAnsi"/>
          <w:b/>
          <w:i/>
        </w:rPr>
      </w:pPr>
      <w:r w:rsidRPr="0095444E">
        <w:rPr>
          <w:b/>
          <w:i/>
        </w:rPr>
        <w:t>Enveloppe budgétaire</w:t>
      </w:r>
    </w:p>
    <w:p w:rsidR="004E4659" w:rsidRPr="0095444E" w:rsidRDefault="004E4659" w:rsidP="004E4659">
      <w:pPr>
        <w:pStyle w:val="NormalHanging12a"/>
        <w:widowControl/>
        <w:rPr>
          <w:rFonts w:eastAsiaTheme="minorHAnsi"/>
        </w:rPr>
      </w:pPr>
      <w:r w:rsidRPr="0095444E">
        <w:t>17.</w:t>
      </w:r>
      <w:r w:rsidRPr="0095444E">
        <w:tab/>
        <w:t>attire l’attention sur le fait que le programme Europe créative actuel, malgré l’augmentation notable du budget pour la période 2021-2027, est encore trop sollicité; invite la Commission et les États membres, à cet égard, à augmenter considérablement la dotation financière du programme Europe créative 2028-2034;</w:t>
      </w:r>
    </w:p>
    <w:p w:rsidR="004E4659" w:rsidRPr="0095444E" w:rsidRDefault="004E4659" w:rsidP="004E4659">
      <w:pPr>
        <w:pStyle w:val="NormalHanging12a"/>
        <w:widowControl/>
        <w:rPr>
          <w:rFonts w:eastAsiaTheme="minorHAnsi"/>
        </w:rPr>
      </w:pPr>
      <w:r w:rsidRPr="0095444E">
        <w:t>18.</w:t>
      </w:r>
      <w:r w:rsidRPr="0095444E">
        <w:tab/>
        <w:t>reconnaît qu’il a été urgent, au cours de la période de deux ans comprise entre 2021 et 2022, de concentrer les dépenses en début de période afin d’atténuer les effets de la pandémie de COVID-19 et ceux de la guerre d’agression menée par la Russie contre l’Ukraine; souligne, toutefois, l’incidence négative que cette mesure aura au cours de la seconde moitié du cycle financier;</w:t>
      </w:r>
    </w:p>
    <w:p w:rsidR="004E4659" w:rsidRPr="0095444E" w:rsidRDefault="004E4659" w:rsidP="004E4659">
      <w:pPr>
        <w:pStyle w:val="NormalHanging12a"/>
        <w:widowControl/>
        <w:rPr>
          <w:rFonts w:eastAsiaTheme="minorHAnsi"/>
        </w:rPr>
      </w:pPr>
      <w:r w:rsidRPr="0095444E">
        <w:t>19.</w:t>
      </w:r>
      <w:r w:rsidRPr="0095444E">
        <w:tab/>
        <w:t>invite instamment les États membres et la Commission, compte tenu des défis posés par la numérisation et l’écologisation, ainsi que des taux d’inscription élevés, de l’inflation galopante et des coûts de l’énergie élevés qui en découlent, qui nuisent tous gravement à la capacité opérationnelle des bénéficiaires, à s’assurer qu’il n’y ait pas de coupes budgétaires dans la dotation allouée au programme au cours des prochains exercices budgétaires;</w:t>
      </w:r>
    </w:p>
    <w:p w:rsidR="004E4659" w:rsidRPr="0095444E" w:rsidRDefault="004E4659" w:rsidP="004E4659">
      <w:pPr>
        <w:pStyle w:val="NormalHanging12a"/>
        <w:widowControl/>
        <w:rPr>
          <w:rFonts w:eastAsiaTheme="minorHAnsi"/>
        </w:rPr>
      </w:pPr>
      <w:r w:rsidRPr="0095444E">
        <w:t>20.</w:t>
      </w:r>
      <w:r w:rsidRPr="0095444E">
        <w:tab/>
        <w:t>regrette que le label d’excellence n’ait pas encore été mis en œuvre; demande à la Commission de mettre en place ce label immédiatement, afin que les projets puissent tirer parti des possibilités offertes par le financement cumulé et alternatif au cours du cycle de programmation actuel;</w:t>
      </w:r>
    </w:p>
    <w:p w:rsidR="004E4659" w:rsidRPr="0095444E" w:rsidRDefault="004E4659" w:rsidP="004E4659">
      <w:pPr>
        <w:pStyle w:val="NormalHanging12a"/>
        <w:widowControl/>
        <w:rPr>
          <w:rFonts w:eastAsiaTheme="minorHAnsi"/>
        </w:rPr>
      </w:pPr>
      <w:r w:rsidRPr="0095444E">
        <w:t>21.</w:t>
      </w:r>
      <w:r w:rsidRPr="0095444E">
        <w:tab/>
        <w:t>déplore le fait que, dans le cadre du cadre financier pluriannuel (CFP) 2021-2027, aucune flexibilité ne soit prévue pour compléter le programme Europe créative et souligne que cela empêche le financement de nouvelles initiatives, de projets pilotes de grande valeur et d’actions préparatoires; rappelle, à cet égard, que les projets pilotes et les actions préparatoires sont des outils importants pour tester de nouvelles initiatives susceptibles de devenir des programmes de financement permanents de l’Union ou d’être intégrées à des programmes existants;</w:t>
      </w:r>
    </w:p>
    <w:p w:rsidR="004E4659" w:rsidRPr="0095444E" w:rsidRDefault="004E4659" w:rsidP="004E4659">
      <w:pPr>
        <w:pStyle w:val="NormalHanging12a"/>
        <w:widowControl/>
        <w:rPr>
          <w:rFonts w:eastAsiaTheme="minorHAnsi"/>
        </w:rPr>
      </w:pPr>
      <w:r w:rsidRPr="0095444E">
        <w:t>22.</w:t>
      </w:r>
      <w:r w:rsidRPr="0095444E">
        <w:tab/>
        <w:t>déplore le déficit de financement enregistré entre les deux cycles du CFP qui a pesé en particulier sur le système de réseaux et demande à la Commission de veiller à ce que cette situation ne se reproduise pas à l’avenir; demande à la Commission, compte tenu du rôle clé de ce dispositif dans le soutien à la capacité des secteurs de la culture et de la création à exercer leurs activités à l’échelle transnationale et internationale, d’apporter des financements suffisants et, en outre, d’envisager l’introduction de subventions de fonctionnement en faveur de cette action;</w:t>
      </w:r>
    </w:p>
    <w:p w:rsidR="004E4659" w:rsidRPr="0095444E" w:rsidRDefault="004E4659" w:rsidP="004E4659">
      <w:pPr>
        <w:pStyle w:val="NormalHanging12a"/>
        <w:widowControl/>
        <w:rPr>
          <w:rFonts w:eastAsiaTheme="minorHAnsi"/>
          <w:b/>
          <w:i/>
        </w:rPr>
      </w:pPr>
      <w:r w:rsidRPr="0095444E">
        <w:rPr>
          <w:b/>
          <w:i/>
        </w:rPr>
        <w:t>Volet</w:t>
      </w:r>
      <w:proofErr w:type="gramStart"/>
      <w:r w:rsidRPr="0095444E">
        <w:rPr>
          <w:b/>
          <w:i/>
        </w:rPr>
        <w:t xml:space="preserve"> «culture</w:t>
      </w:r>
      <w:proofErr w:type="gramEnd"/>
      <w:r w:rsidRPr="0095444E">
        <w:rPr>
          <w:b/>
          <w:i/>
        </w:rPr>
        <w:t>»</w:t>
      </w:r>
    </w:p>
    <w:p w:rsidR="004E4659" w:rsidRPr="0095444E" w:rsidRDefault="004E4659" w:rsidP="004E4659">
      <w:pPr>
        <w:pStyle w:val="NormalHanging12a"/>
        <w:widowControl/>
        <w:rPr>
          <w:rFonts w:eastAsiaTheme="minorHAnsi"/>
        </w:rPr>
      </w:pPr>
      <w:r w:rsidRPr="0095444E">
        <w:t>23.</w:t>
      </w:r>
      <w:r w:rsidRPr="0095444E">
        <w:tab/>
        <w:t>se félicite du fait que l’approche sectorielle ait été introduite en tant que nouvel élément du volet</w:t>
      </w:r>
      <w:proofErr w:type="gramStart"/>
      <w:r w:rsidRPr="0095444E">
        <w:t xml:space="preserve"> «culture</w:t>
      </w:r>
      <w:proofErr w:type="gramEnd"/>
      <w:r w:rsidRPr="0095444E">
        <w:t>» complétant les actions horizontales; demande que celle-ci soit renforcée au moyen d’une dotation budgétaire appropriée permettant de garantir qu’aucun secteur ne soit laissé pour compte et que la dotation pour les actions horizontales ne soit pas réduite;</w:t>
      </w:r>
    </w:p>
    <w:p w:rsidR="004E4659" w:rsidRPr="0095444E" w:rsidRDefault="004E4659" w:rsidP="004E4659">
      <w:pPr>
        <w:pStyle w:val="NormalHanging12a"/>
        <w:widowControl/>
        <w:rPr>
          <w:rFonts w:eastAsiaTheme="minorHAnsi"/>
        </w:rPr>
      </w:pPr>
      <w:r w:rsidRPr="0095444E">
        <w:t>24.</w:t>
      </w:r>
      <w:r w:rsidRPr="0095444E">
        <w:tab/>
        <w:t>rappelle qu’il importe de préserver et de promouvoir davantage la liberté d’expression artistique, en particulier dans le cadre des possibilités de financement offertes par le programme au titre de l’action en faveur des projets de coopération culturelle et du programme de réseaux européens;</w:t>
      </w:r>
    </w:p>
    <w:p w:rsidR="004E4659" w:rsidRPr="0095444E" w:rsidRDefault="004E4659" w:rsidP="004E4659">
      <w:pPr>
        <w:pStyle w:val="NormalHanging12a"/>
        <w:widowControl/>
      </w:pPr>
      <w:r w:rsidRPr="0095444E">
        <w:t>25.</w:t>
      </w:r>
      <w:r w:rsidRPr="0095444E">
        <w:tab/>
        <w:t>reconnaît que l’augmentation des taux de cofinancement, en particulier pour les projets de coopération à petite échelle, est bénéfique et facilite la participation des organisations de taille modeste; invite la Commission et l’EACEA, à cet égard, à permettre aux consortiums de projets d’établir de manière indépendante comment le financement est réparti entre leurs partenaires, à condition que le taux global de cofinancement s’applique au niveau du projet;</w:t>
      </w:r>
    </w:p>
    <w:p w:rsidR="004E4659" w:rsidRPr="0095444E" w:rsidRDefault="004E4659" w:rsidP="004E4659">
      <w:pPr>
        <w:pStyle w:val="NormalHanging12a"/>
        <w:widowControl/>
      </w:pPr>
      <w:r w:rsidRPr="0095444E">
        <w:t>26.</w:t>
      </w:r>
      <w:r w:rsidRPr="0095444E">
        <w:tab/>
        <w:t>souligne l’importance que revêt la mobilité transfrontière pour tous les créateurs, car elle favorise le processus créatif en élargissant le champ des possibilités professionnelles à l’étranger; se félicite, à cet égard, de la mise en place du programme Culture Moves Europe en tant que nouvelle action en faveur de la mobilité relevant du programme Europe créative;</w:t>
      </w:r>
    </w:p>
    <w:p w:rsidR="004E4659" w:rsidRPr="0095444E" w:rsidRDefault="004E4659" w:rsidP="004E4659">
      <w:pPr>
        <w:pStyle w:val="NormalHanging12a"/>
        <w:widowControl/>
      </w:pPr>
      <w:r w:rsidRPr="0095444E">
        <w:t>27.</w:t>
      </w:r>
      <w:r w:rsidRPr="0095444E">
        <w:tab/>
        <w:t>prend acte de la qualité élevée des candidatures reçues dans le cadre du programme de mobilité; invite la Commission, cependant, à promouvoir «Culture Moves Europe» auprès d’un public plus large avec l’aide et le soutien de tous les bureaux Europe créative par l’intermédiaire d’activités de communication et de sensibilisation; estime que ces activités devraient cibler spécifiquement les différents secteurs, y compris les créateurs issus de tous les groupes marginalisés ainsi que les pays et régions moins représentés, afin de garantir un équilibre géographique;</w:t>
      </w:r>
    </w:p>
    <w:p w:rsidR="004E4659" w:rsidRPr="0095444E" w:rsidRDefault="004E4659" w:rsidP="004E4659">
      <w:pPr>
        <w:pStyle w:val="NormalHanging12a"/>
        <w:widowControl/>
      </w:pPr>
      <w:r w:rsidRPr="0095444E">
        <w:t>28.</w:t>
      </w:r>
      <w:r w:rsidRPr="0095444E">
        <w:tab/>
        <w:t>souligne, tout en prenant acte du grand succès remporté par la nouvelle action en faveur de la mobilité, qu’il est impératif qu’une analyse des principales tendances émergentes soit effectuée d’ici la fin de 2024 pour étudier la possibilité d’élargir encore cette action afin d’y intégrer de nouveaux acteurs, tels que des représentants du secteur du livre; invite la Commission, à cet égard, à augmenter le budget alloué à cette action à partir de 2025;</w:t>
      </w:r>
    </w:p>
    <w:p w:rsidR="004E4659" w:rsidRPr="0095444E" w:rsidRDefault="004E4659" w:rsidP="004E4659">
      <w:pPr>
        <w:pStyle w:val="NormalHanging12a"/>
        <w:widowControl/>
      </w:pPr>
      <w:r w:rsidRPr="0095444E">
        <w:t>29.</w:t>
      </w:r>
      <w:r w:rsidRPr="0095444E">
        <w:tab/>
        <w:t>met l’accent sur l’incidence positive des compléments de financement en faveur de l’écologisation et des familles mis en œuvre au titre du programme de mobilité qui constituent un exemple concret de la manière dont le programme peut être plus inclusif; invite dès lors la Commission à envisager de mettre en œuvre cette approche dans le cadre d’autres actions relevant du programme Europe créative;</w:t>
      </w:r>
    </w:p>
    <w:p w:rsidR="004E4659" w:rsidRPr="0095444E" w:rsidRDefault="004E4659" w:rsidP="004E4659">
      <w:pPr>
        <w:pStyle w:val="NormalHanging12a"/>
        <w:widowControl/>
      </w:pPr>
      <w:r w:rsidRPr="0095444E">
        <w:t>30.</w:t>
      </w:r>
      <w:r w:rsidRPr="0095444E">
        <w:tab/>
        <w:t>se félicite de l’augmentation du financement alloué aux plateformes européennes de promotion des artistes émergents dans le cadre du volet</w:t>
      </w:r>
      <w:proofErr w:type="gramStart"/>
      <w:r w:rsidRPr="0095444E">
        <w:t xml:space="preserve"> «culture</w:t>
      </w:r>
      <w:proofErr w:type="gramEnd"/>
      <w:r w:rsidRPr="0095444E">
        <w:t>» et souligne l’incidence positive qu’elle a eue sur la diversité en augmentant la visibilité des artistes et de leurs œuvres à l’échelle internationale; invite la Commission, par conséquent, à continuer de développer cette action en s’assurant que le financement et la promotion soient appropriés;</w:t>
      </w:r>
    </w:p>
    <w:p w:rsidR="004E4659" w:rsidRPr="0095444E" w:rsidRDefault="004E4659" w:rsidP="004E4659">
      <w:pPr>
        <w:pStyle w:val="NormalHanging12a"/>
        <w:widowControl/>
      </w:pPr>
      <w:r w:rsidRPr="0095444E">
        <w:t>31.</w:t>
      </w:r>
      <w:r w:rsidRPr="0095444E">
        <w:tab/>
        <w:t>souligne l’importance que revêt le système de réseaux pour offrir des possibilités de mise en réseau et de consolidation des capacités, qui renforcent la diversité et la compétitivité des secteurs européens de la culture et de la création; invite la Commission, à cet égard, à financer de manière appropriée cette action afin de soutenir les bénéficiaires actuels et les nouveaux réseaux;</w:t>
      </w:r>
    </w:p>
    <w:p w:rsidR="004E4659" w:rsidRPr="0095444E" w:rsidRDefault="004E4659" w:rsidP="004E4659">
      <w:pPr>
        <w:pStyle w:val="NormalHanging12a"/>
        <w:widowControl/>
      </w:pPr>
      <w:r w:rsidRPr="0095444E">
        <w:t>32.</w:t>
      </w:r>
      <w:r w:rsidRPr="0095444E">
        <w:tab/>
        <w:t>souligne que l’approche sectorielle constitue un outil excellent pour renforcer le secteur du livre et de l’édition, en permettant des actions concertées qui soutiennent et stimulent l’accès au marché et la circulation plus large des œuvres européennes;</w:t>
      </w:r>
    </w:p>
    <w:p w:rsidR="004E4659" w:rsidRPr="0095444E" w:rsidRDefault="004E4659" w:rsidP="004E4659">
      <w:pPr>
        <w:pStyle w:val="NormalHanging12a"/>
        <w:widowControl/>
      </w:pPr>
      <w:r w:rsidRPr="0095444E">
        <w:t>33.</w:t>
      </w:r>
      <w:r w:rsidRPr="0095444E">
        <w:tab/>
        <w:t>rappelle que la traduction littéraire est le principal système de soutien du secteur du livre; souligne, cependant, qu’il est nécessaire d’élargir ce système pour y intégrer la traduction de livres européens non fictionnels; invite la Commission, dans la perspective de son examen à mi-parcours du programme, à définir des objectifs mesurables tenant compte de la manière dont les financements sont octroyés pour améliorer l’accès des personnes handicapées aux livres;</w:t>
      </w:r>
    </w:p>
    <w:p w:rsidR="004E4659" w:rsidRPr="0095444E" w:rsidRDefault="004E4659" w:rsidP="004E4659">
      <w:pPr>
        <w:pStyle w:val="NormalHanging12a"/>
        <w:widowControl/>
      </w:pPr>
      <w:r w:rsidRPr="0095444E">
        <w:t>34.</w:t>
      </w:r>
      <w:r w:rsidRPr="0095444E">
        <w:tab/>
        <w:t>se félicite de l’augmentation des actions de soutien au secteur de la musique dans le cadre du volet «culture», ce qui se traduit par un nombre accru de projets musicaux présentés dans le cadre du programme actuel; demande à la Commission, toutefois, de mettre en place une approche plus stratégique et sectorielle dans le secteur de la musique pour relever les nouveaux défis et ceux à venir, en s’appuyant sur les résultats de l’action préparatoire «Music Moves Europe»; souligne, à cet égard, qu’il importe d’instaurer un dialogue structuré régulier entre l’écosystème musical et la Commission; invite en outre la Commission à recueillir, en coopération avec le secteur, des données sur les marchés de la musique des États membres et à rendre compte de tous les défis émergents qui touchent l’écosystème dans son ensemble;</w:t>
      </w:r>
    </w:p>
    <w:p w:rsidR="004E4659" w:rsidRPr="0095444E" w:rsidRDefault="004E4659" w:rsidP="004E4659">
      <w:pPr>
        <w:pStyle w:val="NormalHanging12a"/>
        <w:widowControl/>
      </w:pPr>
      <w:r w:rsidRPr="0095444E">
        <w:t>35.</w:t>
      </w:r>
      <w:r w:rsidRPr="0095444E">
        <w:tab/>
        <w:t xml:space="preserve">attire l’attention sur l’importance que revêt l’action spéciale «Capitale européenne de la culture» en tant que catalyseur de la revitalisation culturelle et économique des villes et des régions; souligne qu’un financement supplémentaire en faveur de cette action spéciale est nécessaire, et attendu de longue date, afin de faire face aux coûts supplémentaires imputables aux effets à long terme de la pandémie de COVID-19 et à l’inflation galopante; invite la Commission, par conséquent, à augmenter le financement du prix </w:t>
      </w:r>
      <w:proofErr w:type="spellStart"/>
      <w:r w:rsidRPr="0095444E">
        <w:t>Melina</w:t>
      </w:r>
      <w:proofErr w:type="spellEnd"/>
      <w:r w:rsidRPr="0095444E">
        <w:t> </w:t>
      </w:r>
      <w:proofErr w:type="spellStart"/>
      <w:r w:rsidRPr="0095444E">
        <w:t>Mercouri</w:t>
      </w:r>
      <w:proofErr w:type="spellEnd"/>
      <w:r w:rsidRPr="0095444E">
        <w:t>, doté d’une enveloppe dont le montant s’élève à seulement 1,5 million d’euros depuis plusieurs années; invite en outre les États membres à s’assurer que l’initiative s’accompagne de retombées durables et à soutenir sa diffusion pour accroître la participation aux activités culturelles auxquelles elle permet de voir le jour;</w:t>
      </w:r>
    </w:p>
    <w:p w:rsidR="004E4659" w:rsidRPr="0095444E" w:rsidRDefault="004E4659" w:rsidP="004E4659">
      <w:pPr>
        <w:pStyle w:val="NormalHanging12a"/>
        <w:widowControl/>
      </w:pPr>
      <w:r w:rsidRPr="0095444E">
        <w:t>36.</w:t>
      </w:r>
      <w:r w:rsidRPr="0095444E">
        <w:tab/>
        <w:t>reconnaît que le label du patrimoine européen est une initiative précieuse qui promeut le rôle important que jouent certains sites dans l’histoire et dans la culture de l’Europe et relève qu’au cours de la période comprise entre 2013 et 2021, 60 sites ont obtenu ce label; invite la Commission, cependant, à améliorer la visibilité du label du patrimoine européen en créant des synergies avec d’autres instruments financiers de l’Union pertinents;</w:t>
      </w:r>
    </w:p>
    <w:p w:rsidR="004E4659" w:rsidRPr="0095444E" w:rsidRDefault="004E4659" w:rsidP="004E4659">
      <w:pPr>
        <w:pStyle w:val="NormalHanging12a"/>
        <w:widowControl/>
      </w:pPr>
      <w:r w:rsidRPr="0095444E">
        <w:t>37.</w:t>
      </w:r>
      <w:r w:rsidRPr="0095444E">
        <w:tab/>
        <w:t>souligne l’importance que revêtent les prix soutenus par le programme Europe Créative dans les domaines de la littérature, de l’architecture et du patrimoine, de la musique (contemporaine, rock et pop) et des arts audiovisuels; insiste sur le fait que ces initiatives de longue date sont bien connues dans ces secteurs et qu’elles renforcent la visibilité des secteurs européens de la culture et de la création en récompensant les réalisations dans des domaines divers;</w:t>
      </w:r>
    </w:p>
    <w:p w:rsidR="004E4659" w:rsidRPr="0095444E" w:rsidRDefault="004E4659" w:rsidP="004E4659">
      <w:pPr>
        <w:pStyle w:val="NormalHanging12a"/>
        <w:widowControl/>
        <w:rPr>
          <w:rFonts w:eastAsiaTheme="minorHAnsi"/>
          <w:b/>
          <w:i/>
        </w:rPr>
      </w:pPr>
      <w:r w:rsidRPr="0095444E">
        <w:rPr>
          <w:b/>
          <w:i/>
        </w:rPr>
        <w:t>Volet MEDIA</w:t>
      </w:r>
    </w:p>
    <w:p w:rsidR="004E4659" w:rsidRPr="0095444E" w:rsidRDefault="004E4659" w:rsidP="004E4659">
      <w:pPr>
        <w:pStyle w:val="NormalHanging12a"/>
        <w:widowControl/>
      </w:pPr>
      <w:r w:rsidRPr="0095444E">
        <w:t>38.</w:t>
      </w:r>
      <w:r w:rsidRPr="0095444E">
        <w:tab/>
        <w:t>reconnaît que le volet MEDIA reste le principal instrument européen de soutien stratégique au secteur audiovisuel indépendant, qui se compose principalement de petites et moyennes entreprises; attire l’attention sur la concurrence internationale importante à laquelle sont confrontés les secteurs européens de l’audiovisuel, du cinéma et du jeu vidéo et sur le soutien essentiel que ce volet apporte à la relance et à la transformation de ces secteurs et au renforcement de l’autonomie stratégique de l’Union; souligne, à cet égard, qu’il importe de garantir une dotation budgétaire appropriée au volet MEDIA et insiste sur la nécessité de disposer de données complètes pour évaluer et surveiller si, et comment, le programme parvient effectivement à accroître le potentiel économique et culturel de ces secteurs;</w:t>
      </w:r>
    </w:p>
    <w:p w:rsidR="004E4659" w:rsidRPr="0095444E" w:rsidRDefault="004E4659" w:rsidP="004E4659">
      <w:pPr>
        <w:pStyle w:val="NormalHanging12a"/>
        <w:widowControl/>
      </w:pPr>
      <w:r w:rsidRPr="0095444E">
        <w:t>39.</w:t>
      </w:r>
      <w:r w:rsidRPr="0095444E">
        <w:tab/>
        <w:t>reconnaît l’incidence positive des mesures ciblées introduites au titre du volet MEDIA afin d’élargir la participation de pays dotés de capacités audiovisuelles différentes et de renforcer la coopération transfrontière;</w:t>
      </w:r>
    </w:p>
    <w:p w:rsidR="004E4659" w:rsidRPr="0095444E" w:rsidRDefault="004E4659" w:rsidP="004E4659">
      <w:pPr>
        <w:pStyle w:val="NormalHanging12a"/>
        <w:widowControl/>
        <w:rPr>
          <w:rFonts w:eastAsiaTheme="minorHAnsi"/>
        </w:rPr>
      </w:pPr>
      <w:r w:rsidRPr="0095444E">
        <w:t>40.</w:t>
      </w:r>
      <w:r w:rsidRPr="0095444E">
        <w:tab/>
        <w:t xml:space="preserve">souligne qu’un nombre élevé de projets de grande qualité présentés dans le cadre des programmes de </w:t>
      </w:r>
      <w:proofErr w:type="spellStart"/>
      <w:r w:rsidRPr="0095444E">
        <w:t>codéveloppement</w:t>
      </w:r>
      <w:proofErr w:type="spellEnd"/>
      <w:r w:rsidRPr="0095444E">
        <w:t xml:space="preserve"> et de mini-catalogues ont été rejetés en 2021-2022 en raison de contraintes budgétaires; invite la Commission, par conséquent, à allouer davantage de crédits à la mise en œuvre future de ces programmes;</w:t>
      </w:r>
    </w:p>
    <w:p w:rsidR="004E4659" w:rsidRPr="0095444E" w:rsidRDefault="004E4659" w:rsidP="004E4659">
      <w:pPr>
        <w:pStyle w:val="NormalHanging12a"/>
        <w:widowControl/>
        <w:rPr>
          <w:rFonts w:eastAsiaTheme="minorHAnsi"/>
        </w:rPr>
      </w:pPr>
      <w:r w:rsidRPr="0095444E">
        <w:t>41.</w:t>
      </w:r>
      <w:r w:rsidRPr="0095444E">
        <w:tab/>
        <w:t>met l’accent sur le rôle essentiel des dispositifs de soutien à la distribution de films européens et à la vente de films européens qui contribuent à la diversité culturelle du secteur audiovisuel européen en augmentant la circulation transfrontière des films européens et en compensant certains des risques pris par les distributeurs lorsqu’ils investissent dans la production, la distribution et la promotion de films européens non nationaux; souligne, par conséquent, qu’il est crucial d’augmenter le financement des deux dispositifs et de consentir des efforts supplémentaires pour garantir la circulation plus large et la disponibilité en ligne des œuvres européennes;</w:t>
      </w:r>
    </w:p>
    <w:p w:rsidR="004E4659" w:rsidRPr="0095444E" w:rsidRDefault="004E4659" w:rsidP="004E4659">
      <w:pPr>
        <w:pStyle w:val="NormalHanging12a"/>
        <w:widowControl/>
        <w:rPr>
          <w:rFonts w:eastAsiaTheme="minorHAnsi"/>
        </w:rPr>
      </w:pPr>
      <w:r w:rsidRPr="0095444E">
        <w:t>42.</w:t>
      </w:r>
      <w:r w:rsidRPr="0095444E">
        <w:tab/>
        <w:t xml:space="preserve">insiste sur le fait que dans de nombreux pays européens, il n’existe pas de programme d’aide à la diffusion cinématographique; souligne, à cet égard, l’importance qu’il y a à maintenir un financement suffisant du réseau Europa </w:t>
      </w:r>
      <w:proofErr w:type="spellStart"/>
      <w:r w:rsidRPr="0095444E">
        <w:t>Cinemas</w:t>
      </w:r>
      <w:proofErr w:type="spellEnd"/>
      <w:r w:rsidRPr="0095444E">
        <w:t>, une initiative phare du volet MEDIA qui contribue à la diffusion des films européens dans les salles de cinéma;</w:t>
      </w:r>
    </w:p>
    <w:p w:rsidR="004E4659" w:rsidRPr="0095444E" w:rsidRDefault="004E4659" w:rsidP="004E4659">
      <w:pPr>
        <w:pStyle w:val="NormalHanging12a"/>
        <w:widowControl/>
      </w:pPr>
      <w:r w:rsidRPr="0095444E">
        <w:t>43.</w:t>
      </w:r>
      <w:r w:rsidRPr="0095444E">
        <w:tab/>
        <w:t>attire l’attention sur le fait que le règlement «Europe créative» 2021-2027 étend la fourniture d’un soutien aux activités de mise en réseau pour les professionnels de l’audiovisuel, y compris les créateurs; met en exergue le fait que cette action n’a pas encore été mise en œuvre; invite la Commission, par conséquent, à mettre en œuvre une action spécifique visant à soutenir en temps utile les activités consacrées à la mise en réseau et à la coopération des organisations professionnelles et culturelles européennes au sein de la chaîne de valeur audiovisuelle;</w:t>
      </w:r>
    </w:p>
    <w:p w:rsidR="004E4659" w:rsidRPr="0095444E" w:rsidRDefault="004E4659" w:rsidP="004E4659">
      <w:pPr>
        <w:pStyle w:val="NormalHanging12a"/>
        <w:widowControl/>
      </w:pPr>
      <w:r w:rsidRPr="0095444E">
        <w:t>44.</w:t>
      </w:r>
      <w:r w:rsidRPr="0095444E">
        <w:tab/>
        <w:t>rappelle le succès remporté par l’action préparatoire</w:t>
      </w:r>
      <w:proofErr w:type="gramStart"/>
      <w:r w:rsidRPr="0095444E">
        <w:t xml:space="preserve"> «Rédiger</w:t>
      </w:r>
      <w:proofErr w:type="gramEnd"/>
      <w:r w:rsidRPr="0095444E">
        <w:t xml:space="preserve"> l’Europe» et propose à la Commission d’intégrer les objectifs poursuivis par cette action dans le programme Europe créative;</w:t>
      </w:r>
    </w:p>
    <w:p w:rsidR="004E4659" w:rsidRPr="0095444E" w:rsidRDefault="004E4659" w:rsidP="004E4659">
      <w:pPr>
        <w:pStyle w:val="NormalHanging12a"/>
        <w:widowControl/>
        <w:rPr>
          <w:rFonts w:eastAsiaTheme="minorHAnsi"/>
        </w:rPr>
      </w:pPr>
      <w:r w:rsidRPr="0095444E">
        <w:t>45.</w:t>
      </w:r>
      <w:r w:rsidRPr="0095444E">
        <w:tab/>
        <w:t>se félicite de la mise en place d’une action spécifique destinée à soutenir le développement de jeux vidéo et de contenus immersifs, ce qui a suscité un intérêt considérable dans le secteur; invite la Commission à soutenir la dimension culturelle et créative de ce secteur en tenant compte de ses caractéristiques spécifiques et de ses besoins connexes lors de l’élaboration des appels à propositions pertinents, y compris la nécessité de tester de nouveaux modèles économiques dans le monde virtuel afin de permettre l’acquisition de compétences dans ce domaine, en mettant l’accent en particulier sur la participation des femmes; constate, toutefois, que le budget actuel pourrait s’avérer insuffisant à cette fin et demande un financement supplémentaire pour soutenir la croissance de l’écosystème européen du jeu vidéo et encourager le développement et la rétention des talents européens;</w:t>
      </w:r>
    </w:p>
    <w:p w:rsidR="004E4659" w:rsidRPr="0095444E" w:rsidRDefault="004E4659" w:rsidP="004E4659">
      <w:pPr>
        <w:pStyle w:val="NormalHanging12a"/>
        <w:widowControl/>
        <w:rPr>
          <w:rFonts w:eastAsiaTheme="minorHAnsi"/>
        </w:rPr>
      </w:pPr>
      <w:r w:rsidRPr="0095444E">
        <w:t>46.</w:t>
      </w:r>
      <w:r w:rsidRPr="0095444E">
        <w:tab/>
        <w:t>souligne que la hausse de l’inflation, sur un marché de l’audiovisuel hautement concurrentiel, a une incidence sur les coûts de production; invite dès lors la Commission à adapter à la hausse les plafonds de financement afin de garantir que le volet MEDIA soit en mesure de soutenir l’industrie audiovisuelle;</w:t>
      </w:r>
    </w:p>
    <w:p w:rsidR="004E4659" w:rsidRPr="0095444E" w:rsidRDefault="004E4659" w:rsidP="004E4659">
      <w:pPr>
        <w:pStyle w:val="NormalHanging12a"/>
        <w:widowControl/>
        <w:rPr>
          <w:rFonts w:eastAsiaTheme="minorHAnsi"/>
        </w:rPr>
      </w:pPr>
      <w:r w:rsidRPr="0095444E">
        <w:t>47.</w:t>
      </w:r>
      <w:r w:rsidRPr="0095444E">
        <w:tab/>
        <w:t>prend acte du succès de l’appel à propositions</w:t>
      </w:r>
      <w:proofErr w:type="gramStart"/>
      <w:r w:rsidRPr="0095444E">
        <w:t xml:space="preserve"> «Réseaux</w:t>
      </w:r>
      <w:proofErr w:type="gramEnd"/>
      <w:r w:rsidRPr="0095444E">
        <w:t xml:space="preserve"> de festivals européens», lequel a permis de financer 71 festivals dans le cadre de 12 réseaux qui ont coopéré, entre autres, afin d’encourager la participation du public; demande dès lors à la Commission de continuer à financer les deux actions complémentaires, à savoir les festivals européens et les réseaux de festivals européens, une année sur deux, en alternance;</w:t>
      </w:r>
    </w:p>
    <w:p w:rsidR="004E4659" w:rsidRPr="0095444E" w:rsidRDefault="004E4659" w:rsidP="004E4659">
      <w:pPr>
        <w:pStyle w:val="NormalHanging12a"/>
        <w:widowControl/>
        <w:rPr>
          <w:rFonts w:eastAsiaTheme="minorHAnsi"/>
        </w:rPr>
      </w:pPr>
      <w:r w:rsidRPr="0095444E">
        <w:t>48.</w:t>
      </w:r>
      <w:r w:rsidRPr="0095444E">
        <w:tab/>
        <w:t xml:space="preserve">observe que, dans la mesure où l’instrument Media Invest a attiré un grand nombre de candidatures, il convient de renforcer les synergies budgétaires avec le programme </w:t>
      </w:r>
      <w:proofErr w:type="spellStart"/>
      <w:r w:rsidRPr="0095444E">
        <w:t>InvestEU</w:t>
      </w:r>
      <w:proofErr w:type="spellEnd"/>
      <w:r w:rsidRPr="0095444E">
        <w:t xml:space="preserve"> dans la perspective de sa mise en œuvre future; invite la Commission à promouvoir davantage cet instrument dans le secteur audiovisuel;</w:t>
      </w:r>
    </w:p>
    <w:p w:rsidR="004E4659" w:rsidRPr="0095444E" w:rsidRDefault="004E4659" w:rsidP="004E4659">
      <w:pPr>
        <w:pStyle w:val="NormalHanging12a"/>
        <w:widowControl/>
        <w:rPr>
          <w:rFonts w:eastAsiaTheme="minorHAnsi"/>
        </w:rPr>
      </w:pPr>
      <w:r w:rsidRPr="0095444E">
        <w:t>49.</w:t>
      </w:r>
      <w:r w:rsidRPr="0095444E">
        <w:tab/>
        <w:t>rappelle que la proposition de la Commission sur une législation européenne la liberté des médias de septembre 2022 établit un nouveau comité européen pour les services de médias destiné à remplacer le groupe des régulateurs européens pour les services de médias audiovisuels (ERGA) créé par la directive 2010/13/UE</w:t>
      </w:r>
      <w:r w:rsidRPr="0095444E">
        <w:rPr>
          <w:rStyle w:val="FootnoteReference"/>
          <w:rFonts w:eastAsiaTheme="minorHAnsi"/>
        </w:rPr>
        <w:footnoteReference w:id="15"/>
      </w:r>
      <w:r w:rsidRPr="0095444E">
        <w:t>; souligne que, compte tenu des ressources financières limitées disponibles pour la mise en œuvre des objectifs du programme, le budget alloué au volet MEDIA et aux autres lignes budgétaires du programme ne doit pas être affecté au financement du comité;</w:t>
      </w:r>
    </w:p>
    <w:p w:rsidR="004E4659" w:rsidRPr="0095444E" w:rsidRDefault="004E4659" w:rsidP="004E4659">
      <w:pPr>
        <w:pStyle w:val="NormalHanging12a"/>
        <w:widowControl/>
        <w:rPr>
          <w:rFonts w:eastAsiaTheme="minorHAnsi"/>
          <w:b/>
          <w:i/>
        </w:rPr>
      </w:pPr>
      <w:r w:rsidRPr="0095444E">
        <w:rPr>
          <w:b/>
          <w:i/>
        </w:rPr>
        <w:t>Volet transsectoriel</w:t>
      </w:r>
    </w:p>
    <w:p w:rsidR="004E4659" w:rsidRPr="0095444E" w:rsidRDefault="004E4659" w:rsidP="004E4659">
      <w:pPr>
        <w:pStyle w:val="NormalHanging12a"/>
        <w:widowControl/>
        <w:rPr>
          <w:rFonts w:eastAsiaTheme="minorHAnsi"/>
        </w:rPr>
      </w:pPr>
      <w:r w:rsidRPr="0095444E">
        <w:t>50.</w:t>
      </w:r>
      <w:r w:rsidRPr="0095444E">
        <w:tab/>
        <w:t>regrette que les actions programmées au titre du volet transsectoriel aient enregistré les retards de mise en œuvre les plus importants, en particulier en 2021, en raison des nouveautés introduites dans ce volet;</w:t>
      </w:r>
    </w:p>
    <w:p w:rsidR="004E4659" w:rsidRPr="0095444E" w:rsidRDefault="004E4659" w:rsidP="004E4659">
      <w:pPr>
        <w:pStyle w:val="NormalHanging12a"/>
        <w:widowControl/>
        <w:rPr>
          <w:rFonts w:eastAsiaTheme="minorHAnsi"/>
        </w:rPr>
      </w:pPr>
      <w:r w:rsidRPr="0095444E">
        <w:t>51.</w:t>
      </w:r>
      <w:r w:rsidRPr="0095444E">
        <w:tab/>
        <w:t>fait remarquer que les appels pour les modules Partenariats journalistiques et Éducation aux médias ont attiré le plus grand nombre de candidatures en 2021 et 2022, en soulignant combien il est urgent d’augmenter le soutien financier en faveur du secteur européen des médias;</w:t>
      </w:r>
    </w:p>
    <w:p w:rsidR="004E4659" w:rsidRPr="0095444E" w:rsidRDefault="004E4659" w:rsidP="004E4659">
      <w:pPr>
        <w:pStyle w:val="NormalHanging12a"/>
        <w:widowControl/>
        <w:rPr>
          <w:rFonts w:eastAsiaTheme="minorHAnsi"/>
        </w:rPr>
      </w:pPr>
      <w:r w:rsidRPr="0095444E">
        <w:t>52.</w:t>
      </w:r>
      <w:r w:rsidRPr="0095444E">
        <w:tab/>
        <w:t>constate que le faible taux de réussite des candidatures présentées dans le cadre du volet transsectoriel, malgré la qualité globalement élevée des dossiers, indique que la demande de soutien financier est forte et ne peut malheureusement pas être couverte par la dotation financière actuelle;</w:t>
      </w:r>
    </w:p>
    <w:p w:rsidR="004E4659" w:rsidRPr="0095444E" w:rsidRDefault="004E4659" w:rsidP="004E4659">
      <w:pPr>
        <w:pStyle w:val="NormalHanging12a"/>
        <w:widowControl/>
        <w:rPr>
          <w:rFonts w:eastAsiaTheme="minorHAnsi"/>
        </w:rPr>
      </w:pPr>
      <w:r w:rsidRPr="0095444E">
        <w:t>53.</w:t>
      </w:r>
      <w:r w:rsidRPr="0095444E">
        <w:tab/>
        <w:t>invite la Commission à veiller à ce qu’au cours de la période de programmation restante, au moins 9 %</w:t>
      </w:r>
      <w:r w:rsidRPr="0095444E">
        <w:rPr>
          <w:rStyle w:val="FootnoteReference"/>
        </w:rPr>
        <w:footnoteReference w:id="16"/>
      </w:r>
      <w:r w:rsidRPr="0095444E">
        <w:t xml:space="preserve"> du budget global 2021-2027 soient alloués au soutien des objectifs du volet transsectoriel;</w:t>
      </w:r>
    </w:p>
    <w:p w:rsidR="004E4659" w:rsidRPr="0095444E" w:rsidRDefault="004E4659" w:rsidP="004E4659">
      <w:pPr>
        <w:pStyle w:val="NormalHanging12a"/>
        <w:widowControl/>
        <w:jc w:val="center"/>
        <w:rPr>
          <w:rFonts w:eastAsiaTheme="minorHAnsi"/>
        </w:rPr>
      </w:pPr>
      <w:r w:rsidRPr="0095444E">
        <w:t>°</w:t>
      </w:r>
    </w:p>
    <w:p w:rsidR="004E4659" w:rsidRPr="0095444E" w:rsidRDefault="004E4659" w:rsidP="004E4659">
      <w:pPr>
        <w:pStyle w:val="NormalHanging12a"/>
        <w:widowControl/>
        <w:jc w:val="center"/>
        <w:rPr>
          <w:rFonts w:eastAsiaTheme="minorHAnsi"/>
        </w:rPr>
      </w:pPr>
      <w:r w:rsidRPr="0095444E">
        <w:t>°</w:t>
      </w:r>
      <w:r w:rsidRPr="0095444E">
        <w:tab/>
        <w:t>°</w:t>
      </w:r>
    </w:p>
    <w:p w:rsidR="004E4659" w:rsidRPr="0095444E" w:rsidRDefault="004E4659" w:rsidP="004E4659">
      <w:pPr>
        <w:pStyle w:val="NormalHanging12a"/>
        <w:widowControl/>
      </w:pPr>
      <w:r w:rsidRPr="0095444E">
        <w:t>54.</w:t>
      </w:r>
      <w:r w:rsidRPr="0095444E">
        <w:tab/>
        <w:t xml:space="preserve">charge sa Présidente de transmettre la présente résolution au Conseil, à la Commission, </w:t>
      </w:r>
      <w:r w:rsidRPr="0095444E">
        <w:rPr>
          <w:snapToGrid w:val="0"/>
        </w:rPr>
        <w:t>ainsi qu’aux bureaux nationaux du programme Europe créative.</w:t>
      </w:r>
    </w:p>
    <w:p w:rsidR="00E365E1" w:rsidRPr="0095444E" w:rsidRDefault="00E365E1" w:rsidP="00EA3F86">
      <w:bookmarkStart w:id="8" w:name="TextBodyEnd"/>
      <w:bookmarkEnd w:id="8"/>
    </w:p>
    <w:sectPr w:rsidR="00E365E1" w:rsidRPr="0095444E" w:rsidSect="009544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F86" w:rsidRPr="0095444E" w:rsidRDefault="00EA3F86">
      <w:r w:rsidRPr="0095444E">
        <w:separator/>
      </w:r>
    </w:p>
  </w:endnote>
  <w:endnote w:type="continuationSeparator" w:id="0">
    <w:p w:rsidR="00EA3F86" w:rsidRPr="0095444E" w:rsidRDefault="00EA3F86">
      <w:r w:rsidRPr="009544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4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4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4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F86" w:rsidRPr="0095444E" w:rsidRDefault="00EA3F86">
      <w:r w:rsidRPr="0095444E">
        <w:separator/>
      </w:r>
    </w:p>
  </w:footnote>
  <w:footnote w:type="continuationSeparator" w:id="0">
    <w:p w:rsidR="00EA3F86" w:rsidRPr="0095444E" w:rsidRDefault="00EA3F86">
      <w:r w:rsidRPr="0095444E">
        <w:continuationSeparator/>
      </w:r>
    </w:p>
  </w:footnote>
  <w:footnote w:id="1">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JO L 189 du 28.5.2021, p. 34.</w:t>
      </w:r>
    </w:p>
  </w:footnote>
  <w:footnote w:id="2">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JO L 347 du 20.12.2013, p. 221.</w:t>
      </w:r>
    </w:p>
  </w:footnote>
  <w:footnote w:id="3">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JO C 108 du 26.3.2021, p. 934.</w:t>
      </w:r>
    </w:p>
  </w:footnote>
  <w:footnote w:id="4">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JO C 110 du 22.3.2019, p. 87.</w:t>
      </w:r>
    </w:p>
  </w:footnote>
  <w:footnote w:id="5">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JO C 168 du 16.5.2019, p. 37.</w:t>
      </w:r>
    </w:p>
  </w:footnote>
  <w:footnote w:id="6">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JO C 466 du 7.12.2022, p. 1.</w:t>
      </w:r>
    </w:p>
  </w:footnote>
  <w:footnote w:id="7">
    <w:p w:rsidR="004E4659" w:rsidRPr="0095444E" w:rsidRDefault="004E4659" w:rsidP="0095444E">
      <w:pPr>
        <w:pStyle w:val="FootnoteText"/>
        <w:ind w:left="567" w:hanging="567"/>
        <w:rPr>
          <w:sz w:val="24"/>
        </w:rPr>
      </w:pPr>
      <w:r w:rsidRPr="0095444E">
        <w:rPr>
          <w:rStyle w:val="FootnoteReference"/>
          <w:sz w:val="24"/>
        </w:rPr>
        <w:footnoteRef/>
      </w:r>
      <w:r w:rsidR="0095444E" w:rsidRPr="0095444E">
        <w:rPr>
          <w:sz w:val="24"/>
        </w:rPr>
        <w:t xml:space="preserve"> </w:t>
      </w:r>
      <w:r w:rsidR="0095444E" w:rsidRPr="0095444E">
        <w:rPr>
          <w:sz w:val="24"/>
        </w:rPr>
        <w:tab/>
      </w:r>
      <w:r w:rsidRPr="0095444E">
        <w:rPr>
          <w:sz w:val="24"/>
        </w:rPr>
        <w:t>Textes adoptés de cette date, P9_</w:t>
      </w:r>
      <w:proofErr w:type="gramStart"/>
      <w:r w:rsidRPr="0095444E">
        <w:rPr>
          <w:sz w:val="24"/>
        </w:rPr>
        <w:t>TA(</w:t>
      </w:r>
      <w:proofErr w:type="gramEnd"/>
      <w:r w:rsidRPr="0095444E">
        <w:rPr>
          <w:sz w:val="24"/>
        </w:rPr>
        <w:t>2023)0329.</w:t>
      </w:r>
    </w:p>
  </w:footnote>
  <w:footnote w:id="8">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JO C 177 du 17.5.2023, p. 78.</w:t>
      </w:r>
    </w:p>
  </w:footnote>
  <w:footnote w:id="9">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JO C 184 du 5.5.2022, p. 71.</w:t>
      </w:r>
    </w:p>
  </w:footnote>
  <w:footnote w:id="10">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JO C 316 du 6.8.2021, p. 2.</w:t>
      </w:r>
    </w:p>
  </w:footnote>
  <w:footnote w:id="11">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JO C 385 du 22.9.2021, p. 2.</w:t>
      </w:r>
    </w:p>
  </w:footnote>
  <w:footnote w:id="12">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JO C 385 du 22.9.2021, p. 152.</w:t>
      </w:r>
    </w:p>
  </w:footnote>
  <w:footnote w:id="13">
    <w:p w:rsidR="004E4659" w:rsidRPr="00364E1E" w:rsidRDefault="004E4659" w:rsidP="0095444E">
      <w:pPr>
        <w:pStyle w:val="FootnoteText"/>
        <w:ind w:left="567" w:hanging="567"/>
        <w:rPr>
          <w:sz w:val="24"/>
          <w:lang w:val="da-DK"/>
        </w:rPr>
      </w:pPr>
      <w:r w:rsidRPr="0095444E">
        <w:rPr>
          <w:rStyle w:val="FootnoteReference"/>
          <w:sz w:val="24"/>
        </w:rPr>
        <w:footnoteRef/>
      </w:r>
      <w:r w:rsidR="0095444E" w:rsidRPr="00364E1E">
        <w:rPr>
          <w:sz w:val="24"/>
          <w:lang w:val="da-DK"/>
        </w:rPr>
        <w:t xml:space="preserve"> </w:t>
      </w:r>
      <w:r w:rsidR="0095444E" w:rsidRPr="00364E1E">
        <w:rPr>
          <w:sz w:val="24"/>
          <w:lang w:val="da-DK"/>
        </w:rPr>
        <w:tab/>
      </w:r>
      <w:r w:rsidRPr="00364E1E">
        <w:rPr>
          <w:sz w:val="24"/>
          <w:lang w:val="da-DK"/>
        </w:rPr>
        <w:t>https://ec.europa.eu/eurostat/web/products-eurostat-news/w/ddn-20230309-2.</w:t>
      </w:r>
    </w:p>
  </w:footnote>
  <w:footnote w:id="14">
    <w:p w:rsidR="004E4659" w:rsidRPr="0095444E" w:rsidRDefault="004E4659" w:rsidP="0095444E">
      <w:pPr>
        <w:pStyle w:val="FootnoteText"/>
        <w:ind w:left="567" w:hanging="567"/>
        <w:rPr>
          <w:sz w:val="24"/>
        </w:rPr>
      </w:pPr>
      <w:r w:rsidRPr="0095444E">
        <w:rPr>
          <w:rStyle w:val="FootnoteReference"/>
          <w:sz w:val="24"/>
        </w:rPr>
        <w:footnoteRef/>
      </w:r>
      <w:r w:rsidR="0095444E" w:rsidRPr="0095444E">
        <w:rPr>
          <w:sz w:val="24"/>
        </w:rPr>
        <w:t xml:space="preserve"> </w:t>
      </w:r>
      <w:r w:rsidR="0095444E" w:rsidRPr="0095444E">
        <w:rPr>
          <w:sz w:val="24"/>
        </w:rPr>
        <w:tab/>
      </w:r>
      <w:r w:rsidRPr="0095444E">
        <w:rPr>
          <w:sz w:val="24"/>
        </w:rPr>
        <w:t xml:space="preserve">Règlement (UE) 2016/679 du Parlement européen et du Conseil du 27 avril 2016 relatif à la protection des personnes physiques à l’égard du traitement des données à caractère personnel et à la libre circulation de ces données, et </w:t>
      </w:r>
      <w:r w:rsidR="00364E1E">
        <w:rPr>
          <w:sz w:val="24"/>
        </w:rPr>
        <w:t>abrogeant la directive 95/46/CE</w:t>
      </w:r>
      <w:r w:rsidRPr="0095444E">
        <w:rPr>
          <w:sz w:val="24"/>
        </w:rPr>
        <w:t xml:space="preserve"> </w:t>
      </w:r>
      <w:r w:rsidR="00364E1E">
        <w:rPr>
          <w:sz w:val="24"/>
        </w:rPr>
        <w:t>(</w:t>
      </w:r>
      <w:r w:rsidRPr="0095444E">
        <w:rPr>
          <w:sz w:val="24"/>
        </w:rPr>
        <w:t>JO L 119 du 4.5.2016, p. 1</w:t>
      </w:r>
      <w:r w:rsidR="00364E1E">
        <w:rPr>
          <w:sz w:val="24"/>
        </w:rPr>
        <w:t>)</w:t>
      </w:r>
      <w:r w:rsidRPr="0095444E">
        <w:rPr>
          <w:sz w:val="24"/>
        </w:rPr>
        <w:t>.</w:t>
      </w:r>
    </w:p>
  </w:footnote>
  <w:footnote w:id="15">
    <w:p w:rsidR="004E4659" w:rsidRPr="0095444E" w:rsidRDefault="004E4659" w:rsidP="0095444E">
      <w:pPr>
        <w:pStyle w:val="FootnoteText"/>
        <w:ind w:left="567" w:hanging="567"/>
        <w:rPr>
          <w:sz w:val="24"/>
        </w:rPr>
      </w:pPr>
      <w:r w:rsidRPr="0095444E">
        <w:rPr>
          <w:rStyle w:val="FootnoteReference"/>
          <w:sz w:val="24"/>
        </w:rPr>
        <w:footnoteRef/>
      </w:r>
      <w:r w:rsidR="0095444E" w:rsidRPr="0095444E">
        <w:rPr>
          <w:sz w:val="24"/>
        </w:rPr>
        <w:t xml:space="preserve"> </w:t>
      </w:r>
      <w:r w:rsidR="0095444E" w:rsidRPr="0095444E">
        <w:rPr>
          <w:sz w:val="24"/>
        </w:rPr>
        <w:tab/>
      </w:r>
      <w:r w:rsidRPr="0095444E">
        <w:rPr>
          <w:sz w:val="24"/>
        </w:rPr>
        <w:t>Directive 2010/13/UE du Parlement européen et du Conseil du 10 mars 2010 visant à la coordination de certaines dispositions législatives, réglementaires et administratives des États membres relatives à la fourniture de services de médias audiovisuels (directive</w:t>
      </w:r>
      <w:proofErr w:type="gramStart"/>
      <w:r w:rsidRPr="0095444E">
        <w:rPr>
          <w:sz w:val="24"/>
        </w:rPr>
        <w:t xml:space="preserve"> «Se</w:t>
      </w:r>
      <w:r w:rsidR="00364E1E">
        <w:rPr>
          <w:sz w:val="24"/>
        </w:rPr>
        <w:t>rvices</w:t>
      </w:r>
      <w:proofErr w:type="gramEnd"/>
      <w:r w:rsidR="00364E1E">
        <w:rPr>
          <w:sz w:val="24"/>
        </w:rPr>
        <w:t xml:space="preserve"> de médias audiovisuels»)</w:t>
      </w:r>
      <w:r w:rsidRPr="0095444E">
        <w:rPr>
          <w:sz w:val="24"/>
        </w:rPr>
        <w:t xml:space="preserve"> </w:t>
      </w:r>
      <w:r w:rsidR="00364E1E">
        <w:rPr>
          <w:sz w:val="24"/>
        </w:rPr>
        <w:t>(</w:t>
      </w:r>
      <w:r w:rsidRPr="0095444E">
        <w:rPr>
          <w:sz w:val="24"/>
        </w:rPr>
        <w:t>JO L 95 du 15.4.2010, p. 1</w:t>
      </w:r>
      <w:r w:rsidR="00364E1E">
        <w:rPr>
          <w:sz w:val="24"/>
        </w:rPr>
        <w:t>)</w:t>
      </w:r>
      <w:r w:rsidRPr="0095444E">
        <w:rPr>
          <w:sz w:val="24"/>
        </w:rPr>
        <w:t>.</w:t>
      </w:r>
    </w:p>
  </w:footnote>
  <w:footnote w:id="16">
    <w:p w:rsidR="004E4659" w:rsidRPr="0095444E" w:rsidRDefault="004E4659" w:rsidP="0095444E">
      <w:pPr>
        <w:pStyle w:val="FootnoteText"/>
        <w:ind w:left="567" w:hanging="567"/>
        <w:rPr>
          <w:sz w:val="24"/>
        </w:rPr>
      </w:pPr>
      <w:r w:rsidRPr="0095444E">
        <w:rPr>
          <w:rStyle w:val="FootnoteReference"/>
          <w:sz w:val="24"/>
        </w:rPr>
        <w:footnoteRef/>
      </w:r>
      <w:r w:rsidR="0095444E" w:rsidRPr="0095444E">
        <w:rPr>
          <w:sz w:val="24"/>
        </w:rPr>
        <w:t xml:space="preserve"> </w:t>
      </w:r>
      <w:r w:rsidR="0095444E" w:rsidRPr="0095444E">
        <w:rPr>
          <w:sz w:val="24"/>
        </w:rPr>
        <w:tab/>
      </w:r>
      <w:r w:rsidRPr="0095444E">
        <w:rPr>
          <w:sz w:val="24"/>
        </w:rPr>
        <w:t>Article 8 du règlement (UE) 2021/818 établissant le programme</w:t>
      </w:r>
      <w:proofErr w:type="gramStart"/>
      <w:r w:rsidRPr="0095444E">
        <w:rPr>
          <w:sz w:val="24"/>
        </w:rPr>
        <w:t xml:space="preserve"> «Europe</w:t>
      </w:r>
      <w:proofErr w:type="gramEnd"/>
      <w:r w:rsidRPr="0095444E">
        <w:rPr>
          <w:sz w:val="24"/>
        </w:rPr>
        <w:t xml:space="preserve"> créative» (2021 à 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4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4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4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FR"/>
    <w:docVar w:name="dvnumam" w:val="0"/>
    <w:docVar w:name="dvpe" w:val="750.020"/>
    <w:docVar w:name="dvrapporteur" w:val="Rapporteur: "/>
    <w:docVar w:name="dvtitre" w:val="Résolution du Parlement européen du ... 2024 sur la mise en œuvre du programme «Europe créative» 2021-2027(2023/2003(INI))"/>
  </w:docVars>
  <w:rsids>
    <w:rsidRoot w:val="00EA3F8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651B"/>
    <w:rsid w:val="00361C00"/>
    <w:rsid w:val="00364E1E"/>
    <w:rsid w:val="00395FA1"/>
    <w:rsid w:val="003E15D4"/>
    <w:rsid w:val="00411CCE"/>
    <w:rsid w:val="0041666E"/>
    <w:rsid w:val="00421060"/>
    <w:rsid w:val="00471C19"/>
    <w:rsid w:val="004867E3"/>
    <w:rsid w:val="00494A28"/>
    <w:rsid w:val="004C0004"/>
    <w:rsid w:val="004C5D52"/>
    <w:rsid w:val="004E4659"/>
    <w:rsid w:val="0050519A"/>
    <w:rsid w:val="005072A1"/>
    <w:rsid w:val="00514517"/>
    <w:rsid w:val="00545827"/>
    <w:rsid w:val="00560270"/>
    <w:rsid w:val="005718DC"/>
    <w:rsid w:val="005C2568"/>
    <w:rsid w:val="006037C0"/>
    <w:rsid w:val="006631B6"/>
    <w:rsid w:val="00680577"/>
    <w:rsid w:val="006F74FA"/>
    <w:rsid w:val="00730A9B"/>
    <w:rsid w:val="00731ADD"/>
    <w:rsid w:val="00734777"/>
    <w:rsid w:val="00743332"/>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44E"/>
    <w:rsid w:val="00981893"/>
    <w:rsid w:val="009C27D5"/>
    <w:rsid w:val="00A1687D"/>
    <w:rsid w:val="00A43E52"/>
    <w:rsid w:val="00A43EEB"/>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BCF"/>
    <w:rsid w:val="00EA3F8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F46AEB8-85FE-4E36-95B0-5784D94C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Footnote"/>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E4659"/>
    <w:pPr>
      <w:spacing w:after="240"/>
      <w:ind w:left="567" w:hanging="567"/>
    </w:pPr>
  </w:style>
  <w:style w:type="paragraph" w:customStyle="1" w:styleId="EPComma">
    <w:name w:val="EPComma"/>
    <w:basedOn w:val="Normal"/>
    <w:rsid w:val="004E4659"/>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2B8DE-DA48-4768-BA31-09EB05EAD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5970</Words>
  <Characters>33028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2024-01-16T13:52:00Z</dcterms:created>
  <dcterms:modified xsi:type="dcterms:W3CDTF">2024-01-16T13:52:00Z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A9-0425/2023</vt:lpwstr>
  </property>
  <property fmtid="{D5CDD505-2E9C-101B-9397-08002B2CF9AE}" pid="4" name="&lt;Type&gt;">
    <vt:lpwstr>RR</vt:lpwstr>
  </property>
</Properties>
</file>