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381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63810" w:rsidRDefault="00532CA9" w:rsidP="0010095E">
            <w:pPr>
              <w:pStyle w:val="EPName"/>
            </w:pPr>
            <w:r w:rsidRPr="00C63810">
              <w:t>Europski parlament</w:t>
            </w:r>
          </w:p>
          <w:p w:rsidR="00751A4A" w:rsidRPr="00C6381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381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63810" w:rsidRDefault="00187494" w:rsidP="0010095E">
            <w:pPr>
              <w:pStyle w:val="EPLogo"/>
            </w:pPr>
            <w:r w:rsidRPr="00C6381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63810" w:rsidRDefault="00D058B8" w:rsidP="004C5D52">
      <w:pPr>
        <w:pStyle w:val="LineTop"/>
      </w:pPr>
    </w:p>
    <w:p w:rsidR="00680577" w:rsidRPr="00C63810" w:rsidRDefault="00532CA9" w:rsidP="00680577">
      <w:pPr>
        <w:pStyle w:val="EPBodyTA1"/>
      </w:pPr>
      <w:r w:rsidRPr="00C63810">
        <w:t>USVOJENI TEKSTOVI</w:t>
      </w:r>
    </w:p>
    <w:p w:rsidR="00D058B8" w:rsidRPr="00C63810" w:rsidRDefault="00D058B8" w:rsidP="00D058B8">
      <w:pPr>
        <w:pStyle w:val="LineBottom"/>
      </w:pPr>
    </w:p>
    <w:p w:rsidR="00532CA9" w:rsidRPr="00C63810" w:rsidRDefault="00532CA9" w:rsidP="00532CA9">
      <w:pPr>
        <w:pStyle w:val="ATHeading1"/>
      </w:pPr>
      <w:bookmarkStart w:id="0" w:name="TANumber"/>
      <w:r w:rsidRPr="00C63810">
        <w:t>P9_TA(2024)00</w:t>
      </w:r>
      <w:bookmarkEnd w:id="0"/>
      <w:r w:rsidR="00C63810" w:rsidRPr="00C63810">
        <w:t>08</w:t>
      </w:r>
    </w:p>
    <w:p w:rsidR="00532CA9" w:rsidRPr="00C63810" w:rsidRDefault="00532CA9" w:rsidP="00532CA9">
      <w:pPr>
        <w:pStyle w:val="ATHeading2"/>
      </w:pPr>
      <w:bookmarkStart w:id="1" w:name="title"/>
      <w:r w:rsidRPr="00C63810">
        <w:t>Provedba programa Kreativna Europa za razdoblje 2021. – 2027.</w:t>
      </w:r>
      <w:bookmarkEnd w:id="1"/>
    </w:p>
    <w:p w:rsidR="00532CA9" w:rsidRPr="00C63810" w:rsidRDefault="00532CA9" w:rsidP="00532CA9">
      <w:pPr>
        <w:rPr>
          <w:i/>
          <w:vanish/>
        </w:rPr>
      </w:pPr>
      <w:r w:rsidRPr="00C63810">
        <w:rPr>
          <w:i/>
        </w:rPr>
        <w:fldChar w:fldCharType="begin"/>
      </w:r>
      <w:r w:rsidRPr="00C63810">
        <w:rPr>
          <w:i/>
        </w:rPr>
        <w:instrText xml:space="preserve"> TC"(</w:instrText>
      </w:r>
      <w:bookmarkStart w:id="2" w:name="DocNumber"/>
      <w:r w:rsidRPr="00C63810">
        <w:rPr>
          <w:i/>
        </w:rPr>
        <w:instrText>A9-0425/2023</w:instrText>
      </w:r>
      <w:bookmarkEnd w:id="2"/>
      <w:r w:rsidRPr="00C63810">
        <w:rPr>
          <w:i/>
        </w:rPr>
        <w:instrText xml:space="preserve"> - Izvjestitelj: </w:instrText>
      </w:r>
      <w:proofErr w:type="spellStart"/>
      <w:r w:rsidRPr="00C63810">
        <w:rPr>
          <w:i/>
        </w:rPr>
        <w:instrText>Massimiliano</w:instrText>
      </w:r>
      <w:proofErr w:type="spellEnd"/>
      <w:r w:rsidRPr="00C63810">
        <w:rPr>
          <w:i/>
        </w:rPr>
        <w:instrText xml:space="preserve"> </w:instrText>
      </w:r>
      <w:proofErr w:type="spellStart"/>
      <w:r w:rsidRPr="00C63810">
        <w:rPr>
          <w:i/>
        </w:rPr>
        <w:instrText>Smeriglio</w:instrText>
      </w:r>
      <w:proofErr w:type="spellEnd"/>
      <w:r w:rsidRPr="00C63810">
        <w:rPr>
          <w:i/>
        </w:rPr>
        <w:instrText xml:space="preserve">)"\l3 \n&gt; \* MERGEFORMAT </w:instrText>
      </w:r>
      <w:r w:rsidRPr="00C63810">
        <w:rPr>
          <w:i/>
        </w:rPr>
        <w:fldChar w:fldCharType="end"/>
      </w:r>
    </w:p>
    <w:p w:rsidR="00532CA9" w:rsidRPr="00C63810" w:rsidRDefault="00532CA9" w:rsidP="00532CA9">
      <w:pPr>
        <w:rPr>
          <w:vanish/>
        </w:rPr>
      </w:pPr>
      <w:bookmarkStart w:id="3" w:name="Commission"/>
      <w:r w:rsidRPr="00C63810">
        <w:rPr>
          <w:vanish/>
        </w:rPr>
        <w:t>Odbor za kulturu i obrazovanje</w:t>
      </w:r>
      <w:bookmarkEnd w:id="3"/>
    </w:p>
    <w:p w:rsidR="00532CA9" w:rsidRPr="00C63810" w:rsidRDefault="00532CA9" w:rsidP="00532CA9">
      <w:pPr>
        <w:rPr>
          <w:vanish/>
        </w:rPr>
      </w:pPr>
      <w:bookmarkStart w:id="4" w:name="PE"/>
      <w:r w:rsidRPr="00C63810">
        <w:rPr>
          <w:vanish/>
        </w:rPr>
        <w:t>PE750.020</w:t>
      </w:r>
      <w:bookmarkEnd w:id="4"/>
    </w:p>
    <w:p w:rsidR="00532CA9" w:rsidRPr="00C63810" w:rsidRDefault="00532CA9" w:rsidP="00532CA9">
      <w:pPr>
        <w:pStyle w:val="ATHeading3"/>
      </w:pPr>
      <w:bookmarkStart w:id="5" w:name="Sujet"/>
      <w:r w:rsidRPr="00C63810">
        <w:t>Rezoluc</w:t>
      </w:r>
      <w:r w:rsidR="00282BE1" w:rsidRPr="00C63810">
        <w:t>ija Europskog parlamenta od 16. siječnja</w:t>
      </w:r>
      <w:r w:rsidRPr="00C63810">
        <w:t xml:space="preserve"> 2024. o provedbi programa Kreativna Europa za razdoblje 2021. – 2027.</w:t>
      </w:r>
      <w:bookmarkEnd w:id="5"/>
      <w:r w:rsidRPr="00C63810">
        <w:t xml:space="preserve"> </w:t>
      </w:r>
      <w:bookmarkStart w:id="6" w:name="References"/>
      <w:r w:rsidRPr="00C63810">
        <w:t>(2023/2003(INI))</w:t>
      </w:r>
      <w:bookmarkEnd w:id="6"/>
    </w:p>
    <w:p w:rsidR="00102B86" w:rsidRPr="00C63810" w:rsidRDefault="00102B86" w:rsidP="00102B86">
      <w:pPr>
        <w:pStyle w:val="EPComma"/>
      </w:pPr>
      <w:bookmarkStart w:id="7" w:name="TextBodyBegin"/>
      <w:bookmarkEnd w:id="7"/>
      <w:r w:rsidRPr="00C63810">
        <w:rPr>
          <w:i/>
        </w:rPr>
        <w:t>Europski parlament</w:t>
      </w:r>
      <w:r w:rsidRPr="00C63810">
        <w:t>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>uzimajući u obzir Ugovor o funkcioniranju Europske unije, a posebno njegov članak 167., članak 173. stavak 3. i članak 294. stavak 7.,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>u</w:t>
      </w:r>
      <w:r w:rsidR="003E437B">
        <w:t>zimajući u obzir Uredbu (EU)</w:t>
      </w:r>
      <w:bookmarkStart w:id="8" w:name="_GoBack"/>
      <w:bookmarkEnd w:id="8"/>
      <w:r w:rsidRPr="00C63810">
        <w:t> 2021/818 Europskog parlamenta i Vijeća od 20. svibnja 2021. o uspostavi programa Kreativna Europa (2021. – 2027.)</w:t>
      </w:r>
      <w:r w:rsidRPr="00C63810">
        <w:rPr>
          <w:rStyle w:val="FootnoteReference"/>
        </w:rPr>
        <w:footnoteReference w:id="1"/>
      </w:r>
      <w:r w:rsidRPr="00C63810">
        <w:t>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>uzimajući u obzir Uredbu (EU) br. 1295/2013 Europskog parlamenta i Vijeća od 11. prosinca 2013. o uspostavi programa Kreativna Europa (2014. – 2020.)</w:t>
      </w:r>
      <w:r w:rsidRPr="00C63810">
        <w:rPr>
          <w:rStyle w:val="FootnoteReference"/>
          <w:color w:val="000000"/>
          <w:szCs w:val="24"/>
        </w:rPr>
        <w:footnoteReference w:id="2"/>
      </w:r>
      <w:r w:rsidRPr="00C63810">
        <w:t>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>uzimajući u obzir Prijedlog Komisije od 5. svibnja 2018. za uredbu Europskog parlamenta i Vijeća o uspostavi programa Kreativna Europa (2021. – 2027.) i stavljanju izvan snage Uredbe (EU) br. 1295/2013 (COM(2018)0366),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>uzimajući u obzir svoje stajalište u prvom čitanju od 28. ožujka 2019. o Prijedlogu uredbe Europskog parlamenta i Vijeća o uspostavi programa Kreativna Europa (2021. – 2027.) i stavljanju izvan snage Uredbe (EU) br. 1295/2013</w:t>
      </w:r>
      <w:r w:rsidRPr="00C63810">
        <w:rPr>
          <w:rStyle w:val="FootnoteReference"/>
          <w:color w:val="000000"/>
        </w:rPr>
        <w:footnoteReference w:id="3"/>
      </w:r>
      <w:r w:rsidRPr="00C63810">
        <w:t>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>uzimajući u obzir mišljenje Europskog gospodarskog i socijalnog odbora od 12. prosinca 2018. o Prijedlogu uredbe Europskog parlamenta i Vijeća o uspostavi programa Kreativna Europa (2021. – 2027.) i stavljanju izvan snage Uredbe (EU) br. 1295/2013</w:t>
      </w:r>
      <w:r w:rsidRPr="00C63810">
        <w:rPr>
          <w:rStyle w:val="FootnoteReference"/>
        </w:rPr>
        <w:footnoteReference w:id="4"/>
      </w:r>
      <w:r w:rsidRPr="00C63810">
        <w:t>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 xml:space="preserve">uzimajući u obzir mišljenje Europskog odbora regija od 6. veljače 2019. naslovljeno </w:t>
      </w:r>
      <w:r w:rsidRPr="00C63810">
        <w:lastRenderedPageBreak/>
        <w:t xml:space="preserve">„Kreativna Europa i nova europska </w:t>
      </w:r>
      <w:proofErr w:type="spellStart"/>
      <w:r w:rsidRPr="00C63810">
        <w:t>agenda</w:t>
      </w:r>
      <w:proofErr w:type="spellEnd"/>
      <w:r w:rsidRPr="00C63810">
        <w:t xml:space="preserve"> za kulturu”</w:t>
      </w:r>
      <w:r w:rsidRPr="00C63810">
        <w:rPr>
          <w:rStyle w:val="FootnoteReference"/>
          <w:color w:val="000000"/>
          <w:szCs w:val="24"/>
        </w:rPr>
        <w:footnoteReference w:id="5"/>
      </w:r>
      <w:r w:rsidRPr="00C63810">
        <w:t>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>uzimajući u obzir izvješće Komisije od 30. travnja 2018. naslovljeno „Evaluacija programa Kreativna Europa sredinom programskog razdoblja (2014.–2020.)” (COM(2018)0248),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>uzimajući u obzir Provedbenu odluku Komisije C(2023)3227 od 5. lipnja 2023. o izmjeni Provedbene odluke C(2021)3563 o financiranju programa Kreativna Europa za razdoblje 2021. – 2025. i donošenju programa rada za 2021., 2022. i 2023.,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>uzimajući u obzir Provedbenu odluku Komisije C(2022)6138 od 31. kolovoza 2022. o izmjeni Provedbene odluke C(2021)3563 o financiranju programa Kreativna Europa za razdoblje 2021. – 2023. i donošenju programa rada za 2021. i 2022.,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>uzimajući u obzir Provedbenu odluku Komisije C(2021)3563 od 26. svibnja 2021. o donošenju programa rada za provedbu programa Kreativna Europa za 2021.,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>uzimajući u obzir godišnji program rada Komisije za provedbu programa Kreativna Europa za 2022.,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>uzimajući u obzir godišnji program rada Komisije za provedbu programa Kreativna Europa za 2021.,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>uzimajući u obzir komunikaciju Komisije od 11. srpnja 2023. naslovljenu „Inicijativa EU-a o tehnologiji Web 4.0 i virtualnim svjetovima: prednost u pripremi za sljedeću te</w:t>
      </w:r>
      <w:r w:rsidR="003E437B">
        <w:t>hnološku tranziciju” (COM(2023)</w:t>
      </w:r>
      <w:r w:rsidRPr="00C63810">
        <w:t>0442),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>uzimajući u obzir komunikaciju Komisije od 3. prosinca 2020. naslovljenu „Europski mediji u digitalnom desetljeću: akcijski plan za potporu oporavku i transformaciji” (COM(2020)0784),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 xml:space="preserve">uzimajući u obzir komunikaciju Komisije od 22. svibnja 2018. naslovljenu „Nova europska </w:t>
      </w:r>
      <w:proofErr w:type="spellStart"/>
      <w:r w:rsidRPr="00C63810">
        <w:t>agenda</w:t>
      </w:r>
      <w:proofErr w:type="spellEnd"/>
      <w:r w:rsidRPr="00C63810">
        <w:t xml:space="preserve"> za kulturu” (COM(2018)0267),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>uzimajući u obzir Zaključke Vijeća od 7. prosinca 2022. o planu rada EU-a za kulturu za razdoblje 2023. – 2026.</w:t>
      </w:r>
      <w:r w:rsidRPr="00C63810">
        <w:rPr>
          <w:rStyle w:val="FootnoteReference"/>
          <w:color w:val="000000"/>
          <w:szCs w:val="24"/>
        </w:rPr>
        <w:footnoteReference w:id="6"/>
      </w:r>
      <w:r w:rsidRPr="00C63810">
        <w:t>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>uzimajući u obzir svoju Rezoluciju od 14. rujna 2023. o budućnosti europskog knjižnog sektora</w:t>
      </w:r>
      <w:r w:rsidRPr="00C63810">
        <w:rPr>
          <w:rStyle w:val="FootnoteReference"/>
        </w:rPr>
        <w:footnoteReference w:id="7"/>
      </w:r>
      <w:r w:rsidRPr="00C63810">
        <w:t>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 xml:space="preserve">uzimajući u obzir svoju Rezoluciju od 14. prosinca 2022. o provedbi Nove europske </w:t>
      </w:r>
      <w:proofErr w:type="spellStart"/>
      <w:r w:rsidRPr="00C63810">
        <w:t>agende</w:t>
      </w:r>
      <w:proofErr w:type="spellEnd"/>
      <w:r w:rsidRPr="00C63810">
        <w:t xml:space="preserve"> za kulturu i Strategije EU-a za međunarodne kulturne odnose</w:t>
      </w:r>
      <w:r w:rsidRPr="00C63810">
        <w:rPr>
          <w:rStyle w:val="FootnoteReference"/>
          <w:color w:val="000000"/>
          <w:szCs w:val="24"/>
        </w:rPr>
        <w:footnoteReference w:id="8"/>
      </w:r>
      <w:r w:rsidRPr="00C63810">
        <w:t>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>uzimajući u obzir svoju Rezoluciju od 20. listopada 2021. o europskim medijima u digitalnom desetljeću: akcijski plan za potporu oporavku i transformaciji</w:t>
      </w:r>
      <w:r w:rsidRPr="00C63810">
        <w:rPr>
          <w:rStyle w:val="FootnoteReference"/>
          <w:color w:val="000000"/>
          <w:szCs w:val="24"/>
        </w:rPr>
        <w:footnoteReference w:id="9"/>
      </w:r>
      <w:r w:rsidRPr="00C63810">
        <w:t>,</w:t>
      </w:r>
    </w:p>
    <w:p w:rsidR="00102B86" w:rsidRPr="00C63810" w:rsidRDefault="00102B86" w:rsidP="00102B86">
      <w:pPr>
        <w:pStyle w:val="NormalHanging12a"/>
      </w:pPr>
      <w:r w:rsidRPr="00C63810">
        <w:lastRenderedPageBreak/>
        <w:t>–</w:t>
      </w:r>
      <w:r w:rsidRPr="00C63810">
        <w:tab/>
        <w:t xml:space="preserve">uzimajući u obzir svoju Rezoluciju od 17. travnja 2020. o usklađenom djelovanju EU-a za suzbijanje </w:t>
      </w:r>
      <w:proofErr w:type="spellStart"/>
      <w:r w:rsidRPr="00C63810">
        <w:t>pandemije</w:t>
      </w:r>
      <w:proofErr w:type="spellEnd"/>
      <w:r w:rsidRPr="00C63810">
        <w:t xml:space="preserve"> bolesti COVID-19 i njezinih posljedica</w:t>
      </w:r>
      <w:r w:rsidRPr="00C63810">
        <w:rPr>
          <w:rStyle w:val="FootnoteReference"/>
          <w:color w:val="000000"/>
          <w:szCs w:val="24"/>
        </w:rPr>
        <w:footnoteReference w:id="10"/>
      </w:r>
      <w:r w:rsidRPr="00C63810">
        <w:t>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 xml:space="preserve">uzimajući u obzir svoju Rezoluciju od 15. rujna 2020. o učinkovitim mjerama za </w:t>
      </w:r>
      <w:proofErr w:type="spellStart"/>
      <w:r w:rsidRPr="00C63810">
        <w:t>ekologizaciju</w:t>
      </w:r>
      <w:proofErr w:type="spellEnd"/>
      <w:r w:rsidRPr="00C63810">
        <w:t xml:space="preserve"> programa </w:t>
      </w:r>
      <w:proofErr w:type="spellStart"/>
      <w:r w:rsidRPr="00C63810">
        <w:t>Erasmus</w:t>
      </w:r>
      <w:proofErr w:type="spellEnd"/>
      <w:r w:rsidRPr="00C63810">
        <w:t>+ i Kreativna Europa te Europskih snaga solidarnosti</w:t>
      </w:r>
      <w:r w:rsidRPr="00C63810">
        <w:rPr>
          <w:rStyle w:val="FootnoteReference"/>
        </w:rPr>
        <w:footnoteReference w:id="11"/>
      </w:r>
      <w:r w:rsidRPr="00C63810">
        <w:t>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>uzimajući u obzir svoju Rezoluciju od 17. rujna 2020. o kulturnom oporavku Europe</w:t>
      </w:r>
      <w:r w:rsidRPr="00C63810">
        <w:rPr>
          <w:rStyle w:val="FootnoteReference"/>
        </w:rPr>
        <w:footnoteReference w:id="12"/>
      </w:r>
      <w:r w:rsidRPr="00C63810">
        <w:t xml:space="preserve">, 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>uzimajući u obzir članak 54. Poslovnika, kao i članak 1. stavak 1. točku (e) te Prilog III. Odluci Konferencije predsjednika od 12. prosinca 2002. o postupku odobrenja izrade izvješća o vlastitoj inicijativi,</w:t>
      </w:r>
    </w:p>
    <w:p w:rsidR="00102B86" w:rsidRPr="00C63810" w:rsidRDefault="00102B86" w:rsidP="00102B86">
      <w:pPr>
        <w:pStyle w:val="NormalHanging12a"/>
      </w:pPr>
      <w:r w:rsidRPr="00C63810">
        <w:t>–</w:t>
      </w:r>
      <w:r w:rsidRPr="00C63810">
        <w:tab/>
        <w:t>uzimajući u obzir izvješće Odbora za kulturu i obrazovanje (A9-0425/2023),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A.</w:t>
      </w:r>
      <w:r w:rsidRPr="00C63810">
        <w:tab/>
        <w:t xml:space="preserve">budući da prikupljeni podaci potvrđuju znatan interes kulturnih i kreativnih sektora za program; budući da su se više stope sufinanciranja za različita djelovanja u okviru potprograma Kultura i potprograma Media pokazale korisnima za podupiranje kulturnih i kreativnih ekosustava te su manjim projektima pružile bolje mogućnosti, posebno u razdoblju nakon </w:t>
      </w:r>
      <w:proofErr w:type="spellStart"/>
      <w:r w:rsidRPr="00C63810">
        <w:t>pandemije</w:t>
      </w:r>
      <w:proofErr w:type="spellEnd"/>
      <w:r w:rsidRPr="00C63810">
        <w:t>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B.</w:t>
      </w:r>
      <w:r w:rsidRPr="00C63810">
        <w:tab/>
        <w:t>budući da program Kreativna Europa za razdoblje 2021. – 2027. uključuje ukupno povećanje proračuna od oko 68 % u odnosu na program koji mu je prethodio; budući da to povećanje znatno gubi na vrijednosti zbog stalnog rasta stope inflacije</w:t>
      </w:r>
      <w:r w:rsidRPr="00C63810">
        <w:rPr>
          <w:rStyle w:val="FootnoteReference"/>
          <w:rFonts w:eastAsiaTheme="minorHAnsi"/>
          <w:lang w:eastAsia="en-US"/>
        </w:rPr>
        <w:footnoteReference w:id="13"/>
      </w:r>
      <w:r w:rsidRPr="00C63810">
        <w:t xml:space="preserve"> povezanog s troškovima energije; budući da je ukupni proračun pojačano financiran na početku razdoblja trećinom dodijeljenih financijskih sredstava za 2021. i 2022. kako bi se, među ostalim, odgovorilo na posljedice </w:t>
      </w:r>
      <w:proofErr w:type="spellStart"/>
      <w:r w:rsidRPr="00C63810">
        <w:t>pandemije</w:t>
      </w:r>
      <w:proofErr w:type="spellEnd"/>
      <w:r w:rsidRPr="00C63810">
        <w:t xml:space="preserve"> bolesti COVID-19;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C.</w:t>
      </w:r>
      <w:r w:rsidRPr="00C63810">
        <w:tab/>
        <w:t>budući da je Kreativna Europa jedini program koji pruža potporu svim kulturnim i kreativnim sektorima čije se aktivnosti temelje na kulturnim i umjetničkim vrijednostima, posebno podupiranjem stvaratelja i umjetnika, kao što su autori i izvođači, uz male projekte;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D.</w:t>
      </w:r>
      <w:r w:rsidRPr="00C63810">
        <w:tab/>
        <w:t>budući da se programom prepoznaje intrinzična i umjetnička vrijednost kulture, koja bi trebala ostati u središtu programa, uz istodobno postizanje jednake ravnoteže s njezinim širim doprinosom inovacijama i rastu; budući da bi program Kreativna Europa, koji se financira sredstvima EU-a, trebao doprinijeti provedbi načela europskog stupa socijalnih prava i promicati poštene prakse i radne uvjete u kulturnim i kreativnim sektorima;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E.</w:t>
      </w:r>
      <w:r w:rsidRPr="00C63810">
        <w:tab/>
        <w:t xml:space="preserve">budući da je jedna od glavnih novosti u pogledu programa to što se uvode međusektorski prioriteti </w:t>
      </w:r>
      <w:proofErr w:type="spellStart"/>
      <w:r w:rsidRPr="00C63810">
        <w:t>inkluzije</w:t>
      </w:r>
      <w:proofErr w:type="spellEnd"/>
      <w:r w:rsidRPr="00C63810">
        <w:t xml:space="preserve"> i raznolikosti, posebno rodna ravnoteža, i </w:t>
      </w:r>
      <w:proofErr w:type="spellStart"/>
      <w:r w:rsidRPr="00C63810">
        <w:t>ekologizacije</w:t>
      </w:r>
      <w:proofErr w:type="spellEnd"/>
      <w:r w:rsidRPr="00C63810">
        <w:t>; budući da se u godišnjim programima rada za 2021. i 2022. posebna pozornost posvećuje poticanju socijalne uključenosti i rodne ravnopravnosti; budući da bi se provedbom programa trebalo osigurati najšire sudjelovanje u kulturi kako bi se, među ostalim, uključile osobe s invaliditetom i osobe u nepovoljnom položaju;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F.</w:t>
      </w:r>
      <w:r w:rsidRPr="00C63810">
        <w:tab/>
        <w:t xml:space="preserve">budući da je cilj programa poduprijeti digitalnu tranziciju kulturnih i kreativnih sektora </w:t>
      </w:r>
      <w:r w:rsidRPr="00C63810">
        <w:lastRenderedPageBreak/>
        <w:t>s obzirom na to da je tehnologija promijenila način na koji ti sektori stvaraju, proizvode i šire sadržaje; budući da digitalizacija može pružiti mogućnosti za povećanje sudjelovanja u kulturi, ali da isto tako može dovesti i do različitih izazova od onih u analognom dobu;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G.</w:t>
      </w:r>
      <w:r w:rsidRPr="00C63810">
        <w:tab/>
        <w:t>budući da znatan broj korisnika i potencijalnih korisnika, bez obzira na određeni napredak koji je postignut u pogledu pojednostavnjenja, i dalje smatra da su postupci administrativnog upravljanja programom Kreativna Europa (podnošenje zahtjeva, evaluacija i izvješćivanje) vrlo dugotrajni i opterećujući;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H.</w:t>
      </w:r>
      <w:r w:rsidRPr="00C63810">
        <w:tab/>
        <w:t xml:space="preserve">budući da zahtjevni postupci administrativnog upravljanja često odvraćaju od sudjelovanja manje iskusne podnositelje zahtjeva, uključujući mlade stvaratelje, uz male organizacije, posebno one iz područja u nepovoljnom položaju; budući da postupak podnošenja zahtjeva treba pojednostavniti i poboljšati, prvenstveno u pogledu povećanja broja </w:t>
      </w:r>
      <w:proofErr w:type="spellStart"/>
      <w:r w:rsidRPr="00C63810">
        <w:t>postupovnih</w:t>
      </w:r>
      <w:proofErr w:type="spellEnd"/>
      <w:r w:rsidRPr="00C63810">
        <w:t xml:space="preserve"> koraka i sučelja koje nije prilagođeno korisnicima, koje možda nije u skladu s široko dostupnim aplikacijama;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I.</w:t>
      </w:r>
      <w:r w:rsidRPr="00C63810">
        <w:tab/>
        <w:t>budući da platforma za program uključuje složen postupak izvješćivanja koji je težak za snalaženje i koji izvorno nije bio osmišljen za vrstu projekata koji se financiraju sredstvima programa;</w:t>
      </w:r>
    </w:p>
    <w:p w:rsidR="00102B86" w:rsidRPr="00C63810" w:rsidRDefault="00102B86" w:rsidP="00102B86">
      <w:pPr>
        <w:pStyle w:val="NormalHanging12a"/>
      </w:pPr>
      <w:r w:rsidRPr="00C63810">
        <w:t>J.</w:t>
      </w:r>
      <w:r w:rsidRPr="00C63810">
        <w:tab/>
        <w:t>budući da se potprogramom Kultura promiče umrežavanje kreativnih zajednica i potiče prekogranična suradnja, s posebnim naglaskom na projektima suradnje; budući da se u prve dvije godine provedbe program projekata suradnje, koji je osigurao potporu za 291 projekt, pokazao najpopularnijim u okviru potprograma Kultura; budući da bi Komisija trebala razmotriti proširenje aktivnosti informiranja u okviru potprograma Kultura kako bi se povećalo sudjelovanje svih kulturnih i kreativnih zajednica, uključujući one iz perifernih i ruralnih područja;</w:t>
      </w:r>
    </w:p>
    <w:p w:rsidR="00102B86" w:rsidRPr="00C63810" w:rsidRDefault="00102B86" w:rsidP="00102B86">
      <w:pPr>
        <w:pStyle w:val="NormalHanging12a"/>
      </w:pPr>
      <w:r w:rsidRPr="00C63810">
        <w:t>K.</w:t>
      </w:r>
      <w:r w:rsidRPr="00C63810">
        <w:tab/>
        <w:t>budući da potprogram Media ima važnu ulogu u poticanju rasta i otpornosti u audiovizualnom sektoru; budući da je u dvogodišnjem razdoblju od 2021. do 2022. za taj potprogram podneseno 2124 zahtjeva i da je prosječna stopa uspješnosti 66 %;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L.</w:t>
      </w:r>
      <w:r w:rsidRPr="00C63810">
        <w:tab/>
        <w:t>budući da je pripremno djelovanje „Scenariji na europski način”, koje dobiva potporu od 2021., razvijeno s ciljem podupiranja stvaratelja, posebno autora, u osmišljavanju i razvoju visokokvalitetnih fikcijskih serija koje mogu putovati preko granica i doprijeti do nove publike;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M.</w:t>
      </w:r>
      <w:r w:rsidRPr="00C63810">
        <w:tab/>
        <w:t>budući da Međusektorski potprogram sadrži veći broj novosti koje odražavaju nove ciljeve; budući da su međusektorska djelovanja kojima se podupire sektor informativnih medija potpuno nov naglasak programa Kreativna Europa;</w:t>
      </w:r>
    </w:p>
    <w:p w:rsidR="00102B86" w:rsidRPr="00C63810" w:rsidRDefault="00102B86" w:rsidP="00102B86">
      <w:pPr>
        <w:pStyle w:val="NormalHanging12a"/>
      </w:pPr>
      <w:r w:rsidRPr="00C63810">
        <w:t>N.</w:t>
      </w:r>
      <w:r w:rsidRPr="00C63810">
        <w:tab/>
        <w:t>budući da je jačanje mobilnosti u europskom kulturnom i kreativnom sektoru poseban cilj Programa koji se nastoji ostvariti posebnim novim programom u okviru potprograma Kultura;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O.</w:t>
      </w:r>
      <w:r w:rsidRPr="00C63810">
        <w:tab/>
        <w:t xml:space="preserve">budući da je „Kultura pokreće Europu” najveći program mobilnosti EU-a za kulturne i kreativne sektore i da je do sredine 2023. privukao oko 4660 prijava; budući da otprilike 85 % prijava potječe iz sektora kao što su vizualna umjetnost, scenska umjetnost i glazba; </w:t>
      </w:r>
    </w:p>
    <w:p w:rsidR="00102B86" w:rsidRPr="00C63810" w:rsidRDefault="00102B86" w:rsidP="00102B86">
      <w:pPr>
        <w:pStyle w:val="NormalHanging12a"/>
      </w:pPr>
      <w:r w:rsidRPr="00C63810">
        <w:t>P.</w:t>
      </w:r>
      <w:r w:rsidRPr="00C63810">
        <w:tab/>
        <w:t xml:space="preserve">budući da se programom priznaje važnost glazbenog sektora kao ključne sastavnice </w:t>
      </w:r>
      <w:r w:rsidRPr="00C63810">
        <w:lastRenderedPageBreak/>
        <w:t>europske kulturne raznolikosti, koja može imati koristi od horizontalnog pristupa u okviru potprograma Kultura; budući da je u razdoblju 2021. – 2022. u okviru inicijative „Glazba pokreće Europu” 5 milijuna EUR dodijeljeno jačanju konkurentnosti, inovacija i raznolikosti europskog glazbenog sektora;</w:t>
      </w:r>
    </w:p>
    <w:p w:rsidR="00102B86" w:rsidRPr="00C63810" w:rsidRDefault="00102B86" w:rsidP="00102B86">
      <w:pPr>
        <w:pStyle w:val="NormalHanging12a"/>
      </w:pPr>
      <w:r w:rsidRPr="00C63810">
        <w:t>Q.</w:t>
      </w:r>
      <w:r w:rsidRPr="00C63810">
        <w:tab/>
        <w:t>budući da djelovanje koje se odnosi na književno prevođenje ima jedinstvenu ulogu u promicanju autora izvan nacionalnih granica, dopiranju do nove publike i da pridonosi kulturno i jezično raznolikijoj Europi;</w:t>
      </w:r>
    </w:p>
    <w:p w:rsidR="00102B86" w:rsidRPr="00C63810" w:rsidRDefault="00102B86" w:rsidP="00102B86">
      <w:pPr>
        <w:pStyle w:val="NormalHanging12a"/>
      </w:pPr>
      <w:r w:rsidRPr="00C63810">
        <w:t>R.</w:t>
      </w:r>
      <w:r w:rsidRPr="00C63810">
        <w:tab/>
        <w:t>budući da izvor javne potpore audiovizualnom ekosustavu u Europi uglavnom potječe s nacionalne razine, pri čemu potprogram Media nadopunjuje nacionalne sustave podupiranjem projekata s dugotrajnim učinkom;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S.</w:t>
      </w:r>
      <w:r w:rsidRPr="00C63810">
        <w:tab/>
        <w:t>budući da deskovi programa Kreativna Europa imaju ključnu ulogu posrednika između Komisije, Europske izvršne agencije za obrazovanje i kulturu (EACEA), podnositelja zahtjeva i korisnika; budući da se više od 60 % svih podnositelja zahtjeva u razdoblju 2021. – 2022. prije podnošenja zahtjeva obratilo svojem lokalnom desku;</w:t>
      </w:r>
    </w:p>
    <w:p w:rsidR="00102B86" w:rsidRPr="00C63810" w:rsidRDefault="00102B86" w:rsidP="00102B86">
      <w:pPr>
        <w:pStyle w:val="NormalHanging12a"/>
      </w:pPr>
      <w:r w:rsidRPr="00C63810">
        <w:t>T.</w:t>
      </w:r>
      <w:r w:rsidRPr="00C63810">
        <w:tab/>
        <w:t>budući da je, s obzirom na ključnu ulogu deskova programa Kreativna Europa u promicanju i informiranju kulturnih i kreativnih sektora o svim aspektima programa, suradnja i razmjena između Komisije – uključujući EACEA – i deskova programa Kreativna Europa treba se ojačati i treba obuhvaćati razmjenu relevantnih informacije u budućim pozivima na podnošenje prijedloga;</w:t>
      </w:r>
    </w:p>
    <w:p w:rsidR="00102B86" w:rsidRPr="00C63810" w:rsidRDefault="00102B86" w:rsidP="00102B86">
      <w:pPr>
        <w:pStyle w:val="NormalHanging12a"/>
      </w:pPr>
      <w:r w:rsidRPr="00C63810">
        <w:t>U.</w:t>
      </w:r>
      <w:r w:rsidRPr="00C63810">
        <w:tab/>
        <w:t>budući da program Kreativna Europa ima stratešku ulogu u jačanju vanjske dimenzije kulturnih odnosa Europske unije jer se njime potiču partnerstva među različitim akterima iz kulturnih i kreativnih sektora, primjenjuje pristup „od građana za građane” te promiče kulturna raznolikost u Europi i izvan nje;</w:t>
      </w:r>
    </w:p>
    <w:p w:rsidR="00102B86" w:rsidRPr="00C63810" w:rsidRDefault="00102B86" w:rsidP="00102B86">
      <w:pPr>
        <w:pStyle w:val="NormalHanging12a"/>
      </w:pPr>
      <w:r w:rsidRPr="00C63810">
        <w:t>V.</w:t>
      </w:r>
      <w:r w:rsidRPr="00C63810">
        <w:tab/>
        <w:t>budući da se u okviru programa prepoznaje važnost zaštite i promicanja sektora umjetnosti i obrta, posebno u području kulturne baštine, i priznaje njihova ključna uloga u podupiranju i urbanih i ruralnih gospodarstava diljem Europe, kao i njihova uloga u jačanju kulturne raznolikosti;</w:t>
      </w:r>
    </w:p>
    <w:p w:rsidR="00102B86" w:rsidRPr="00C63810" w:rsidRDefault="00102B86" w:rsidP="00102B86">
      <w:pPr>
        <w:pStyle w:val="NormalHanging12a"/>
      </w:pPr>
      <w:r w:rsidRPr="00C63810">
        <w:t>W.</w:t>
      </w:r>
      <w:r w:rsidRPr="00C63810">
        <w:tab/>
        <w:t xml:space="preserve">budući da je pečat izvrsnosti novost u programu Kreativna Europa za razdoblje 2021. – 2027. uvedena s ciljem jačanja sinergije i jednostavnije potrage za alternativnim financiranjem u slučaju proračunskih ograničenja; </w:t>
      </w:r>
    </w:p>
    <w:p w:rsidR="00102B86" w:rsidRPr="00C63810" w:rsidRDefault="00102B86" w:rsidP="00102B86">
      <w:pPr>
        <w:pStyle w:val="NormalHanging12a"/>
      </w:pPr>
      <w:r w:rsidRPr="00C63810">
        <w:t>X.</w:t>
      </w:r>
      <w:r w:rsidRPr="00C63810">
        <w:tab/>
        <w:t>budući da je Europska prijestolnica kulture, kao posebno djelovanje, prestižna inicijativa s veoma važnom ulogom u svjetskim kulturnim programima te od svojeg uvođenja 1985. naglašava bogatstvo i jedinstvenost raznolikosti kultura i gradova;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1.</w:t>
      </w:r>
      <w:r w:rsidRPr="00C63810">
        <w:tab/>
        <w:t>ističe da je interes za novu generaciju programa Kreativna Europa u kulturnim, kreativnim i audiovizualnim sektorima, kao i sektoru informativnih medija i dalje velik i da raste broj zahtjeva podnesenih u okviru triju potprograma, zbog čega dolazi do razmjernog smanjenja stope uspješnosti zahtjeva, što može dovesti do razočarenja programom u tim sektorima;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2.</w:t>
      </w:r>
      <w:r w:rsidRPr="00C63810">
        <w:tab/>
        <w:t xml:space="preserve">pozdravlja odgovor Programa na ublažavanje posljedica </w:t>
      </w:r>
      <w:proofErr w:type="spellStart"/>
      <w:r w:rsidRPr="00C63810">
        <w:t>pandemije</w:t>
      </w:r>
      <w:proofErr w:type="spellEnd"/>
      <w:r w:rsidRPr="00C63810">
        <w:t xml:space="preserve"> bolesti COVID-19 koja je ozbiljno poremetila kulturne i kreativne sektore čak i prije početka trenutačnog programa; međutim, ponavlja svoj poziv Komisiji i državama članicama da pojačaju napore za rješavanje dugoročnih posljedica </w:t>
      </w:r>
      <w:proofErr w:type="spellStart"/>
      <w:r w:rsidRPr="00C63810">
        <w:t>pandemije</w:t>
      </w:r>
      <w:proofErr w:type="spellEnd"/>
      <w:r w:rsidRPr="00C63810">
        <w:t xml:space="preserve"> na stvaratelje i kulturne </w:t>
      </w:r>
      <w:r w:rsidRPr="00C63810">
        <w:lastRenderedPageBreak/>
        <w:t>djelatnike, posebno onih povezanih s njihovim usavršavanjem i prekvalifikacijom, kako bi se odgovorilo na potrebe koje proizlaze iz razvoja događaja i izazova koji utječu na sektore;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3.</w:t>
      </w:r>
      <w:r w:rsidRPr="00C63810">
        <w:tab/>
        <w:t>žali zbog toga što sve države članice nisu dodijelile najmanje 2 % sredstava iz Mehanizma za oporavak i otpornost kako bi se osigurala otpornost tih sektora, kako je zatražio Parlament; stoga poziva sve države članice da ojačaju sinergije i osiguraju dostatna ciljana ulaganja za te sektore putem drugih programa EU-a;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4.</w:t>
      </w:r>
      <w:r w:rsidRPr="00C63810">
        <w:tab/>
        <w:t xml:space="preserve">prima na znanje fleksibilnost Komisije i EACEA-e u provedbi programa, koji je prilagođen kako bi se uzele u obzir posljedice </w:t>
      </w:r>
      <w:proofErr w:type="spellStart"/>
      <w:r w:rsidRPr="00C63810">
        <w:t>pandemije</w:t>
      </w:r>
      <w:proofErr w:type="spellEnd"/>
      <w:r w:rsidRPr="00C63810">
        <w:t xml:space="preserve"> bolesti COVID-19; međutim, naglašava potrebu za postizanjem ravnoteže između usklađenih sustava administrativnog upravljanja za sve programe EU-a, s jedne strane, i posebnih potreba različitih korisnika, s druge strane; stoga potiče Komisiju i EACEA-u da pojačaju napore kako bi se pojednostavnili postupci administrativnog upravljanja programom Kreativna Europa za razdoblje 2021. – 2027.; ističe, međutim, da racionalizacija i pojednostavnjenje ne bi trebali dovesti do smanjenja financijskih i ljudskih resursa namijenjenih praćenju i evaluaciji projekata;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5.</w:t>
      </w:r>
      <w:r w:rsidRPr="00C63810">
        <w:tab/>
        <w:t>potvrđuje da je postupak podnošenja zahtjeva često složen, posebno za pojedince, mikroorganizacije i male organizacije s ograničenim financijskim i ljudskim resursima; stoga poziva Komisiju i EACEA-u da dopuste da se troškovi povezani s postupkom podnošenja zahtjeva uključe u ukupne procijenjene proračunske troškove; nadalje, poziva deskove programa Kreativna Europa da dodatno ojačaju potporu svim podnositeljima zahtjeva;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6.</w:t>
      </w:r>
      <w:r w:rsidRPr="00C63810">
        <w:tab/>
        <w:t>poziva Komisiju da zakaže redovite razmjene s korisnicima u vezi s izgradnjom kapaciteta kako bi se utvrdile novosti kao što su novi zahtjevi u okviru sustava izvješćivanja, uključujući rezultate koji su u skladu s Općom uredbom o zaštiti podataka</w:t>
      </w:r>
      <w:r w:rsidRPr="00C63810">
        <w:rPr>
          <w:rStyle w:val="FootnoteReference"/>
          <w:rFonts w:eastAsiaTheme="minorHAnsi"/>
          <w:lang w:eastAsia="en-US"/>
        </w:rPr>
        <w:footnoteReference w:id="14"/>
      </w:r>
      <w:r w:rsidRPr="00C63810">
        <w:t xml:space="preserve">; u okviru cilja programa da se povećaju raznolikost, </w:t>
      </w:r>
      <w:proofErr w:type="spellStart"/>
      <w:r w:rsidRPr="00C63810">
        <w:t>inkluzija</w:t>
      </w:r>
      <w:proofErr w:type="spellEnd"/>
      <w:r w:rsidRPr="00C63810">
        <w:t xml:space="preserve"> i rodna ravnopravnost naglašava hitnu potrebu za poboljšanjem sustava izvješćivanja kako bi se osigurala dostupnost i jednostavnost korištenja za sve korisnike, uključujući osobe s invaliditetom;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7.</w:t>
      </w:r>
      <w:r w:rsidRPr="00C63810">
        <w:tab/>
        <w:t>prima na znanje postupno uvođenje poticaja za uključivanje u sve potprograme u prve dvije godine provedbe programa; primjećuje, međutim, nedostatak sveobuhvatnih podataka o tome kako se ostvaruju ciljevi programa na način kojim se potiču uključenost, jednakost, raznolikost i sudjelovanje; potiče Komisiju da u tom pogledu dostavi detaljno izvješće u svojoj privremenoj evaluaciji;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8.</w:t>
      </w:r>
      <w:r w:rsidRPr="00C63810">
        <w:tab/>
        <w:t xml:space="preserve">potvrđuje da program svojim djelovanjem pridonosi cilju klimatske i okolišne održivosti; napominje da su prioriteti </w:t>
      </w:r>
      <w:proofErr w:type="spellStart"/>
      <w:r w:rsidRPr="00C63810">
        <w:t>ekologizacije</w:t>
      </w:r>
      <w:proofErr w:type="spellEnd"/>
      <w:r w:rsidRPr="00C63810">
        <w:t xml:space="preserve"> različito uvedeni u tri potprograma; poziva Komisiju da pomno prati provedbu prioriteta </w:t>
      </w:r>
      <w:proofErr w:type="spellStart"/>
      <w:r w:rsidRPr="00C63810">
        <w:t>ekologizacije</w:t>
      </w:r>
      <w:proofErr w:type="spellEnd"/>
      <w:r w:rsidRPr="00C63810">
        <w:t xml:space="preserve"> i njihov utjecaj na sektore te da redovito izvješćuje o svojoj procjeni; naglašava važnost razvoja aktivnosti osposobljavanja i podizanja razine osviještenosti u cilju promicanja usvajanja održivijih praksi u kulturnim i kreativnim sektorima;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lastRenderedPageBreak/>
        <w:t>9.</w:t>
      </w:r>
      <w:r w:rsidRPr="00C63810">
        <w:tab/>
        <w:t xml:space="preserve">ističe važnost podupiranja kulturnih i kreativnih aktera u snalaženju u mogućnostima koje se nude na razini EU-a; u tom pogledu pozdravlja inicijativu </w:t>
      </w:r>
      <w:proofErr w:type="spellStart"/>
      <w:r w:rsidRPr="00C63810">
        <w:t>CulturEU</w:t>
      </w:r>
      <w:proofErr w:type="spellEnd"/>
      <w:r w:rsidRPr="00C63810">
        <w:t>, višejezični interaktivni vodič u kojem su prikazane sve dostupne mogućnosti financiranja; naglašava ključnu važnost održavanja redovitih i, prema potrebi, ciljanih razmjena s kulturnim, kreativnim i audiovizualnim sektorima, kao i sektoru informativnih medija u cilju postizanja korisne suradnje; podsjeća Komisiju da je važno osigurati odgovarajuću uključenost dionika u pripremu budućih godišnjih programa rada; predlaže da Komisija ocijeni bi li se program Kreativna Europa za razdoblje 2028. – 2034. mogao bolje provoditi putem godišnjih ili dvogodišnjih programa rada;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10.</w:t>
      </w:r>
      <w:r w:rsidRPr="00C63810">
        <w:tab/>
        <w:t>poziva na jačanje komunikacije i razmjene između Komisije, EACEA-e i deskova programa Kreativna Europa kako bi se osiguralo da deskovi programa imaju pristup svim relevantnim informacijama kako bi se podnositeljima zahtjeva i korisnicima omogućila kvalitetna potpora i smjernice; u tom pogledu ističe i važnost transparentnosti u širenju rezultata poziva; stoga poziva Komisiju da nastavi pravodobno objavljivati popis svih primatelja bespovratnih sredstava zajedno s dodijeljenim iznosom za pozive;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11.</w:t>
      </w:r>
      <w:r w:rsidRPr="00C63810">
        <w:tab/>
        <w:t>naglašava važnost utvrđivanja programa i povećanja njegove vidljivosti; u tom pogledu poziva Komisiju da izvijesti Parlament o provedbi komunikacijske strategije programa, uključujući upotrebu službenih logotipa;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12.</w:t>
      </w:r>
      <w:r w:rsidRPr="00C63810">
        <w:tab/>
        <w:t>ističe spremnost znatnog broja korisnika da svoja postignuća i rezultate podijele s kulturnim, kreativnim i audiovizualnim sektorima i europskim građanima; u tom pogledu ističe da se platforma koja je u tu svrhu stavljena na raspolaganje smatra nezadovoljavajućom te stoga poziva Komisiju da uključi korisnike u razvoj prikladnije platforme;</w:t>
      </w:r>
    </w:p>
    <w:p w:rsidR="00102B86" w:rsidRPr="00C63810" w:rsidRDefault="00102B86" w:rsidP="00102B86">
      <w:pPr>
        <w:pStyle w:val="NormalHanging12a"/>
      </w:pPr>
      <w:r w:rsidRPr="00C63810">
        <w:t>13.</w:t>
      </w:r>
      <w:r w:rsidRPr="00C63810">
        <w:tab/>
        <w:t>napominje da neke države članice ne pružaju nacionalne programe odštete ili osiguranje kako bi olakšale mobilnost kulturnih dobara; priznaje da troškovi komercijalnog osiguranja mogu biti znatni za brojne aktere u kulturi; u tom pogledu predlaže da Komisija kao prvi korak u rješavanju tog pitanja objavi studiju izvedivosti paneuropskog sustava jamstava za pokrivanje troškova odštete;</w:t>
      </w:r>
    </w:p>
    <w:p w:rsidR="00102B86" w:rsidRPr="00C63810" w:rsidRDefault="00102B86" w:rsidP="00102B86">
      <w:pPr>
        <w:pStyle w:val="NormalHanging12a"/>
      </w:pPr>
      <w:r w:rsidRPr="00C63810">
        <w:t>14.</w:t>
      </w:r>
      <w:r w:rsidRPr="00C63810">
        <w:tab/>
        <w:t>potiče Komisiju da promiče antropocentričnu i transparentnu primjenu umjetne inteligencije u umjetničkom i kreativnom procesu razvijanjem odgovarajućih etičkih standarda povezanih s primjenom umjetne inteligencije; u tom pogledu poziva Komisiju da osigura da i podnositelji zahtjeva i korisnici pružaju informacije o primjeni umjetne inteligencije u projektima, među ostalim u proizvodnji, distribuciji i promicanju kreativnih djela, kako bi se ocijenio taj novi trend u kulturnim i kreativnim sektorima i njegov utjecaj na program;</w:t>
      </w:r>
    </w:p>
    <w:p w:rsidR="00102B86" w:rsidRPr="00C63810" w:rsidRDefault="00102B86" w:rsidP="00102B86">
      <w:pPr>
        <w:pStyle w:val="NormalHanging12a"/>
      </w:pPr>
      <w:r w:rsidRPr="00C63810">
        <w:t>15.</w:t>
      </w:r>
      <w:r w:rsidRPr="00C63810">
        <w:tab/>
        <w:t>naglašava velik potencijal programa Kreativna Europa u razvoju i jačanju transnacionalnih partnerstava, čime se također pridonosi međunarodnim odnosima EU-a putem kulture;</w:t>
      </w:r>
    </w:p>
    <w:p w:rsidR="00102B86" w:rsidRPr="00C63810" w:rsidRDefault="00102B86" w:rsidP="00102B86">
      <w:pPr>
        <w:pStyle w:val="NormalHanging12a"/>
      </w:pPr>
      <w:r w:rsidRPr="00C63810">
        <w:t>16.</w:t>
      </w:r>
      <w:r w:rsidRPr="00C63810">
        <w:tab/>
        <w:t xml:space="preserve">poziva Komisiju da uloži odgovarajuća sredstva u vanjsku dimenziju programa i da potiče daljnju suradnju između kulturnih instituta i organizacija u državama članicama te </w:t>
      </w:r>
      <w:proofErr w:type="spellStart"/>
      <w:r w:rsidRPr="00C63810">
        <w:t>klastera</w:t>
      </w:r>
      <w:proofErr w:type="spellEnd"/>
      <w:r w:rsidRPr="00C63810">
        <w:t xml:space="preserve"> nacionalnih instituta EU-a za kulturu (EUNIC) u trećim zemljama; nadalje, poziva Komisiju da podrži i olakša sudjelovanje trećih zemalja u programu, gdje je to moguće;</w:t>
      </w:r>
    </w:p>
    <w:p w:rsidR="00102B86" w:rsidRPr="00C63810" w:rsidRDefault="00102B86" w:rsidP="00102B86">
      <w:pPr>
        <w:pStyle w:val="NormalHanging12a"/>
        <w:rPr>
          <w:rFonts w:eastAsiaTheme="minorHAnsi"/>
          <w:b/>
          <w:i/>
        </w:rPr>
      </w:pPr>
      <w:r w:rsidRPr="00C63810">
        <w:rPr>
          <w:b/>
          <w:i/>
        </w:rPr>
        <w:lastRenderedPageBreak/>
        <w:t>Proračun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17.</w:t>
      </w:r>
      <w:r w:rsidRPr="00C63810">
        <w:tab/>
        <w:t>ističe da je potražnja za trenutačnim programom Kreativna Europa, unatoč znatno povećanom proračunu za razdoblje 2021. – 2027., i dalje veća od ponude; u tom pogledu poziva Komisiju i države članice da znatno povećaju dodjelu financijskih sredstava programa Kreativna Europa za razdoblje 2028. – 2034.;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18.</w:t>
      </w:r>
      <w:r w:rsidRPr="00C63810">
        <w:tab/>
        <w:t xml:space="preserve">prepoznaje hitnu potrebu da se u dvogodišnjem razdoblju 2021. – 2022. pojačano financiraju rashodi na početku razdoblja kako bi se ublažili učinci </w:t>
      </w:r>
      <w:proofErr w:type="spellStart"/>
      <w:r w:rsidRPr="00C63810">
        <w:t>pandemije</w:t>
      </w:r>
      <w:proofErr w:type="spellEnd"/>
      <w:r w:rsidRPr="00C63810">
        <w:t xml:space="preserve"> bolesti COVID-19 i ruske ratne agresije na Ukrajinu; ističe, međutim, štetan učinak koji će ta mjera imati u drugoj polovici financijskog ciklusa;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19.</w:t>
      </w:r>
      <w:r w:rsidRPr="00C63810">
        <w:tab/>
        <w:t xml:space="preserve">potiče države članice i Komisiju da, s obzirom na izazove koji proizlaze iz digitalizacije i </w:t>
      </w:r>
      <w:proofErr w:type="spellStart"/>
      <w:r w:rsidRPr="00C63810">
        <w:t>ekologizacije</w:t>
      </w:r>
      <w:proofErr w:type="spellEnd"/>
      <w:r w:rsidRPr="00C63810">
        <w:t>, velike potražnje, vrtoglave inflacije i s tim povezanih visokih troškova energije, koji ozbiljno utječu na operativne kapacitete korisnika, zajamče da u nadolazećim proračunskim godinama neće doći do proračunskih rezova kod raspodjele sredstava programa;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20.</w:t>
      </w:r>
      <w:r w:rsidRPr="00C63810">
        <w:tab/>
        <w:t>žali zbog toga što oznaka pečata izvrsnosti još nije provedena; poziva Komisiju da odmah uvede tu oznaku kako bi projekti mogli iskoristiti mogućnosti kumulativnog i alternativnog financiranja tijekom ovog programskog ciklusa;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21.</w:t>
      </w:r>
      <w:r w:rsidRPr="00C63810">
        <w:tab/>
        <w:t>žali zbog činjenice da u okviru višegodišnjeg financijskog okvira (VFO) za razdoblje 2021. – 2027. ne postoji fleksibilnost za nadopunu programa Kreativna Europa i naglašava da to isključuje financiranje novih inicijativa, vrijednih pilot-projekata i pripremnih djelovanja; u tom pogledu podsjeća da su pilot-projekti i pripremna djelovanja važni alati za ispitivanje novih inicijativa koje se mogu razviti u trajne programe financiranja EU-a ili biti obuhvaćene postojećima;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22.</w:t>
      </w:r>
      <w:r w:rsidRPr="00C63810">
        <w:tab/>
        <w:t>žali zbog manjka financijskih sredstava između dvaju ciklusa VFO-a, koji je posebno utjecao na mrežni program i poziva Komisiju da učini sve što je potrebno kako se to ne bi ponovilo u budućnosti; poziva Komisiju da, s obzirom na ključnu ulogu tog programa u podupiranju sposobnosti kulturnih i kreativnih sektora da djeluju na transnacionalnoj i međunarodnoj razini, osigura odgovarajuća financijska sredstva i, osim toga, razmotri uvođenje operativnih bespovratnih sredstava za to djelovanje;</w:t>
      </w:r>
    </w:p>
    <w:p w:rsidR="00102B86" w:rsidRPr="00C63810" w:rsidRDefault="00102B86" w:rsidP="00102B86">
      <w:pPr>
        <w:pStyle w:val="NormalHanging12a"/>
        <w:rPr>
          <w:rFonts w:eastAsiaTheme="minorHAnsi"/>
          <w:b/>
          <w:i/>
        </w:rPr>
      </w:pPr>
      <w:r w:rsidRPr="00C63810">
        <w:rPr>
          <w:b/>
          <w:i/>
        </w:rPr>
        <w:t>Potprogram Kultura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23.</w:t>
      </w:r>
      <w:r w:rsidRPr="00C63810">
        <w:tab/>
        <w:t>pozdravlja uvođenje sektorskog pristupa kao nove značajke potprograma Kultura koja nadopunjuje horizontalna djelovanja; poziva na njegovo poboljšanje dodjelom odgovarajućih proračunskih sredstava kako bi se osiguralo da nijedan sektor ne bude zapostavljen i da nema smanjenja dodijeljenih sredstava za horizontalna djelovanja;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24.</w:t>
      </w:r>
      <w:r w:rsidRPr="00C63810">
        <w:tab/>
        <w:t>podsjeća na važnost daljnje zaštite i promicanja slobode umjetničkog izražavanja, posebno u pogledu mogućnosti financiranja koje program nudi u okviru aktivnosti projekata kulturne suradnje i programa europskih mreža;</w:t>
      </w:r>
    </w:p>
    <w:p w:rsidR="00102B86" w:rsidRPr="00C63810" w:rsidRDefault="00102B86" w:rsidP="00102B86">
      <w:pPr>
        <w:pStyle w:val="NormalHanging12a"/>
      </w:pPr>
      <w:r w:rsidRPr="00C63810">
        <w:t>25.</w:t>
      </w:r>
      <w:r w:rsidRPr="00C63810">
        <w:tab/>
        <w:t>uviđa da su povećane stope sufinanciranja, posebno za male projekte suradnje, korisne i da olakšavaju sudjelovanje malih organizacija; u tom pogledu poziva Komisiju i EACEA-u da dopuste projektnim konzorcijima da neovisno definiraju način raspodjele sredstava među svojim partnerima, pod uvjetom da se na razini projekta primjenjuje ukupna stopa sufinanciranja;</w:t>
      </w:r>
    </w:p>
    <w:p w:rsidR="00102B86" w:rsidRPr="00C63810" w:rsidRDefault="00102B86" w:rsidP="00102B86">
      <w:pPr>
        <w:pStyle w:val="NormalHanging12a"/>
      </w:pPr>
      <w:r w:rsidRPr="00C63810">
        <w:lastRenderedPageBreak/>
        <w:t>26.</w:t>
      </w:r>
      <w:r w:rsidRPr="00C63810">
        <w:tab/>
        <w:t>naglašava važnost prekogranične mobilnosti za sve stvaratelje jer se zahvaljujući povećanju profesionalnih mogućnosti u inozemstvu koje ona pruža potiče kreativni proces; u tom pogledu pozdravlja djelovanje „Kultura pokreće Europu”, kao novo djelovanje u području mobilnosti u okviru programa Kreativna Europa;</w:t>
      </w:r>
    </w:p>
    <w:p w:rsidR="00102B86" w:rsidRPr="00C63810" w:rsidRDefault="00102B86" w:rsidP="00102B86">
      <w:pPr>
        <w:pStyle w:val="NormalHanging12a"/>
      </w:pPr>
      <w:r w:rsidRPr="00C63810">
        <w:t>27.</w:t>
      </w:r>
      <w:r w:rsidRPr="00C63810">
        <w:tab/>
        <w:t>prima na znanje visoku kvalitetu zahtjeva zaprimljenih u okviru programa mobilnosti; međutim, poziva Komisiju da promiče djelovanje „Kultura pokreće Europu” među širom publikom, uz pomoć i potporu svih deskova programa Kreativna Europa, i to komunikacijskim aktivnostima i aktivnostima informiranja; smatra da bi te aktivnosti trebale biti posebno usmjerene na pojedinačne sektore, uključujući stvaratelje iz svih marginaliziranih skupina i manje zastupljenih zemalja i regija, kako bi se osigurala geografska ravnoteža;</w:t>
      </w:r>
    </w:p>
    <w:p w:rsidR="00102B86" w:rsidRPr="00C63810" w:rsidRDefault="00102B86" w:rsidP="00102B86">
      <w:pPr>
        <w:pStyle w:val="NormalHanging12a"/>
      </w:pPr>
      <w:r w:rsidRPr="00C63810">
        <w:t>28.</w:t>
      </w:r>
      <w:r w:rsidRPr="00C63810">
        <w:tab/>
        <w:t>ističe da je, iako prepoznaje velik uspjeh novog djelovanja u području mobilnosti, ključno da se do kraja 2024. provede analiza glavnih novih trendova s ciljem istraživanja mogućnosti daljnjeg širenja tog djelovanja kako bi ono uključivalo nove aktere, primjerice predstavnike iz nakladništva; u tom pogledu poziva Komisiju da poveća proračun dodijeljen za to djelovanje od 2025. nadalje;</w:t>
      </w:r>
    </w:p>
    <w:p w:rsidR="00102B86" w:rsidRPr="00C63810" w:rsidRDefault="00102B86" w:rsidP="00102B86">
      <w:pPr>
        <w:pStyle w:val="NormalHanging12a"/>
      </w:pPr>
      <w:r w:rsidRPr="00C63810">
        <w:t>29.</w:t>
      </w:r>
      <w:r w:rsidRPr="00C63810">
        <w:tab/>
        <w:t xml:space="preserve">naglašava pozitivan učinak zelenih i obiteljskih dodataka koji se provode za program mobilnosti, koji su konkretan primjer načina na koji program može biti </w:t>
      </w:r>
      <w:proofErr w:type="spellStart"/>
      <w:r w:rsidRPr="00C63810">
        <w:t>inkluzivniji</w:t>
      </w:r>
      <w:proofErr w:type="spellEnd"/>
      <w:r w:rsidRPr="00C63810">
        <w:t>; stoga poziva Komisiju da razmotri mogućnost primjene tog pristupa u drugim djelovanjima programa Kreativna Europa;</w:t>
      </w:r>
    </w:p>
    <w:p w:rsidR="00102B86" w:rsidRPr="00C63810" w:rsidRDefault="00102B86" w:rsidP="00102B86">
      <w:pPr>
        <w:pStyle w:val="NormalHanging12a"/>
      </w:pPr>
      <w:r w:rsidRPr="00C63810">
        <w:t>30.</w:t>
      </w:r>
      <w:r w:rsidRPr="00C63810">
        <w:tab/>
        <w:t>pozdravlja povećanje financiranja za europske platforme za promicanje novih umjetnika u okviru potprograma Kultura i ističe pozitivan učinak koji je ono imalo na raznolikost povećanjem vidljivosti umjetnika i njihovih ostvarenja na međunarodnoj razini; stoga poziva Komisiju da nastavi razvijati to djelovanje osiguravanjem odgovarajućeg financiranja i promicanja;</w:t>
      </w:r>
    </w:p>
    <w:p w:rsidR="00102B86" w:rsidRPr="00C63810" w:rsidRDefault="00102B86" w:rsidP="00102B86">
      <w:pPr>
        <w:pStyle w:val="NormalHanging12a"/>
      </w:pPr>
      <w:r w:rsidRPr="00C63810">
        <w:t>31.</w:t>
      </w:r>
      <w:r w:rsidRPr="00C63810">
        <w:tab/>
        <w:t>naglašava važnost mrežnog programa u pružanju mogućnosti umrežavanja i izgradnje kapaciteta, čime se jačaju raznolikost i konkurentnost europskih kulturnih i kreativnih sektora; u tom pogledu poziva Komisiju da osigura odgovarajuća financijska sredstva za to djelovanje kako bi se pružila potpora trenutačnim korisnicima i novim mrežama;</w:t>
      </w:r>
    </w:p>
    <w:p w:rsidR="00102B86" w:rsidRPr="00C63810" w:rsidRDefault="00102B86" w:rsidP="00102B86">
      <w:pPr>
        <w:pStyle w:val="NormalHanging12a"/>
      </w:pPr>
      <w:r w:rsidRPr="00C63810">
        <w:t>32.</w:t>
      </w:r>
      <w:r w:rsidRPr="00C63810">
        <w:tab/>
        <w:t>ističe da je sektorski pristup izvrstan alat kojim se jača sektor nakladništva i omogućuje usklađeno djelovanje kojim se podupire i potiče pristup tržištu i širi optjecaj europskih djela;</w:t>
      </w:r>
    </w:p>
    <w:p w:rsidR="00102B86" w:rsidRPr="00C63810" w:rsidRDefault="00102B86" w:rsidP="00102B86">
      <w:pPr>
        <w:pStyle w:val="NormalHanging12a"/>
      </w:pPr>
      <w:r w:rsidRPr="00C63810">
        <w:t>33.</w:t>
      </w:r>
      <w:r w:rsidRPr="00C63810">
        <w:tab/>
        <w:t xml:space="preserve">podsjeća da je program potpore za književno prevođenje glavni program potpore za nakladništvo; naglašava, međutim, da je potrebno proširiti taj sustav kako bi se obuhvatilo prevođenje europske </w:t>
      </w:r>
      <w:proofErr w:type="spellStart"/>
      <w:r w:rsidRPr="00C63810">
        <w:t>nefikcije</w:t>
      </w:r>
      <w:proofErr w:type="spellEnd"/>
      <w:r w:rsidRPr="00C63810">
        <w:t>; poziva Komisiju da u svojem preispitivanju programa sredinom provedbenog razdoblja uvede mjerljive ciljeve u vezi s time kako se sredstva dodjeljuju za poboljšanje pristupačnosti knjiga za osobe s invaliditetom;</w:t>
      </w:r>
    </w:p>
    <w:p w:rsidR="00102B86" w:rsidRPr="00C63810" w:rsidRDefault="00102B86" w:rsidP="00102B86">
      <w:pPr>
        <w:pStyle w:val="NormalHanging12a"/>
      </w:pPr>
      <w:r w:rsidRPr="00C63810">
        <w:t>34.</w:t>
      </w:r>
      <w:r w:rsidRPr="00C63810">
        <w:tab/>
        <w:t xml:space="preserve">pozdravlja povećanje broja djelovanja kojima se pruža potpora glazbenom sektoru u okviru potprograma Kultura, što je dovelo do većeg broja projekata povezanih s glazbom koji se predlažu u okviru trenutačnog programa; međutim, poziva Komisiju da razvije pristup glazbenom sektoru koji će imati izraženiju stratešku komponentu i biti više usmjeren na sektor kako bi se odgovorilo na trenutačne i buduće izazove, uz oslanjanje na rezultate pripremnog djelovanja „Glazba pokreće Europu”; u tom pogledu </w:t>
      </w:r>
      <w:r w:rsidRPr="00C63810">
        <w:lastRenderedPageBreak/>
        <w:t>naglašava važnost redovitog strukturiranog dijaloga između glazbenog ekosustava i Komisije; nadalje, poziva Komisiju da u suradnji sa sektorom prikupi podatke o glazbenim tržištima država članica i izvijesti o svim novim izazovima koji utječu na cijeli ekosustav;</w:t>
      </w:r>
    </w:p>
    <w:p w:rsidR="00102B86" w:rsidRPr="00C63810" w:rsidRDefault="00102B86" w:rsidP="00102B86">
      <w:pPr>
        <w:pStyle w:val="NormalHanging12a"/>
      </w:pPr>
      <w:r w:rsidRPr="00C63810">
        <w:t>35.</w:t>
      </w:r>
      <w:r w:rsidRPr="00C63810">
        <w:tab/>
        <w:t xml:space="preserve">naglašava važnost posebnog djelovanja Europske prijestolnice kulture kao katalizatora kulturne i gospodarske obnove gradova i regija; naglašava potrebu za povećanim financiranjem za to posebno djelovanje, koja postoji već dugo vremena, kako bi se pokrili dodatni troškovi nastali zbog dugoročnih posljedica </w:t>
      </w:r>
      <w:proofErr w:type="spellStart"/>
      <w:r w:rsidRPr="00C63810">
        <w:t>pandemije</w:t>
      </w:r>
      <w:proofErr w:type="spellEnd"/>
      <w:r w:rsidRPr="00C63810">
        <w:t xml:space="preserve"> bolesti COVID-19 i rastuće inflacije; stoga poziva Komisiju da poveća financiranje u okviru Nagrade </w:t>
      </w:r>
      <w:proofErr w:type="spellStart"/>
      <w:r w:rsidRPr="00C63810">
        <w:t>Melina</w:t>
      </w:r>
      <w:proofErr w:type="spellEnd"/>
      <w:r w:rsidRPr="00C63810">
        <w:t xml:space="preserve"> </w:t>
      </w:r>
      <w:proofErr w:type="spellStart"/>
      <w:r w:rsidRPr="00C63810">
        <w:t>Mercouri</w:t>
      </w:r>
      <w:proofErr w:type="spellEnd"/>
      <w:r w:rsidRPr="00C63810">
        <w:t>, za koju se već nekoliko godina izdvaja iznos od samo 1,5 milijun EUR; nadalje, poziva države članice da osiguraju trajno nasljeđe za tu inicijativi i da podrže njezin doseg kako bi se povećalo sudjelovanje u kulturnim aktivnostima koje se razvijaju u okviru nje;</w:t>
      </w:r>
    </w:p>
    <w:p w:rsidR="00102B86" w:rsidRPr="00C63810" w:rsidRDefault="00102B86" w:rsidP="00102B86">
      <w:pPr>
        <w:pStyle w:val="NormalHanging12a"/>
      </w:pPr>
      <w:r w:rsidRPr="00C63810">
        <w:t>36.</w:t>
      </w:r>
      <w:r w:rsidRPr="00C63810">
        <w:tab/>
        <w:t>potvrđuje da je oznaka europske baštine vrijedna inicijativa kojom se promiče važna uloga tih lokacija u povijesti i kulturi Europe te napominje da je u razdoblju od 2013. do 2021. tu oznaku dobilo 60 lokacija; međutim, poziva Komisiju da poboljša vidljivost oznake europske baštine razvijanjem sinergija s drugim relevantnim financijskim instrumentima EU-a;</w:t>
      </w:r>
    </w:p>
    <w:p w:rsidR="00102B86" w:rsidRPr="00C63810" w:rsidRDefault="00102B86" w:rsidP="00102B86">
      <w:pPr>
        <w:pStyle w:val="NormalHanging12a"/>
      </w:pPr>
      <w:r w:rsidRPr="00C63810">
        <w:t>37.</w:t>
      </w:r>
      <w:r w:rsidRPr="00C63810">
        <w:tab/>
        <w:t>naglašava važnost nagrada koje se podupiru u okviru programa Kreativna Europa književnosti, arhitekturi i baštini, glazbi (suvremenoj, rock i pop glazbi) i audiovizualnoj umjetnosti; naglašava da su te dugotrajne inicijative dobro poznate u tim sektorima i da se zahvaljujući njima povećava vidljivost europskih kulturnih i kreativnih sektora jer omogućuju nagrađivanje postignuća u različitim područjima;</w:t>
      </w:r>
    </w:p>
    <w:p w:rsidR="00102B86" w:rsidRPr="00C63810" w:rsidRDefault="00102B86" w:rsidP="00102B86">
      <w:pPr>
        <w:pStyle w:val="NormalHanging12a"/>
        <w:rPr>
          <w:rFonts w:eastAsiaTheme="minorHAnsi"/>
          <w:b/>
          <w:i/>
        </w:rPr>
      </w:pPr>
      <w:r w:rsidRPr="00C63810">
        <w:rPr>
          <w:b/>
          <w:i/>
        </w:rPr>
        <w:t>Potprogram Media</w:t>
      </w:r>
    </w:p>
    <w:p w:rsidR="00102B86" w:rsidRPr="00C63810" w:rsidRDefault="00102B86" w:rsidP="00102B86">
      <w:pPr>
        <w:pStyle w:val="NormalHanging12a"/>
      </w:pPr>
      <w:r w:rsidRPr="00C63810">
        <w:t>38.</w:t>
      </w:r>
      <w:r w:rsidRPr="00C63810">
        <w:tab/>
        <w:t>potvrđuje da je potprogram Media i dalje glavni europski instrument kojim se pruža strateška potpora neovisnom audiovizualnom sektoru, koji se uglavnom sastoji od malih i srednjih poduzeća; ističe veliku međunarodnu konkurenciju s kojom se suočavaju europski sektor audiovizualnih medija, kinematografije i videoigara te ključnu potporu koju taj potprogram pruža za oporavak i transformaciju tih sektora i za povećanje strateške autonomije EU-a; u tom pogledu naglašava važnost osiguravanja odgovarajuće raspodjele proračunskih sredstava za potprogram Media i ustraje na potrebi za sveobuhvatnim podacima za procjenu i praćenje toga postiže li se programom učinkovito povećanje gospodarskog i kulturnog potencijala tih sektora i na koji način;</w:t>
      </w:r>
    </w:p>
    <w:p w:rsidR="00102B86" w:rsidRPr="00C63810" w:rsidRDefault="00102B86" w:rsidP="00102B86">
      <w:pPr>
        <w:pStyle w:val="NormalHanging12a"/>
      </w:pPr>
      <w:r w:rsidRPr="00C63810">
        <w:t>39.</w:t>
      </w:r>
      <w:r w:rsidRPr="00C63810">
        <w:tab/>
        <w:t>prima na znanje pozitivan učinak ciljanih mjera uvedenih u okviru potprograma Media kako bi se proširilo sudjelovanje zemalja s različitim audiovizualnim kapacitetima i ojačala prekogranična suradnja;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40.</w:t>
      </w:r>
      <w:r w:rsidRPr="00C63810">
        <w:tab/>
        <w:t>ističe da je velik broj visokokvalitetnih projekata u okviru programa skupnih projekata i mini-razvoja skupnih projekata odbijen u razdoblju 2021. – 2022. zbog proračunskih ograničenja; stoga poziva Komisiju da dodijeli veći proračun za buduću provedbu tih programa;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41.</w:t>
      </w:r>
      <w:r w:rsidRPr="00C63810">
        <w:tab/>
        <w:t xml:space="preserve">ističe ključnu ulogu programa potpore „Distribucija europskih filmova” i „Prodaja europskih filmova” koji su doprinijeli kulturnoj raznolikosti europskog audiovizualnog sektora jer se zahvaljujući njima povećala prekogranična cirkulacija europskih filmova i </w:t>
      </w:r>
      <w:r w:rsidRPr="00C63810">
        <w:lastRenderedPageBreak/>
        <w:t>neutralizirali neki rizici koje distributeri preuzimaju kada ulažu u produkciju, distribuciju i promidžbu nenacionalnih europskih filmova; stoga naglašava da je ključno povećati financijska sredstva za oba programa i uložiti dodatne napore kako bi se osigurali optjecaj i internetska dostupnost europskih djela;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42.</w:t>
      </w:r>
      <w:r w:rsidRPr="00C63810">
        <w:tab/>
        <w:t xml:space="preserve">ističe da u mnogim europskim zemljama ne postoje programi potpore posvećeni prikazivanju filmova; u tom pogledu ističe važnost održavanja odgovarajućeg financiranja mreže Europa </w:t>
      </w:r>
      <w:proofErr w:type="spellStart"/>
      <w:r w:rsidRPr="00C63810">
        <w:t>Cinemas</w:t>
      </w:r>
      <w:proofErr w:type="spellEnd"/>
      <w:r w:rsidRPr="00C63810">
        <w:t>, vodeće inicijative u okviru potprograma Media, koja doprinosi optjecaju europskih filmova u kinima;</w:t>
      </w:r>
    </w:p>
    <w:p w:rsidR="00102B86" w:rsidRPr="00C63810" w:rsidRDefault="00102B86" w:rsidP="00102B86">
      <w:pPr>
        <w:pStyle w:val="NormalHanging12a"/>
      </w:pPr>
      <w:r w:rsidRPr="00C63810">
        <w:t>43.</w:t>
      </w:r>
      <w:r w:rsidRPr="00C63810">
        <w:tab/>
        <w:t>naglašava da se Uredbom o programu Kreativna Europa za razdoblje 2021. – 2027. proširuje pružanje potpore aktivnostima umrežavanja audiovizualnih djelatnika, uključujući stvaratelje; ističe da to djelovanje još nije provedeno; stoga poziva Komisiju da provede ciljano djelovanje čija je svrha pravodobno podupiranje aktivnosti posvećenih umrežavanju i suradnji europskih profesionalnih i kulturnih organizacija unutar audiovizualnog vrijednosnog lanca;</w:t>
      </w:r>
    </w:p>
    <w:p w:rsidR="00102B86" w:rsidRPr="00C63810" w:rsidRDefault="00102B86" w:rsidP="00102B86">
      <w:pPr>
        <w:pStyle w:val="NormalHanging12a"/>
      </w:pPr>
      <w:r w:rsidRPr="00C63810">
        <w:t>44.</w:t>
      </w:r>
      <w:r w:rsidRPr="00C63810">
        <w:tab/>
        <w:t>podsjeća na uspjeh europskog pripremnog djelovanja „Scenariji na europski način” i predlaže da Komisija uključi ciljeve tog djelovanja u program Kreativna Europa;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45.</w:t>
      </w:r>
      <w:r w:rsidRPr="00C63810">
        <w:tab/>
        <w:t xml:space="preserve">pozdravlja uvođenje posebnog djelovanja za potporu razvoju videoigara i </w:t>
      </w:r>
      <w:proofErr w:type="spellStart"/>
      <w:r w:rsidRPr="00C63810">
        <w:t>imerzivnih</w:t>
      </w:r>
      <w:proofErr w:type="spellEnd"/>
      <w:r w:rsidRPr="00C63810">
        <w:t xml:space="preserve"> sadržaja, koje je pobudilo velik interes u tom sektoru; poziva Komisiju da podrži kulturnu i kreativnu dimenziju tog sektora uzimajući u obzir njegove posebne značajke i povezane potrebe pri izradi relevantnih poziva na podnošenje prijedloga, uključujući potrebu za ispitivanjem novih poslovnih modela u virtualnom svijetu kako bi se omogućio razvoj vještina u tom području, s posebnim naglaskom na sudjelovanju žena; napominje, međutim, da bi trenutačni proračun za to mogao biti nedostatan i poziva na dodatna sredstva za potporu rastu europskog ekosustava videoigara i poticanje razvoja i zadržavanja europskih talenata;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46.</w:t>
      </w:r>
      <w:r w:rsidRPr="00C63810">
        <w:tab/>
        <w:t>ističe da rastuća inflacija na izrazito konkurentnom audiovizualnom tržištu utječe na troškove produkcije; stoga poziva Komisiju da prilagodi gornje granice financiranja naviše kako bi se osiguralo da potprogram Media može pružiti potporu audiovizualnoj industriji;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47.</w:t>
      </w:r>
      <w:r w:rsidRPr="00C63810">
        <w:tab/>
        <w:t>prepoznaje uspjeh poziva na podnošenje prijedloga „Mreže europskih festivala”, u okviru kojeg je pružena potpora za 71 festival u 12 mreža koje su surađivale kako bi se, među ostalim, potaknuo angažman publike; stoga poziva Komisiju da nastavi financirati svake godine jedno od dva komplementarna djelovanja, „Europske festivale” i „Mrežu europskih festivala”;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48.</w:t>
      </w:r>
      <w:r w:rsidRPr="00C63810">
        <w:tab/>
        <w:t xml:space="preserve">napominje da se, s obzirom na to da je instrument za ulaganje u medije privukao velik broj prijava, za njegovu buduću provedbu moraju osigurati veće proračunske sinergije s programom </w:t>
      </w:r>
      <w:proofErr w:type="spellStart"/>
      <w:r w:rsidRPr="00C63810">
        <w:t>InvestEU</w:t>
      </w:r>
      <w:proofErr w:type="spellEnd"/>
      <w:r w:rsidRPr="00C63810">
        <w:t>; poziva Komisiju da dodatno poboljša promicanje tog instrumenta u audiovizualnom sektoru;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49.</w:t>
      </w:r>
      <w:r w:rsidRPr="00C63810">
        <w:tab/>
        <w:t xml:space="preserve">podsjeća da se Komisijinim prijedlogom europskog akta o slobodi medija iz rujna 2022. uspostavlja novi Europski odbor za medijske usluge koji bi zamijenio Europsku skupinu regulatora za audiovizualne medijske usluge (ERGA) uspostavljenu Direktivom </w:t>
      </w:r>
      <w:r w:rsidRPr="00C63810">
        <w:lastRenderedPageBreak/>
        <w:t>2010/13/EU</w:t>
      </w:r>
      <w:r w:rsidRPr="00C63810">
        <w:rPr>
          <w:rStyle w:val="FootnoteReference"/>
          <w:rFonts w:eastAsiaTheme="minorHAnsi"/>
        </w:rPr>
        <w:footnoteReference w:id="15"/>
      </w:r>
      <w:r w:rsidRPr="00C63810">
        <w:t>; u svjetlu ograničenih financijskih sredstava dostupnih za provedbu ciljeva programa naglašava da se proračun dodijeljen potprogramu Media i drugim proračunskim linijama programa ne smije dodijeliti za financiranje Odbora;</w:t>
      </w:r>
    </w:p>
    <w:p w:rsidR="00102B86" w:rsidRPr="00C63810" w:rsidRDefault="00102B86" w:rsidP="00102B86">
      <w:pPr>
        <w:pStyle w:val="NormalHanging12a"/>
        <w:rPr>
          <w:rFonts w:eastAsiaTheme="minorHAnsi"/>
          <w:b/>
          <w:i/>
        </w:rPr>
      </w:pPr>
      <w:r w:rsidRPr="00C63810">
        <w:rPr>
          <w:b/>
          <w:i/>
        </w:rPr>
        <w:t>Međusektorski potprogram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50.</w:t>
      </w:r>
      <w:r w:rsidRPr="00C63810">
        <w:tab/>
        <w:t>žali zbog velikih kašnjenja u provedbi djelovanja programiranih u okviru Međusektorskog potprograma, posebno tijekom 2021., koja su bila posljedica novosti uvedenih u potprogram;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51.</w:t>
      </w:r>
      <w:r w:rsidRPr="00C63810">
        <w:tab/>
        <w:t>napominje da su pozivi za novinarska partnerstva i medijsku pismenost privukli najveći broj zahtjeva u razdoblju 2021. , što naglašava hitnu potrebu za povećanom financijskom potporom europskom medijskom sektoru;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52.</w:t>
      </w:r>
      <w:r w:rsidRPr="00C63810">
        <w:tab/>
        <w:t>napominje da niska stopa uspješnosti zahtjeva u okviru Međusektorskog potprograma, unatoč općenito visokoj kvaliteti podnesenih zahtjeva, upućuje na veliku potražnju za financijskom potporom koja se nažalost ne može riješiti trenutačnom financijskom raspodjelom;</w:t>
      </w:r>
    </w:p>
    <w:p w:rsidR="00102B86" w:rsidRPr="00C63810" w:rsidRDefault="00102B86" w:rsidP="00102B86">
      <w:pPr>
        <w:pStyle w:val="NormalHanging12a"/>
        <w:rPr>
          <w:rFonts w:eastAsiaTheme="minorHAnsi"/>
        </w:rPr>
      </w:pPr>
      <w:r w:rsidRPr="00C63810">
        <w:t>53.</w:t>
      </w:r>
      <w:r w:rsidRPr="00C63810">
        <w:tab/>
        <w:t>poziva Komisiju da osigura da se u preostalom programskom razdoblju najmanje 9 %</w:t>
      </w:r>
      <w:r w:rsidRPr="00C63810">
        <w:rPr>
          <w:rStyle w:val="FootnoteReference"/>
        </w:rPr>
        <w:footnoteReference w:id="16"/>
      </w:r>
      <w:r w:rsidRPr="00C63810">
        <w:t xml:space="preserve"> ukupnog proračuna za razdoblje 2021. 2027. dodijeli za potporu ciljevima Međusektorskog potprograma;</w:t>
      </w:r>
    </w:p>
    <w:p w:rsidR="00102B86" w:rsidRPr="00C63810" w:rsidRDefault="00102B86" w:rsidP="00102B86">
      <w:pPr>
        <w:pStyle w:val="NormalHanging12a"/>
        <w:jc w:val="center"/>
        <w:rPr>
          <w:rFonts w:eastAsiaTheme="minorHAnsi"/>
        </w:rPr>
      </w:pPr>
      <w:r w:rsidRPr="00C63810">
        <w:t>°</w:t>
      </w:r>
    </w:p>
    <w:p w:rsidR="00102B86" w:rsidRPr="00C63810" w:rsidRDefault="00102B86" w:rsidP="00102B86">
      <w:pPr>
        <w:pStyle w:val="NormalHanging12a"/>
        <w:jc w:val="center"/>
        <w:rPr>
          <w:rFonts w:eastAsiaTheme="minorHAnsi"/>
        </w:rPr>
      </w:pPr>
      <w:r w:rsidRPr="00C63810">
        <w:t>°</w:t>
      </w:r>
      <w:r w:rsidRPr="00C63810">
        <w:tab/>
        <w:t>°</w:t>
      </w:r>
    </w:p>
    <w:p w:rsidR="00102B86" w:rsidRPr="00C63810" w:rsidRDefault="00102B86" w:rsidP="00282BE1">
      <w:pPr>
        <w:ind w:left="567" w:hanging="567"/>
      </w:pPr>
      <w:r w:rsidRPr="00C63810">
        <w:t>54.</w:t>
      </w:r>
      <w:r w:rsidRPr="00C63810">
        <w:tab/>
        <w:t>nalaže svojoj predsjednici da ovu Rezoluciju proslijedi Vijeću, Komisiji i nacionalnim deskovima programa Kreativna Europa.</w:t>
      </w:r>
    </w:p>
    <w:p w:rsidR="00E365E1" w:rsidRPr="00C63810" w:rsidRDefault="00E365E1" w:rsidP="00282BE1">
      <w:pPr>
        <w:ind w:left="567" w:hanging="567"/>
      </w:pPr>
      <w:bookmarkStart w:id="9" w:name="TextBodyEnd"/>
      <w:bookmarkEnd w:id="9"/>
    </w:p>
    <w:sectPr w:rsidR="00E365E1" w:rsidRPr="00C63810" w:rsidSect="001F2E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CA9" w:rsidRPr="001F2ECB" w:rsidRDefault="00532CA9">
      <w:r w:rsidRPr="001F2ECB">
        <w:separator/>
      </w:r>
    </w:p>
  </w:endnote>
  <w:endnote w:type="continuationSeparator" w:id="0">
    <w:p w:rsidR="00532CA9" w:rsidRPr="001F2ECB" w:rsidRDefault="00532CA9">
      <w:r w:rsidRPr="001F2E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2EC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2EC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2EC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CA9" w:rsidRPr="001F2ECB" w:rsidRDefault="00532CA9">
      <w:r w:rsidRPr="001F2ECB">
        <w:separator/>
      </w:r>
    </w:p>
  </w:footnote>
  <w:footnote w:type="continuationSeparator" w:id="0">
    <w:p w:rsidR="00532CA9" w:rsidRPr="001F2ECB" w:rsidRDefault="00532CA9">
      <w:r w:rsidRPr="001F2ECB">
        <w:continuationSeparator/>
      </w:r>
    </w:p>
  </w:footnote>
  <w:footnote w:id="1">
    <w:p w:rsidR="00102B86" w:rsidRPr="001F2ECB" w:rsidRDefault="00102B86" w:rsidP="001F2ECB">
      <w:pPr>
        <w:pStyle w:val="FootnoteText"/>
        <w:ind w:left="567" w:hanging="567"/>
        <w:rPr>
          <w:sz w:val="24"/>
          <w:lang w:val="hr-HR"/>
        </w:rPr>
      </w:pPr>
      <w:r w:rsidRPr="001F2ECB">
        <w:rPr>
          <w:rStyle w:val="FootnoteReference"/>
          <w:sz w:val="24"/>
          <w:lang w:val="hr-HR"/>
        </w:rPr>
        <w:footnoteRef/>
      </w:r>
      <w:r w:rsidR="001F2ECB" w:rsidRPr="001F2ECB">
        <w:rPr>
          <w:sz w:val="24"/>
          <w:lang w:val="hr-HR"/>
        </w:rPr>
        <w:t xml:space="preserve"> </w:t>
      </w:r>
      <w:r w:rsidR="001F2ECB" w:rsidRPr="001F2ECB">
        <w:rPr>
          <w:sz w:val="24"/>
          <w:lang w:val="hr-HR"/>
        </w:rPr>
        <w:tab/>
      </w:r>
      <w:r w:rsidRPr="001F2ECB">
        <w:rPr>
          <w:sz w:val="24"/>
          <w:lang w:val="hr-HR"/>
        </w:rPr>
        <w:t>SL L 189, 28.5.2021., str. 34.</w:t>
      </w:r>
    </w:p>
  </w:footnote>
  <w:footnote w:id="2">
    <w:p w:rsidR="00102B86" w:rsidRPr="001F2ECB" w:rsidRDefault="00102B86" w:rsidP="001F2ECB">
      <w:pPr>
        <w:pStyle w:val="FootnoteText"/>
        <w:ind w:left="567" w:hanging="567"/>
        <w:rPr>
          <w:sz w:val="24"/>
          <w:lang w:val="hr-HR"/>
        </w:rPr>
      </w:pPr>
      <w:r w:rsidRPr="001F2ECB">
        <w:rPr>
          <w:rStyle w:val="FootnoteReference"/>
          <w:sz w:val="24"/>
          <w:lang w:val="hr-HR"/>
        </w:rPr>
        <w:footnoteRef/>
      </w:r>
      <w:r w:rsidR="001F2ECB" w:rsidRPr="001F2ECB">
        <w:rPr>
          <w:sz w:val="24"/>
          <w:lang w:val="hr-HR"/>
        </w:rPr>
        <w:t xml:space="preserve"> </w:t>
      </w:r>
      <w:r w:rsidR="001F2ECB" w:rsidRPr="001F2ECB">
        <w:rPr>
          <w:sz w:val="24"/>
          <w:lang w:val="hr-HR"/>
        </w:rPr>
        <w:tab/>
      </w:r>
      <w:r w:rsidRPr="001F2ECB">
        <w:rPr>
          <w:sz w:val="24"/>
          <w:lang w:val="hr-HR"/>
        </w:rPr>
        <w:t>SL L 347, 20.12.2013., str. 221.</w:t>
      </w:r>
    </w:p>
  </w:footnote>
  <w:footnote w:id="3">
    <w:p w:rsidR="00102B86" w:rsidRPr="001F2ECB" w:rsidRDefault="00102B86" w:rsidP="001F2ECB">
      <w:pPr>
        <w:pStyle w:val="FootnoteText"/>
        <w:ind w:left="567" w:hanging="567"/>
        <w:rPr>
          <w:sz w:val="24"/>
          <w:lang w:val="hr-HR"/>
        </w:rPr>
      </w:pPr>
      <w:r w:rsidRPr="001F2ECB">
        <w:rPr>
          <w:rStyle w:val="FootnoteReference"/>
          <w:sz w:val="24"/>
          <w:lang w:val="hr-HR"/>
        </w:rPr>
        <w:footnoteRef/>
      </w:r>
      <w:r w:rsidR="001F2ECB" w:rsidRPr="001F2ECB">
        <w:rPr>
          <w:sz w:val="24"/>
          <w:lang w:val="hr-HR"/>
        </w:rPr>
        <w:t xml:space="preserve"> </w:t>
      </w:r>
      <w:r w:rsidR="001F2ECB" w:rsidRPr="001F2ECB">
        <w:rPr>
          <w:sz w:val="24"/>
          <w:lang w:val="hr-HR"/>
        </w:rPr>
        <w:tab/>
      </w:r>
      <w:r w:rsidRPr="001F2ECB">
        <w:rPr>
          <w:sz w:val="24"/>
          <w:lang w:val="hr-HR"/>
        </w:rPr>
        <w:t>SL C 108, 26.3.2021., str. 934.</w:t>
      </w:r>
    </w:p>
  </w:footnote>
  <w:footnote w:id="4">
    <w:p w:rsidR="00102B86" w:rsidRPr="001F2ECB" w:rsidRDefault="00102B86" w:rsidP="001F2ECB">
      <w:pPr>
        <w:pStyle w:val="FootnoteText"/>
        <w:ind w:left="567" w:hanging="567"/>
        <w:rPr>
          <w:sz w:val="24"/>
          <w:lang w:val="hr-HR"/>
        </w:rPr>
      </w:pPr>
      <w:r w:rsidRPr="001F2ECB">
        <w:rPr>
          <w:rStyle w:val="FootnoteReference"/>
          <w:sz w:val="24"/>
          <w:lang w:val="hr-HR"/>
        </w:rPr>
        <w:footnoteRef/>
      </w:r>
      <w:r w:rsidR="001F2ECB" w:rsidRPr="001F2ECB">
        <w:rPr>
          <w:sz w:val="24"/>
          <w:lang w:val="hr-HR"/>
        </w:rPr>
        <w:t xml:space="preserve"> </w:t>
      </w:r>
      <w:r w:rsidR="001F2ECB" w:rsidRPr="001F2ECB">
        <w:rPr>
          <w:sz w:val="24"/>
          <w:lang w:val="hr-HR"/>
        </w:rPr>
        <w:tab/>
      </w:r>
      <w:r w:rsidRPr="001F2ECB">
        <w:rPr>
          <w:sz w:val="24"/>
          <w:lang w:val="hr-HR"/>
        </w:rPr>
        <w:t>SL C 110, 22.3.2019., str. 87.</w:t>
      </w:r>
    </w:p>
  </w:footnote>
  <w:footnote w:id="5">
    <w:p w:rsidR="00102B86" w:rsidRPr="001F2ECB" w:rsidRDefault="00102B86" w:rsidP="001F2ECB">
      <w:pPr>
        <w:pStyle w:val="FootnoteText"/>
        <w:ind w:left="567" w:hanging="567"/>
        <w:rPr>
          <w:sz w:val="24"/>
          <w:lang w:val="hr-HR"/>
        </w:rPr>
      </w:pPr>
      <w:r w:rsidRPr="001F2ECB">
        <w:rPr>
          <w:rStyle w:val="FootnoteReference"/>
          <w:sz w:val="24"/>
          <w:lang w:val="hr-HR"/>
        </w:rPr>
        <w:footnoteRef/>
      </w:r>
      <w:r w:rsidR="001F2ECB" w:rsidRPr="001F2ECB">
        <w:rPr>
          <w:sz w:val="24"/>
          <w:lang w:val="hr-HR"/>
        </w:rPr>
        <w:t xml:space="preserve"> </w:t>
      </w:r>
      <w:r w:rsidR="001F2ECB" w:rsidRPr="001F2ECB">
        <w:rPr>
          <w:sz w:val="24"/>
          <w:lang w:val="hr-HR"/>
        </w:rPr>
        <w:tab/>
      </w:r>
      <w:r w:rsidRPr="001F2ECB">
        <w:rPr>
          <w:sz w:val="24"/>
          <w:lang w:val="hr-HR"/>
        </w:rPr>
        <w:t>SL C 168, 16.05.2019., str. 37.</w:t>
      </w:r>
    </w:p>
  </w:footnote>
  <w:footnote w:id="6">
    <w:p w:rsidR="00102B86" w:rsidRPr="001F2ECB" w:rsidRDefault="00102B86" w:rsidP="001F2ECB">
      <w:pPr>
        <w:pStyle w:val="FootnoteText"/>
        <w:ind w:left="567" w:hanging="567"/>
        <w:rPr>
          <w:sz w:val="24"/>
          <w:lang w:val="hr-HR"/>
        </w:rPr>
      </w:pPr>
      <w:r w:rsidRPr="001F2ECB">
        <w:rPr>
          <w:rStyle w:val="FootnoteReference"/>
          <w:sz w:val="24"/>
          <w:lang w:val="hr-HR"/>
        </w:rPr>
        <w:footnoteRef/>
      </w:r>
      <w:r w:rsidR="001F2ECB" w:rsidRPr="001F2ECB">
        <w:rPr>
          <w:sz w:val="24"/>
          <w:lang w:val="hr-HR"/>
        </w:rPr>
        <w:t xml:space="preserve"> </w:t>
      </w:r>
      <w:r w:rsidR="001F2ECB" w:rsidRPr="001F2ECB">
        <w:rPr>
          <w:sz w:val="24"/>
          <w:lang w:val="hr-HR"/>
        </w:rPr>
        <w:tab/>
      </w:r>
      <w:r w:rsidRPr="001F2ECB">
        <w:rPr>
          <w:sz w:val="24"/>
          <w:lang w:val="hr-HR"/>
        </w:rPr>
        <w:t>SL C 466, 7.12.2022., str. 1.</w:t>
      </w:r>
    </w:p>
  </w:footnote>
  <w:footnote w:id="7">
    <w:p w:rsidR="00102B86" w:rsidRPr="001F2ECB" w:rsidRDefault="00102B86" w:rsidP="001F2ECB">
      <w:pPr>
        <w:pStyle w:val="FootnoteText"/>
        <w:ind w:left="567" w:hanging="567"/>
        <w:rPr>
          <w:sz w:val="24"/>
          <w:lang w:val="hr-HR"/>
        </w:rPr>
      </w:pPr>
      <w:r w:rsidRPr="001F2ECB">
        <w:rPr>
          <w:rStyle w:val="FootnoteReference"/>
          <w:sz w:val="24"/>
          <w:lang w:val="hr-HR"/>
        </w:rPr>
        <w:footnoteRef/>
      </w:r>
      <w:r w:rsidR="001F2ECB" w:rsidRPr="001F2ECB">
        <w:rPr>
          <w:sz w:val="24"/>
          <w:lang w:val="hr-HR"/>
        </w:rPr>
        <w:t xml:space="preserve"> </w:t>
      </w:r>
      <w:r w:rsidR="001F2ECB" w:rsidRPr="001F2ECB">
        <w:rPr>
          <w:sz w:val="24"/>
          <w:lang w:val="hr-HR"/>
        </w:rPr>
        <w:tab/>
      </w:r>
      <w:r w:rsidRPr="001F2ECB">
        <w:rPr>
          <w:sz w:val="24"/>
          <w:lang w:val="hr-HR"/>
        </w:rPr>
        <w:t>Usvojeni tekstovi, P9_TA(2023)0329.</w:t>
      </w:r>
    </w:p>
  </w:footnote>
  <w:footnote w:id="8">
    <w:p w:rsidR="00102B86" w:rsidRPr="001F2ECB" w:rsidRDefault="00102B86" w:rsidP="001F2ECB">
      <w:pPr>
        <w:pStyle w:val="FootnoteText"/>
        <w:ind w:left="567" w:hanging="567"/>
        <w:rPr>
          <w:sz w:val="24"/>
          <w:lang w:val="hr-HR"/>
        </w:rPr>
      </w:pPr>
      <w:r w:rsidRPr="001F2ECB">
        <w:rPr>
          <w:rStyle w:val="FootnoteReference"/>
          <w:sz w:val="24"/>
          <w:lang w:val="hr-HR"/>
        </w:rPr>
        <w:footnoteRef/>
      </w:r>
      <w:r w:rsidR="001F2ECB" w:rsidRPr="001F2ECB">
        <w:rPr>
          <w:sz w:val="24"/>
          <w:lang w:val="hr-HR"/>
        </w:rPr>
        <w:t xml:space="preserve"> </w:t>
      </w:r>
      <w:r w:rsidR="001F2ECB" w:rsidRPr="001F2ECB">
        <w:rPr>
          <w:sz w:val="24"/>
          <w:lang w:val="hr-HR"/>
        </w:rPr>
        <w:tab/>
      </w:r>
      <w:r w:rsidRPr="001F2ECB">
        <w:rPr>
          <w:sz w:val="24"/>
          <w:lang w:val="hr-HR"/>
        </w:rPr>
        <w:t>SL C 177, 17.05.2023., str. 78.</w:t>
      </w:r>
    </w:p>
  </w:footnote>
  <w:footnote w:id="9">
    <w:p w:rsidR="00102B86" w:rsidRPr="001F2ECB" w:rsidRDefault="00102B86" w:rsidP="001F2ECB">
      <w:pPr>
        <w:pStyle w:val="FootnoteText"/>
        <w:ind w:left="567" w:hanging="567"/>
        <w:rPr>
          <w:sz w:val="24"/>
          <w:lang w:val="hr-HR"/>
        </w:rPr>
      </w:pPr>
      <w:r w:rsidRPr="001F2ECB">
        <w:rPr>
          <w:rStyle w:val="FootnoteReference"/>
          <w:sz w:val="24"/>
          <w:lang w:val="hr-HR"/>
        </w:rPr>
        <w:footnoteRef/>
      </w:r>
      <w:r w:rsidR="001F2ECB" w:rsidRPr="001F2ECB">
        <w:rPr>
          <w:sz w:val="24"/>
          <w:lang w:val="hr-HR"/>
        </w:rPr>
        <w:t xml:space="preserve"> </w:t>
      </w:r>
      <w:r w:rsidR="001F2ECB" w:rsidRPr="001F2ECB">
        <w:rPr>
          <w:sz w:val="24"/>
          <w:lang w:val="hr-HR"/>
        </w:rPr>
        <w:tab/>
      </w:r>
      <w:r w:rsidRPr="001F2ECB">
        <w:rPr>
          <w:sz w:val="24"/>
          <w:lang w:val="hr-HR"/>
        </w:rPr>
        <w:t>SL C 184, 5.5.2022., str. 71.</w:t>
      </w:r>
    </w:p>
  </w:footnote>
  <w:footnote w:id="10">
    <w:p w:rsidR="00102B86" w:rsidRPr="001F2ECB" w:rsidRDefault="00102B86" w:rsidP="001F2ECB">
      <w:pPr>
        <w:pStyle w:val="FootnoteText"/>
        <w:ind w:left="567" w:hanging="567"/>
        <w:rPr>
          <w:sz w:val="24"/>
          <w:lang w:val="hr-HR"/>
        </w:rPr>
      </w:pPr>
      <w:r w:rsidRPr="001F2ECB">
        <w:rPr>
          <w:rStyle w:val="FootnoteReference"/>
          <w:sz w:val="24"/>
          <w:lang w:val="hr-HR"/>
        </w:rPr>
        <w:footnoteRef/>
      </w:r>
      <w:r w:rsidR="001F2ECB" w:rsidRPr="001F2ECB">
        <w:rPr>
          <w:sz w:val="24"/>
          <w:lang w:val="hr-HR"/>
        </w:rPr>
        <w:t xml:space="preserve"> </w:t>
      </w:r>
      <w:r w:rsidR="001F2ECB" w:rsidRPr="001F2ECB">
        <w:rPr>
          <w:sz w:val="24"/>
          <w:lang w:val="hr-HR"/>
        </w:rPr>
        <w:tab/>
      </w:r>
      <w:r w:rsidRPr="001F2ECB">
        <w:rPr>
          <w:sz w:val="24"/>
          <w:lang w:val="hr-HR"/>
        </w:rPr>
        <w:t>SL C 316, 6.8.2021., str. 2.</w:t>
      </w:r>
    </w:p>
  </w:footnote>
  <w:footnote w:id="11">
    <w:p w:rsidR="00102B86" w:rsidRPr="001F2ECB" w:rsidRDefault="00102B86" w:rsidP="001F2ECB">
      <w:pPr>
        <w:pStyle w:val="FootnoteText"/>
        <w:ind w:left="567" w:hanging="567"/>
        <w:rPr>
          <w:sz w:val="24"/>
          <w:lang w:val="hr-HR"/>
        </w:rPr>
      </w:pPr>
      <w:r w:rsidRPr="001F2ECB">
        <w:rPr>
          <w:rStyle w:val="FootnoteReference"/>
          <w:sz w:val="24"/>
          <w:lang w:val="hr-HR"/>
        </w:rPr>
        <w:footnoteRef/>
      </w:r>
      <w:r w:rsidR="001F2ECB" w:rsidRPr="001F2ECB">
        <w:rPr>
          <w:sz w:val="24"/>
          <w:lang w:val="hr-HR"/>
        </w:rPr>
        <w:t xml:space="preserve"> </w:t>
      </w:r>
      <w:r w:rsidR="001F2ECB" w:rsidRPr="001F2ECB">
        <w:rPr>
          <w:sz w:val="24"/>
          <w:lang w:val="hr-HR"/>
        </w:rPr>
        <w:tab/>
      </w:r>
      <w:r w:rsidRPr="001F2ECB">
        <w:rPr>
          <w:sz w:val="24"/>
          <w:lang w:val="hr-HR"/>
        </w:rPr>
        <w:t>SL C 385, 22.9.2021., str. 2.</w:t>
      </w:r>
    </w:p>
  </w:footnote>
  <w:footnote w:id="12">
    <w:p w:rsidR="00102B86" w:rsidRPr="001F2ECB" w:rsidRDefault="00102B86" w:rsidP="001F2ECB">
      <w:pPr>
        <w:pStyle w:val="FootnoteText"/>
        <w:ind w:left="567" w:hanging="567"/>
        <w:rPr>
          <w:sz w:val="24"/>
          <w:lang w:val="hr-HR"/>
        </w:rPr>
      </w:pPr>
      <w:r w:rsidRPr="001F2ECB">
        <w:rPr>
          <w:rStyle w:val="FootnoteReference"/>
          <w:sz w:val="24"/>
          <w:lang w:val="hr-HR"/>
        </w:rPr>
        <w:footnoteRef/>
      </w:r>
      <w:r w:rsidR="001F2ECB" w:rsidRPr="001F2ECB">
        <w:rPr>
          <w:sz w:val="24"/>
          <w:lang w:val="hr-HR"/>
        </w:rPr>
        <w:t xml:space="preserve"> </w:t>
      </w:r>
      <w:r w:rsidR="001F2ECB" w:rsidRPr="001F2ECB">
        <w:rPr>
          <w:sz w:val="24"/>
          <w:lang w:val="hr-HR"/>
        </w:rPr>
        <w:tab/>
      </w:r>
      <w:r w:rsidRPr="001F2ECB">
        <w:rPr>
          <w:sz w:val="24"/>
          <w:lang w:val="hr-HR"/>
        </w:rPr>
        <w:t>SL C 385, 22.9.2021., str. 152.</w:t>
      </w:r>
    </w:p>
  </w:footnote>
  <w:footnote w:id="13">
    <w:p w:rsidR="00102B86" w:rsidRPr="001F2ECB" w:rsidRDefault="00102B86" w:rsidP="001F2ECB">
      <w:pPr>
        <w:pStyle w:val="FootnoteText"/>
        <w:ind w:left="567" w:hanging="567"/>
        <w:rPr>
          <w:sz w:val="24"/>
          <w:lang w:val="hr-HR"/>
        </w:rPr>
      </w:pPr>
      <w:r w:rsidRPr="001F2ECB">
        <w:rPr>
          <w:rStyle w:val="FootnoteReference"/>
          <w:sz w:val="24"/>
          <w:lang w:val="hr-HR"/>
        </w:rPr>
        <w:footnoteRef/>
      </w:r>
      <w:r w:rsidR="001F2ECB" w:rsidRPr="001F2ECB">
        <w:rPr>
          <w:sz w:val="24"/>
          <w:lang w:val="hr-HR"/>
        </w:rPr>
        <w:t xml:space="preserve"> </w:t>
      </w:r>
      <w:r w:rsidR="001F2ECB" w:rsidRPr="001F2ECB">
        <w:rPr>
          <w:sz w:val="24"/>
          <w:lang w:val="hr-HR"/>
        </w:rPr>
        <w:tab/>
      </w:r>
      <w:r w:rsidRPr="001F2ECB">
        <w:rPr>
          <w:sz w:val="24"/>
          <w:lang w:val="hr-HR"/>
        </w:rPr>
        <w:t>https://ec.europa.eu/eurostat/web/products-eurostat-news/w/ddn-20230309-2.</w:t>
      </w:r>
    </w:p>
  </w:footnote>
  <w:footnote w:id="14">
    <w:p w:rsidR="00102B86" w:rsidRPr="001F2ECB" w:rsidRDefault="00102B86" w:rsidP="001F2ECB">
      <w:pPr>
        <w:pStyle w:val="FootnoteText"/>
        <w:ind w:left="567" w:hanging="567"/>
        <w:rPr>
          <w:sz w:val="24"/>
          <w:lang w:val="hr-HR"/>
        </w:rPr>
      </w:pPr>
      <w:r w:rsidRPr="001F2ECB">
        <w:rPr>
          <w:rStyle w:val="FootnoteReference"/>
          <w:sz w:val="24"/>
          <w:lang w:val="hr-HR"/>
        </w:rPr>
        <w:footnoteRef/>
      </w:r>
      <w:r w:rsidR="001F2ECB" w:rsidRPr="001F2ECB">
        <w:rPr>
          <w:sz w:val="24"/>
          <w:lang w:val="hr-HR"/>
        </w:rPr>
        <w:t xml:space="preserve"> </w:t>
      </w:r>
      <w:r w:rsidR="001F2ECB" w:rsidRPr="001F2ECB">
        <w:rPr>
          <w:sz w:val="24"/>
          <w:lang w:val="hr-HR"/>
        </w:rPr>
        <w:tab/>
      </w:r>
      <w:r w:rsidRPr="001F2ECB">
        <w:rPr>
          <w:sz w:val="24"/>
          <w:lang w:val="hr-HR"/>
        </w:rPr>
        <w:t xml:space="preserve">Uredba (EU) 2016/679 Europskog parlamenta i Vijeća od 27. travnja 2016. o zaštiti pojedinaca u vezi s obradom osobnih podataka i o slobodnom kretanju takvih podataka te o stavljanju izvan snage Direktive 95/46/EZ. </w:t>
      </w:r>
      <w:r w:rsidR="00282BE1">
        <w:rPr>
          <w:sz w:val="24"/>
          <w:lang w:val="hr-HR"/>
        </w:rPr>
        <w:t>(</w:t>
      </w:r>
      <w:r w:rsidRPr="001F2ECB">
        <w:rPr>
          <w:sz w:val="24"/>
          <w:lang w:val="hr-HR"/>
        </w:rPr>
        <w:t>SL L 119, 4.5.2016., str. 1.</w:t>
      </w:r>
      <w:r w:rsidR="00282BE1">
        <w:rPr>
          <w:sz w:val="24"/>
          <w:lang w:val="hr-HR"/>
        </w:rPr>
        <w:t>).</w:t>
      </w:r>
    </w:p>
  </w:footnote>
  <w:footnote w:id="15">
    <w:p w:rsidR="00102B86" w:rsidRPr="001F2ECB" w:rsidRDefault="00102B86" w:rsidP="001F2ECB">
      <w:pPr>
        <w:pStyle w:val="FootnoteText"/>
        <w:ind w:left="567" w:hanging="567"/>
        <w:rPr>
          <w:sz w:val="24"/>
          <w:lang w:val="hr-HR"/>
        </w:rPr>
      </w:pPr>
      <w:r w:rsidRPr="001F2ECB">
        <w:rPr>
          <w:rStyle w:val="FootnoteReference"/>
          <w:sz w:val="24"/>
          <w:lang w:val="hr-HR"/>
        </w:rPr>
        <w:footnoteRef/>
      </w:r>
      <w:r w:rsidR="001F2ECB" w:rsidRPr="001F2ECB">
        <w:rPr>
          <w:sz w:val="24"/>
          <w:lang w:val="hr-HR"/>
        </w:rPr>
        <w:t xml:space="preserve"> </w:t>
      </w:r>
      <w:r w:rsidR="001F2ECB" w:rsidRPr="001F2ECB">
        <w:rPr>
          <w:sz w:val="24"/>
          <w:lang w:val="hr-HR"/>
        </w:rPr>
        <w:tab/>
      </w:r>
      <w:r w:rsidRPr="001F2ECB">
        <w:rPr>
          <w:sz w:val="24"/>
          <w:lang w:val="hr-HR"/>
        </w:rPr>
        <w:t xml:space="preserve">Direktiva 2010/13/EU Europskog parlamenta i Vijeća od 10. ožujka 2010. o koordinaciji određenih odredaba utvrđenih zakonima i drugim propisima u državama članicama o pružanju audiovizualnih medijskih usluga (Direktiva o audiovizualnim medijskim uslugama) </w:t>
      </w:r>
      <w:r w:rsidR="00282BE1">
        <w:rPr>
          <w:sz w:val="24"/>
          <w:lang w:val="hr-HR"/>
        </w:rPr>
        <w:t>(</w:t>
      </w:r>
      <w:r w:rsidRPr="001F2ECB">
        <w:rPr>
          <w:sz w:val="24"/>
          <w:lang w:val="hr-HR"/>
        </w:rPr>
        <w:t>SL L 95, 15.4.2010., str. 1.</w:t>
      </w:r>
      <w:r w:rsidR="00282BE1">
        <w:rPr>
          <w:sz w:val="24"/>
          <w:lang w:val="hr-HR"/>
        </w:rPr>
        <w:t>).</w:t>
      </w:r>
    </w:p>
  </w:footnote>
  <w:footnote w:id="16">
    <w:p w:rsidR="00102B86" w:rsidRPr="001F2ECB" w:rsidRDefault="00102B86" w:rsidP="001F2ECB">
      <w:pPr>
        <w:pStyle w:val="FootnoteText"/>
        <w:ind w:left="567" w:hanging="567"/>
        <w:rPr>
          <w:sz w:val="24"/>
          <w:lang w:val="hr-HR"/>
        </w:rPr>
      </w:pPr>
      <w:r w:rsidRPr="001F2ECB">
        <w:rPr>
          <w:rStyle w:val="FootnoteReference"/>
          <w:sz w:val="24"/>
          <w:lang w:val="hr-HR"/>
        </w:rPr>
        <w:footnoteRef/>
      </w:r>
      <w:r w:rsidR="001F2ECB" w:rsidRPr="001F2ECB">
        <w:rPr>
          <w:sz w:val="24"/>
          <w:lang w:val="hr-HR"/>
        </w:rPr>
        <w:t xml:space="preserve"> </w:t>
      </w:r>
      <w:r w:rsidR="001F2ECB" w:rsidRPr="001F2ECB">
        <w:rPr>
          <w:sz w:val="24"/>
          <w:lang w:val="hr-HR"/>
        </w:rPr>
        <w:tab/>
      </w:r>
      <w:r w:rsidRPr="001F2ECB">
        <w:rPr>
          <w:sz w:val="24"/>
          <w:lang w:val="hr-HR"/>
        </w:rPr>
        <w:t>Članak 8. Uredbe (EU) 2021/818 o uspostavi programa Kreativna Europa (2021. – 2027.).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2EC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2EC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2EC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5/2023"/>
    <w:docVar w:name="dvlangue" w:val="HR"/>
    <w:docVar w:name="dvnumam" w:val="0"/>
    <w:docVar w:name="dvpe" w:val="750.020"/>
    <w:docVar w:name="dvrapporteur" w:val="Izvjestitelj: "/>
    <w:docVar w:name="dvtitre" w:val="Rezolucija Europskog parlamenta od .... 2024. o provedbi programa Kreativna Europa za razdoblje 2021. – 2027.(2023/2003(INI))"/>
  </w:docVars>
  <w:rsids>
    <w:rsidRoot w:val="00532CA9"/>
    <w:rsid w:val="00002272"/>
    <w:rsid w:val="00064002"/>
    <w:rsid w:val="000677B9"/>
    <w:rsid w:val="000831BA"/>
    <w:rsid w:val="000A42CC"/>
    <w:rsid w:val="000E7DD9"/>
    <w:rsid w:val="0010095E"/>
    <w:rsid w:val="00102B86"/>
    <w:rsid w:val="00125B37"/>
    <w:rsid w:val="00187494"/>
    <w:rsid w:val="001F2ECB"/>
    <w:rsid w:val="001F32AE"/>
    <w:rsid w:val="002767FF"/>
    <w:rsid w:val="00282BE1"/>
    <w:rsid w:val="002B18FE"/>
    <w:rsid w:val="002B5493"/>
    <w:rsid w:val="00343214"/>
    <w:rsid w:val="00361C00"/>
    <w:rsid w:val="00395FA1"/>
    <w:rsid w:val="003E15D4"/>
    <w:rsid w:val="003E437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CA9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81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59F6A"/>
  <w15:chartTrackingRefBased/>
  <w15:docId w15:val="{58A60752-3619-4FB5-A70C-C2FDE1E1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N Footnote Reference,EN Footnote text,Exposant 3 Point,Footnote,Footnote Reference Number,Footnote Reference_LVL6,Footnote Reference_LVL61,Footnote reference number,Footnote symbol,R,Ref,SUPERS,Times 10 Point,de nota al pie,note TESI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02B86"/>
    <w:pPr>
      <w:spacing w:after="240"/>
      <w:ind w:left="567" w:hanging="567"/>
    </w:pPr>
  </w:style>
  <w:style w:type="paragraph" w:customStyle="1" w:styleId="EPComma">
    <w:name w:val="EPComma"/>
    <w:basedOn w:val="Normal"/>
    <w:rsid w:val="00102B86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CFFDD-6D8D-4C5B-8496-327C0BFBE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4577</Words>
  <Characters>28607</Characters>
  <Application>Microsoft Office Word</Application>
  <DocSecurity>0</DocSecurity>
  <Lines>238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BULJAN Jakov</cp:lastModifiedBy>
  <cp:revision>2</cp:revision>
  <cp:lastPrinted>2004-11-19T15:42:00Z</cp:lastPrinted>
  <dcterms:created xsi:type="dcterms:W3CDTF">2024-02-15T07:51:00Z</dcterms:created>
  <dcterms:modified xsi:type="dcterms:W3CDTF">2024-02-15T07:51:00Z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A9-0425/2023</vt:lpwstr>
  </property>
  <property fmtid="{D5CDD505-2E9C-101B-9397-08002B2CF9AE}" pid="4" name="&lt;Type&gt;">
    <vt:lpwstr>RR</vt:lpwstr>
  </property>
</Properties>
</file>