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F0CE3" w:rsidTr="0010095E">
        <w:trPr>
          <w:trHeight w:hRule="exact" w:val="1418"/>
        </w:trPr>
        <w:tc>
          <w:tcPr>
            <w:tcW w:w="6804" w:type="dxa"/>
            <w:shd w:val="clear" w:color="auto" w:fill="auto"/>
            <w:vAlign w:val="center"/>
          </w:tcPr>
          <w:p w:rsidR="00751A4A" w:rsidRPr="000F0CE3" w:rsidRDefault="003F0447" w:rsidP="0010095E">
            <w:pPr>
              <w:pStyle w:val="EPName"/>
            </w:pPr>
            <w:r w:rsidRPr="000F0CE3">
              <w:t>Europos Parlamentas</w:t>
            </w:r>
            <w:bookmarkStart w:id="0" w:name="_GoBack"/>
            <w:bookmarkEnd w:id="0"/>
          </w:p>
          <w:p w:rsidR="00751A4A" w:rsidRPr="000F0CE3" w:rsidRDefault="00817416" w:rsidP="00756632">
            <w:pPr>
              <w:pStyle w:val="EPTerm"/>
              <w:rPr>
                <w:rStyle w:val="HideTWBExt"/>
                <w:noProof w:val="0"/>
                <w:vanish w:val="0"/>
                <w:color w:val="auto"/>
              </w:rPr>
            </w:pPr>
            <w:r w:rsidRPr="000F0CE3">
              <w:t>2019-2024</w:t>
            </w:r>
          </w:p>
        </w:tc>
        <w:tc>
          <w:tcPr>
            <w:tcW w:w="2268" w:type="dxa"/>
            <w:shd w:val="clear" w:color="auto" w:fill="auto"/>
          </w:tcPr>
          <w:p w:rsidR="00751A4A" w:rsidRPr="000F0CE3" w:rsidRDefault="00187494" w:rsidP="0010095E">
            <w:pPr>
              <w:pStyle w:val="EPLogo"/>
            </w:pPr>
            <w:r w:rsidRPr="000F0CE3">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0F0CE3" w:rsidRDefault="00D058B8" w:rsidP="004C5D52">
      <w:pPr>
        <w:pStyle w:val="LineTop"/>
      </w:pPr>
    </w:p>
    <w:p w:rsidR="00680577" w:rsidRPr="000F0CE3" w:rsidRDefault="003F0447" w:rsidP="00680577">
      <w:pPr>
        <w:pStyle w:val="EPBodyTA1"/>
      </w:pPr>
      <w:r w:rsidRPr="000F0CE3">
        <w:t>PRIIMTI TEKSTAI</w:t>
      </w:r>
    </w:p>
    <w:p w:rsidR="00D058B8" w:rsidRPr="000F0CE3" w:rsidRDefault="00D058B8" w:rsidP="00D058B8">
      <w:pPr>
        <w:pStyle w:val="LineBottom"/>
      </w:pPr>
    </w:p>
    <w:p w:rsidR="003F0447" w:rsidRPr="000F0CE3" w:rsidRDefault="003F0447" w:rsidP="003F0447">
      <w:pPr>
        <w:pStyle w:val="ATHeading1"/>
      </w:pPr>
      <w:bookmarkStart w:id="1" w:name="TANumber"/>
      <w:r w:rsidRPr="000F0CE3">
        <w:t>P9_TA(2024)000</w:t>
      </w:r>
      <w:r w:rsidR="001D097C">
        <w:t>8</w:t>
      </w:r>
      <w:bookmarkEnd w:id="1"/>
    </w:p>
    <w:p w:rsidR="003F0447" w:rsidRPr="000F0CE3" w:rsidRDefault="003F0447" w:rsidP="003F0447">
      <w:pPr>
        <w:pStyle w:val="ATHeading2"/>
      </w:pPr>
      <w:bookmarkStart w:id="2" w:name="title"/>
      <w:r w:rsidRPr="000F0CE3">
        <w:t>2021–2027 m. programos „Kūrybiška Europa“ įgyvendinimas</w:t>
      </w:r>
      <w:bookmarkEnd w:id="2"/>
    </w:p>
    <w:p w:rsidR="003F0447" w:rsidRPr="000F0CE3" w:rsidRDefault="003F0447" w:rsidP="003F0447">
      <w:pPr>
        <w:rPr>
          <w:i/>
          <w:vanish/>
        </w:rPr>
      </w:pPr>
      <w:r w:rsidRPr="000F0CE3">
        <w:rPr>
          <w:i/>
        </w:rPr>
        <w:fldChar w:fldCharType="begin"/>
      </w:r>
      <w:r w:rsidRPr="000F0CE3">
        <w:rPr>
          <w:i/>
        </w:rPr>
        <w:instrText xml:space="preserve"> TC"(</w:instrText>
      </w:r>
      <w:bookmarkStart w:id="3" w:name="DocNumber"/>
      <w:r w:rsidRPr="000F0CE3">
        <w:rPr>
          <w:i/>
        </w:rPr>
        <w:instrText>A9-0425/2023</w:instrText>
      </w:r>
      <w:bookmarkEnd w:id="3"/>
      <w:r w:rsidRPr="000F0CE3">
        <w:rPr>
          <w:i/>
        </w:rPr>
        <w:instrText xml:space="preserve"> - Pranešėjas: Massimiliano Smeriglio)"\l3 \n&gt; \* MERGEFORMAT </w:instrText>
      </w:r>
      <w:r w:rsidRPr="000F0CE3">
        <w:rPr>
          <w:i/>
        </w:rPr>
        <w:fldChar w:fldCharType="end"/>
      </w:r>
    </w:p>
    <w:p w:rsidR="003F0447" w:rsidRPr="000F0CE3" w:rsidRDefault="003F0447" w:rsidP="003F0447">
      <w:pPr>
        <w:rPr>
          <w:vanish/>
        </w:rPr>
      </w:pPr>
      <w:bookmarkStart w:id="4" w:name="Commission"/>
      <w:r w:rsidRPr="000F0CE3">
        <w:rPr>
          <w:vanish/>
        </w:rPr>
        <w:t>Kultūros ir švietimo komitetas</w:t>
      </w:r>
      <w:bookmarkEnd w:id="4"/>
    </w:p>
    <w:p w:rsidR="003F0447" w:rsidRPr="000F0CE3" w:rsidRDefault="003F0447" w:rsidP="003F0447">
      <w:pPr>
        <w:rPr>
          <w:vanish/>
        </w:rPr>
      </w:pPr>
      <w:bookmarkStart w:id="5" w:name="PE"/>
      <w:r w:rsidRPr="000F0CE3">
        <w:rPr>
          <w:vanish/>
        </w:rPr>
        <w:t>PE750.020</w:t>
      </w:r>
      <w:bookmarkEnd w:id="5"/>
    </w:p>
    <w:p w:rsidR="003F0447" w:rsidRPr="000F0CE3" w:rsidRDefault="00E04F82" w:rsidP="001D097C">
      <w:pPr>
        <w:pStyle w:val="ATHeading3"/>
      </w:pPr>
      <w:bookmarkStart w:id="6" w:name="Sujet"/>
      <w:r>
        <w:t xml:space="preserve">2024 m. sausio </w:t>
      </w:r>
      <w:r w:rsidR="00794A00">
        <w:t>16</w:t>
      </w:r>
      <w:r>
        <w:t xml:space="preserve"> d. E</w:t>
      </w:r>
      <w:r w:rsidR="003F0447" w:rsidRPr="000F0CE3">
        <w:t>uropos Parlamento rezoliucija dėl 2021–2027 m. programos „Kūrybiška Europa“ įgyvendinimo</w:t>
      </w:r>
      <w:bookmarkEnd w:id="6"/>
      <w:r w:rsidR="003F0447" w:rsidRPr="000F0CE3">
        <w:t xml:space="preserve"> </w:t>
      </w:r>
      <w:bookmarkStart w:id="7" w:name="References"/>
      <w:r w:rsidR="003F0447" w:rsidRPr="000F0CE3">
        <w:t>(2023/2003(INI))</w:t>
      </w:r>
      <w:bookmarkEnd w:id="7"/>
    </w:p>
    <w:p w:rsidR="00F80879" w:rsidRPr="000F0CE3" w:rsidRDefault="00F80879" w:rsidP="00F80879">
      <w:pPr>
        <w:pStyle w:val="EPComma"/>
      </w:pPr>
      <w:bookmarkStart w:id="8" w:name="TextBodyBegin"/>
      <w:bookmarkEnd w:id="8"/>
      <w:r w:rsidRPr="000F0CE3">
        <w:rPr>
          <w:i/>
        </w:rPr>
        <w:t>Europos Parlamentas</w:t>
      </w:r>
      <w:r w:rsidRPr="000F0CE3">
        <w:t>,</w:t>
      </w:r>
    </w:p>
    <w:p w:rsidR="00F80879" w:rsidRPr="000F0CE3" w:rsidRDefault="00F80879" w:rsidP="00F80879">
      <w:pPr>
        <w:pStyle w:val="NormalHanging12a"/>
      </w:pPr>
      <w:r w:rsidRPr="000F0CE3">
        <w:t>–</w:t>
      </w:r>
      <w:r w:rsidRPr="000F0CE3">
        <w:tab/>
        <w:t>atsižvelgdamas į Sutartį dėl Europos Sąjungos veikimo, ypač į jos 167 straipsnį, 173 straipsnio 3 dalį ir 294 straipsnio 7 dalį,</w:t>
      </w:r>
    </w:p>
    <w:p w:rsidR="00F80879" w:rsidRPr="000F0CE3" w:rsidRDefault="00F80879" w:rsidP="00F80879">
      <w:pPr>
        <w:pStyle w:val="NormalHanging12a"/>
      </w:pPr>
      <w:r w:rsidRPr="000F0CE3">
        <w:t>–</w:t>
      </w:r>
      <w:r w:rsidRPr="000F0CE3">
        <w:tab/>
        <w:t xml:space="preserve">atsižvelgdamas į 2021 m. gegužės 20 d. Europos Parlamento ir Tarybos reglamentą (ES) </w:t>
      </w:r>
      <w:r w:rsidRPr="001D54D6">
        <w:t>2021/818,</w:t>
      </w:r>
      <w:r w:rsidRPr="000F0CE3">
        <w:t xml:space="preserve"> kuriuo nustatoma 2021–2027 m. programa „Kūrybiška Europa“</w:t>
      </w:r>
      <w:r w:rsidRPr="000F0CE3">
        <w:rPr>
          <w:rStyle w:val="FootnoteReference"/>
        </w:rPr>
        <w:footnoteReference w:id="1"/>
      </w:r>
      <w:r w:rsidRPr="000F0CE3">
        <w:t>,</w:t>
      </w:r>
    </w:p>
    <w:p w:rsidR="00F80879" w:rsidRPr="000F0CE3" w:rsidRDefault="00F80879" w:rsidP="00F80879">
      <w:pPr>
        <w:pStyle w:val="NormalHanging12a"/>
      </w:pPr>
      <w:r w:rsidRPr="000F0CE3">
        <w:t>–</w:t>
      </w:r>
      <w:r w:rsidRPr="000F0CE3">
        <w:tab/>
        <w:t>atsižvelgdamas į 2013 m. gruodžio 11 d. Europos Parlamento ir Tarybos reglamentą (ES) Nr. 1295/2013, kuriuo sukuriama programa „Kūrybiška Europa“ (2014–2020 m.)</w:t>
      </w:r>
      <w:r w:rsidRPr="000F0CE3">
        <w:rPr>
          <w:rStyle w:val="FootnoteReference"/>
          <w:color w:val="000000"/>
          <w:szCs w:val="24"/>
        </w:rPr>
        <w:footnoteReference w:id="2"/>
      </w:r>
      <w:r w:rsidRPr="000F0CE3">
        <w:t>,</w:t>
      </w:r>
    </w:p>
    <w:p w:rsidR="00F80879" w:rsidRPr="000F0CE3" w:rsidRDefault="00F80879" w:rsidP="00F80879">
      <w:pPr>
        <w:pStyle w:val="NormalHanging12a"/>
      </w:pPr>
      <w:r w:rsidRPr="000F0CE3">
        <w:t>–</w:t>
      </w:r>
      <w:r w:rsidRPr="000F0CE3">
        <w:tab/>
        <w:t>atsižvelgdamas į 2018 m. gegužės 5 d. Komisijos pasiūlymą dėl Europos Parlamento ir Tarybos reglamento, kuriuo sukuriama 2021–2027 m. programa „Kūrybiška Europa“ ir kuriuo panaikinamas Reglamentas (ES)</w:t>
      </w:r>
      <w:r w:rsidR="001D54D6">
        <w:t xml:space="preserve"> </w:t>
      </w:r>
      <w:r w:rsidRPr="000F0CE3">
        <w:t>Nr. 1295/2013</w:t>
      </w:r>
      <w:r w:rsidR="001D54D6">
        <w:t xml:space="preserve"> </w:t>
      </w:r>
      <w:r w:rsidRPr="000F0CE3">
        <w:t>(COM(2018)0366),</w:t>
      </w:r>
    </w:p>
    <w:p w:rsidR="00F80879" w:rsidRPr="000F0CE3" w:rsidRDefault="00F80879" w:rsidP="00F80879">
      <w:pPr>
        <w:pStyle w:val="NormalHanging12a"/>
      </w:pPr>
      <w:r w:rsidRPr="000F0CE3">
        <w:t>–</w:t>
      </w:r>
      <w:r w:rsidRPr="000F0CE3">
        <w:tab/>
        <w:t>atsižvelgdamas į savo 2019 m. kovo 28 d. per pirmąjį svarstymą priimtą poziciją dėl pasiūlymo dėl Europos Parlamento ir Tarybos reglamento, kuriuo sukuriama 2021–2027 m. programa „Kūrybiška Europa“ ir kuriuo panaikinamas Reglamentas (ES) Nr. 1295/2013</w:t>
      </w:r>
      <w:r w:rsidRPr="000F0CE3">
        <w:rPr>
          <w:rStyle w:val="FootnoteReference"/>
          <w:color w:val="000000"/>
        </w:rPr>
        <w:footnoteReference w:id="3"/>
      </w:r>
      <w:r w:rsidRPr="000F0CE3">
        <w:t>,</w:t>
      </w:r>
    </w:p>
    <w:p w:rsidR="00F80879" w:rsidRPr="000F0CE3" w:rsidRDefault="00F80879" w:rsidP="00F80879">
      <w:pPr>
        <w:pStyle w:val="NormalHanging12a"/>
      </w:pPr>
      <w:r w:rsidRPr="000F0CE3">
        <w:t>–</w:t>
      </w:r>
      <w:r w:rsidRPr="000F0CE3">
        <w:tab/>
        <w:t>atsižvelgdamas į 2018 m. gruodžio 12 d. Europos ekonomikos ir socialinių reikalų komi</w:t>
      </w:r>
      <w:r w:rsidRPr="000F0CE3">
        <w:lastRenderedPageBreak/>
        <w:t>teto nuomonę dėl pasiūlymo dėl Europos Parlamento ir Tarybos reglamento, kuriuo sukuriama 2021–2027 m. programa „Kūrybiška Europa“ ir kuriuo panaikinamas Reglamentas (ES) Nr. 1295/2013</w:t>
      </w:r>
      <w:r w:rsidRPr="000F0CE3">
        <w:rPr>
          <w:rStyle w:val="FootnoteReference"/>
        </w:rPr>
        <w:footnoteReference w:id="4"/>
      </w:r>
      <w:r w:rsidRPr="000F0CE3">
        <w:t>,</w:t>
      </w:r>
    </w:p>
    <w:p w:rsidR="00F80879" w:rsidRPr="000F0CE3" w:rsidRDefault="00F80879" w:rsidP="00F80879">
      <w:pPr>
        <w:pStyle w:val="NormalHanging12a"/>
      </w:pPr>
      <w:r w:rsidRPr="000F0CE3">
        <w:t>–</w:t>
      </w:r>
      <w:r w:rsidRPr="000F0CE3">
        <w:tab/>
        <w:t>atsižvelgdamas į 2019 m. vasario 6 d. Europos regionų komiteto nuomonę „Kūrybiška Europa ir Naujoji Europos kultūros darbotvarkė“</w:t>
      </w:r>
      <w:r w:rsidRPr="000F0CE3">
        <w:rPr>
          <w:rStyle w:val="FootnoteReference"/>
          <w:color w:val="000000"/>
          <w:szCs w:val="24"/>
        </w:rPr>
        <w:footnoteReference w:id="5"/>
      </w:r>
      <w:r w:rsidRPr="000F0CE3">
        <w:t>,</w:t>
      </w:r>
    </w:p>
    <w:p w:rsidR="00F80879" w:rsidRPr="000F0CE3" w:rsidRDefault="00F80879" w:rsidP="00F80879">
      <w:pPr>
        <w:pStyle w:val="NormalHanging12a"/>
      </w:pPr>
      <w:r w:rsidRPr="000F0CE3">
        <w:t>–</w:t>
      </w:r>
      <w:r w:rsidRPr="000F0CE3">
        <w:tab/>
        <w:t>atsižvelgdamas į 2018 m. balandžio 30 d. Komisijos ataskaitą „Programos „Kūrybiška Europa“ (2014–2020 m.) laikotarpio vidurio vertinimas“ (COM(2018)0248),</w:t>
      </w:r>
    </w:p>
    <w:p w:rsidR="00F80879" w:rsidRPr="000F0CE3" w:rsidRDefault="00F80879" w:rsidP="00F80879">
      <w:pPr>
        <w:pStyle w:val="NormalHanging12a"/>
      </w:pPr>
      <w:r w:rsidRPr="000F0CE3">
        <w:t>–</w:t>
      </w:r>
      <w:r w:rsidRPr="000F0CE3">
        <w:tab/>
        <w:t>atsižvelgdamas į 2023 m. birželio 5 d. Komisijos įgyvendinimo sprendimą C(2023)3227, kuriuo iš dalies keičiamas Įgyvendinimo sprendimas C(2021)3563 dėl programos „Kūrybiška Europa“ finansavimo 2021–2025 m. laikotarpiu ir dėl 2021, 2022 ir 2023 m. darbo programų priėmimo,</w:t>
      </w:r>
    </w:p>
    <w:p w:rsidR="00F80879" w:rsidRPr="000F0CE3" w:rsidRDefault="00F80879" w:rsidP="00F80879">
      <w:pPr>
        <w:pStyle w:val="NormalHanging12a"/>
      </w:pPr>
      <w:r w:rsidRPr="000F0CE3">
        <w:t>–</w:t>
      </w:r>
      <w:r w:rsidRPr="000F0CE3">
        <w:tab/>
        <w:t>atsižvelgdamas į 2022 m. rugpjūčio 31 d. Komisijos įgyvendinimo sprendimą C(2022)6138, kuriuo iš dalies keičiamas Įgyvendinimo sprendimas C(2021)3563 dėl programos „Kūrybiška Europa“ finansavimo 2021–2023 m. laikotarpiu ir 2021 bei 2022 m. darbo programų priėmimo,</w:t>
      </w:r>
    </w:p>
    <w:p w:rsidR="00F80879" w:rsidRPr="000F0CE3" w:rsidRDefault="00F80879" w:rsidP="00F80879">
      <w:pPr>
        <w:pStyle w:val="NormalHanging12a"/>
      </w:pPr>
      <w:r w:rsidRPr="000F0CE3">
        <w:t>–</w:t>
      </w:r>
      <w:r w:rsidRPr="000F0CE3">
        <w:tab/>
        <w:t>atsižvelgdamas į 2021 m. gegužės 26 d. Komisijos įgyvendinimo sprendimą C(2021)3563 dėl programos „Kūrybiška Europa“ įgyvendinimo 2021 m. darbo programos priėmimo,</w:t>
      </w:r>
    </w:p>
    <w:p w:rsidR="00F80879" w:rsidRPr="000F0CE3" w:rsidRDefault="00F80879" w:rsidP="00F80879">
      <w:pPr>
        <w:pStyle w:val="NormalHanging12a"/>
      </w:pPr>
      <w:r w:rsidRPr="000F0CE3">
        <w:t>–</w:t>
      </w:r>
      <w:r w:rsidRPr="000F0CE3">
        <w:tab/>
        <w:t>atsižvelgdamas į 2022 m. Komisijos metinę programos „Kūrybiška Europa“ įgyvendinimo darbo programą,</w:t>
      </w:r>
    </w:p>
    <w:p w:rsidR="00F80879" w:rsidRPr="000F0CE3" w:rsidRDefault="00F80879" w:rsidP="00F80879">
      <w:pPr>
        <w:pStyle w:val="NormalHanging12a"/>
      </w:pPr>
      <w:r w:rsidRPr="000F0CE3">
        <w:t>–</w:t>
      </w:r>
      <w:r w:rsidRPr="000F0CE3">
        <w:tab/>
        <w:t>atsižvelgdamas į 2021 m. Komisijos metinę programos „Kūrybiška Europa“ įgyvendinimo darbo programą,</w:t>
      </w:r>
    </w:p>
    <w:p w:rsidR="00F80879" w:rsidRPr="000F0CE3" w:rsidRDefault="00F80879" w:rsidP="00F80879">
      <w:pPr>
        <w:pStyle w:val="NormalHanging12a"/>
      </w:pPr>
      <w:r w:rsidRPr="000F0CE3">
        <w:t>–</w:t>
      </w:r>
      <w:r w:rsidRPr="000F0CE3">
        <w:tab/>
        <w:t>atsižvelgdamas į 2023 m. liepos 11 d. Komisijos komunikatą pavadinimu „ES ketvirtosios kartos saityno ir virtualiųjų pasaulių iniciatyva: gera naujos technologinės pertvarkos pradžia“ (COM(2023)0442),</w:t>
      </w:r>
    </w:p>
    <w:p w:rsidR="00F80879" w:rsidRPr="000F0CE3" w:rsidRDefault="00F80879" w:rsidP="00F80879">
      <w:pPr>
        <w:pStyle w:val="NormalHanging12a"/>
      </w:pPr>
      <w:r w:rsidRPr="000F0CE3">
        <w:t>–</w:t>
      </w:r>
      <w:r w:rsidRPr="000F0CE3">
        <w:tab/>
        <w:t>atsižvelgdamas į 2020 m. gruodžio 3 d. Komisijos komunikatą „Europos žiniasklaida skaitmeniniame dešimtmetyje: gaivinimo ir transformacijos rėmimo veiksmų planas“ (COM(2020)0784),</w:t>
      </w:r>
    </w:p>
    <w:p w:rsidR="00F80879" w:rsidRPr="000F0CE3" w:rsidRDefault="00F80879" w:rsidP="00F80879">
      <w:pPr>
        <w:pStyle w:val="NormalHanging12a"/>
      </w:pPr>
      <w:r w:rsidRPr="000F0CE3">
        <w:t>–</w:t>
      </w:r>
      <w:r w:rsidRPr="000F0CE3">
        <w:tab/>
        <w:t xml:space="preserve">atsižvelgdamas į 2018 m. gegužės 22 d. Komisijos komunikatą „Nauja Europos kultūros </w:t>
      </w:r>
      <w:r w:rsidRPr="000F0CE3">
        <w:lastRenderedPageBreak/>
        <w:t>darbotvarkė“ (COM(2018)0267),</w:t>
      </w:r>
    </w:p>
    <w:p w:rsidR="00F80879" w:rsidRPr="000F0CE3" w:rsidRDefault="00F80879" w:rsidP="00F80879">
      <w:pPr>
        <w:pStyle w:val="NormalHanging12a"/>
      </w:pPr>
      <w:r w:rsidRPr="000F0CE3">
        <w:t>–</w:t>
      </w:r>
      <w:r w:rsidRPr="000F0CE3">
        <w:tab/>
        <w:t>atsižvelgdamas į 2022 m. gruodžio 7 d. Tarybos rezoliuciją dėl 2023–2026 m. ES darbo plano kultūros srityje</w:t>
      </w:r>
      <w:r w:rsidRPr="000F0CE3">
        <w:rPr>
          <w:rStyle w:val="FootnoteReference"/>
          <w:color w:val="000000"/>
          <w:szCs w:val="24"/>
        </w:rPr>
        <w:footnoteReference w:id="6"/>
      </w:r>
      <w:r w:rsidRPr="000F0CE3">
        <w:t>,</w:t>
      </w:r>
    </w:p>
    <w:p w:rsidR="00F80879" w:rsidRPr="000F0CE3" w:rsidRDefault="00F80879" w:rsidP="00F80879">
      <w:pPr>
        <w:pStyle w:val="NormalHanging12a"/>
      </w:pPr>
      <w:r w:rsidRPr="000F0CE3">
        <w:t>–</w:t>
      </w:r>
      <w:r w:rsidRPr="000F0CE3">
        <w:tab/>
        <w:t>atsižvelgdamas į savo 2023 m. rugsėjo 14 d. rezoliuciją dėl Europos socialinio fondo ateities</w:t>
      </w:r>
      <w:r w:rsidRPr="000F0CE3">
        <w:rPr>
          <w:rStyle w:val="FootnoteReference"/>
        </w:rPr>
        <w:footnoteReference w:id="7"/>
      </w:r>
      <w:r w:rsidRPr="000F0CE3">
        <w:t>,</w:t>
      </w:r>
    </w:p>
    <w:p w:rsidR="00F80879" w:rsidRPr="000F0CE3" w:rsidRDefault="00F80879" w:rsidP="00F80879">
      <w:pPr>
        <w:pStyle w:val="NormalHanging12a"/>
      </w:pPr>
      <w:r w:rsidRPr="000F0CE3">
        <w:t>–</w:t>
      </w:r>
      <w:r w:rsidRPr="000F0CE3">
        <w:tab/>
        <w:t>atsižvelgdamas į savo 2022 m. gruodžio 14 d. rezoliuciją dėl Naujosios Europos kultūros darbotvarkės ir ES tarptautinių kultūrinių ryšių strategijos įgyvendinimo</w:t>
      </w:r>
      <w:r w:rsidRPr="000F0CE3">
        <w:rPr>
          <w:rStyle w:val="FootnoteReference"/>
          <w:color w:val="000000"/>
          <w:szCs w:val="24"/>
        </w:rPr>
        <w:footnoteReference w:id="8"/>
      </w:r>
      <w:r w:rsidRPr="000F0CE3">
        <w:t>,</w:t>
      </w:r>
    </w:p>
    <w:p w:rsidR="00F80879" w:rsidRPr="000F0CE3" w:rsidRDefault="00F80879" w:rsidP="00F80879">
      <w:pPr>
        <w:pStyle w:val="NormalHanging12a"/>
      </w:pPr>
      <w:r w:rsidRPr="000F0CE3">
        <w:t>–</w:t>
      </w:r>
      <w:r w:rsidRPr="000F0CE3">
        <w:tab/>
        <w:t>atsižvelgdamas į savo 2021 m. spalio 20 d. rezoliuciją „Europos žiniasklaida skaitmeniniame dešimtmetyje. Gaivinimo ir transformacijos rėmimo veiksmų planas“</w:t>
      </w:r>
      <w:r w:rsidRPr="000F0CE3">
        <w:rPr>
          <w:rStyle w:val="FootnoteReference"/>
          <w:color w:val="000000"/>
          <w:szCs w:val="24"/>
        </w:rPr>
        <w:footnoteReference w:id="9"/>
      </w:r>
      <w:r w:rsidRPr="000F0CE3">
        <w:t>,</w:t>
      </w:r>
    </w:p>
    <w:p w:rsidR="00F80879" w:rsidRPr="000F0CE3" w:rsidRDefault="00F80879" w:rsidP="00F80879">
      <w:pPr>
        <w:pStyle w:val="NormalHanging12a"/>
      </w:pPr>
      <w:r w:rsidRPr="000F0CE3">
        <w:t>–</w:t>
      </w:r>
      <w:r w:rsidRPr="000F0CE3">
        <w:tab/>
        <w:t>atsižvelgdamas į savo 2020 m. balandžio 17 d. rezoliuciją dėl suderintų ES veiksmų kovojant su COVID-19 pandemija ir jos padariniais</w:t>
      </w:r>
      <w:r w:rsidRPr="000F0CE3">
        <w:rPr>
          <w:rStyle w:val="FootnoteReference"/>
          <w:color w:val="000000"/>
          <w:szCs w:val="24"/>
        </w:rPr>
        <w:footnoteReference w:id="10"/>
      </w:r>
      <w:r w:rsidRPr="000F0CE3">
        <w:t>,</w:t>
      </w:r>
    </w:p>
    <w:p w:rsidR="00F80879" w:rsidRPr="000F0CE3" w:rsidRDefault="00F80879" w:rsidP="00F80879">
      <w:pPr>
        <w:pStyle w:val="NormalHanging12a"/>
      </w:pPr>
      <w:r w:rsidRPr="000F0CE3">
        <w:t>–</w:t>
      </w:r>
      <w:r w:rsidRPr="000F0CE3">
        <w:tab/>
        <w:t>atsižvelgdamas į savo 2020 m. rugsėjo 15 d. rezoliuciją dėl veiksmingų programų „Erasmus+“, „Kūrybiška Europa“ ir Europos solidarumo korpuso žalinimo priemonių</w:t>
      </w:r>
      <w:r w:rsidRPr="000F0CE3">
        <w:rPr>
          <w:rStyle w:val="FootnoteReference"/>
        </w:rPr>
        <w:footnoteReference w:id="11"/>
      </w:r>
      <w:r w:rsidRPr="000F0CE3">
        <w:t>,</w:t>
      </w:r>
    </w:p>
    <w:p w:rsidR="00F80879" w:rsidRPr="000F0CE3" w:rsidRDefault="00F80879" w:rsidP="00F80879">
      <w:pPr>
        <w:pStyle w:val="NormalHanging12a"/>
      </w:pPr>
      <w:r w:rsidRPr="000F0CE3">
        <w:t>–</w:t>
      </w:r>
      <w:r w:rsidRPr="000F0CE3">
        <w:tab/>
        <w:t>atsižvelgdamas į savo 2020 m. rugsėjo 17 d. rezoliuciją dėl Europos kultūros gaivinimo</w:t>
      </w:r>
      <w:r w:rsidRPr="000F0CE3">
        <w:rPr>
          <w:rStyle w:val="FootnoteReference"/>
        </w:rPr>
        <w:footnoteReference w:id="12"/>
      </w:r>
      <w:r w:rsidRPr="000F0CE3">
        <w:t xml:space="preserve">, </w:t>
      </w:r>
    </w:p>
    <w:p w:rsidR="00F80879" w:rsidRPr="000F0CE3" w:rsidRDefault="00F80879" w:rsidP="00F80879">
      <w:pPr>
        <w:pStyle w:val="NormalHanging12a"/>
      </w:pPr>
      <w:r w:rsidRPr="000F0CE3">
        <w:t>–</w:t>
      </w:r>
      <w:r w:rsidRPr="000F0CE3">
        <w:tab/>
        <w:t>atsižvelgdamas į Darbo tvarkos taisyklių 54 straipsnį ir 2002 m. gruodžio 12 d. Pirmininkų sueigos sprendimo dėl leidimo rengti pranešimus savo iniciatyva suteikimo tvarkos 1 straipsnio 1 dalies e punktą bei 3 priedą,</w:t>
      </w:r>
    </w:p>
    <w:p w:rsidR="00F80879" w:rsidRPr="000F0CE3" w:rsidRDefault="00F80879" w:rsidP="00F80879">
      <w:pPr>
        <w:pStyle w:val="NormalHanging12a"/>
      </w:pPr>
      <w:r w:rsidRPr="000F0CE3">
        <w:t>–</w:t>
      </w:r>
      <w:r w:rsidRPr="000F0CE3">
        <w:tab/>
        <w:t>atsižvelgdamas į Kultūros ir švietimo komiteto pranešimą (A9-0425/2023),</w:t>
      </w:r>
    </w:p>
    <w:p w:rsidR="00F80879" w:rsidRPr="000F0CE3" w:rsidRDefault="00F80879" w:rsidP="00F80879">
      <w:pPr>
        <w:pStyle w:val="NormalHanging12a"/>
        <w:rPr>
          <w:rFonts w:eastAsiaTheme="minorHAnsi"/>
        </w:rPr>
      </w:pPr>
      <w:r w:rsidRPr="000F0CE3">
        <w:t>A.</w:t>
      </w:r>
      <w:r w:rsidRPr="000F0CE3">
        <w:tab/>
        <w:t xml:space="preserve">kadangi surinkti duomenys patvirtina didelį kultūros ir kūrybos sektorių susidomėjimą programa; kadangi paaiškėjo, kad didesnės bendro finansavimo normos įvairiems veiksmams pagal Kultūros paprogramę ir MEDIA paprogramę yra naudingos remiant kultūros ir kūrybos ekosistemas ir suteikė geresnių galimybių ir mažesniems projektams, ypač </w:t>
      </w:r>
      <w:r w:rsidRPr="000F0CE3">
        <w:lastRenderedPageBreak/>
        <w:t>po pandemijos;</w:t>
      </w:r>
    </w:p>
    <w:p w:rsidR="00F80879" w:rsidRPr="000F0CE3" w:rsidRDefault="00F80879" w:rsidP="00F80879">
      <w:pPr>
        <w:pStyle w:val="NormalHanging12a"/>
        <w:rPr>
          <w:rFonts w:eastAsiaTheme="minorHAnsi"/>
        </w:rPr>
      </w:pPr>
      <w:r w:rsidRPr="000F0CE3">
        <w:t>B.</w:t>
      </w:r>
      <w:r w:rsidRPr="000F0CE3">
        <w:tab/>
        <w:t>kadangi 2021–2027 m. programos „Kūrybiška Europa“ biudžetas, palyginti su ankstesne programa, iš viso padidėjo maždaug 68 proc.; kadangi šis padidėjimas labai nuvertėja dėl nuolat didėjančio infliacijos lygio</w:t>
      </w:r>
      <w:r w:rsidRPr="000F0CE3">
        <w:rPr>
          <w:rStyle w:val="FootnoteReference"/>
          <w:rFonts w:eastAsiaTheme="minorHAnsi"/>
          <w:lang w:eastAsia="en-US"/>
        </w:rPr>
        <w:footnoteReference w:id="13"/>
      </w:r>
      <w:r w:rsidRPr="000F0CE3">
        <w:t>; kadangi bendras biudžetas buvo sutelktas pradiniame etape, t. y. trečdalį finansinių asignavimų įsipareigota skirti 2021 ir 2022 m., siekiant, be kita ko, šalinti COVID-19 pandemijos padarinius;</w:t>
      </w:r>
    </w:p>
    <w:p w:rsidR="00F80879" w:rsidRPr="000F0CE3" w:rsidRDefault="00F80879" w:rsidP="00F80879">
      <w:pPr>
        <w:pStyle w:val="NormalHanging12a"/>
        <w:rPr>
          <w:rFonts w:eastAsiaTheme="minorHAnsi"/>
        </w:rPr>
      </w:pPr>
      <w:r w:rsidRPr="000F0CE3">
        <w:t>C.</w:t>
      </w:r>
      <w:r w:rsidRPr="000F0CE3">
        <w:tab/>
        <w:t>kadangi programa „Kūrybiška Europa“ yra vienintelė programa, pagal kurią parama teikiama tik visiems kultūros ir kūrybos sektoriams, kurių veikla grindžiama kultūrinėmis ir meninėmis vertybėmis, ypač remiant kūrėjus ir menininkus, pvz., autorius ir atlikėjus, taip pat nedidelius projektus;</w:t>
      </w:r>
    </w:p>
    <w:p w:rsidR="00F80879" w:rsidRPr="000F0CE3" w:rsidRDefault="00F80879" w:rsidP="00F80879">
      <w:pPr>
        <w:pStyle w:val="NormalHanging12a"/>
        <w:rPr>
          <w:rFonts w:eastAsiaTheme="minorHAnsi"/>
        </w:rPr>
      </w:pPr>
      <w:r w:rsidRPr="000F0CE3">
        <w:t>D.</w:t>
      </w:r>
      <w:r w:rsidRPr="000F0CE3">
        <w:tab/>
        <w:t>kadangi programoje pripažįstama kultūros savaiminė ir meninė vertė, kuri ir toliau turi sudaryti programos pagrindą, kartu užtikrinant pusiausvyrą su platesniu jos indėliu į inovacijas ir augimą; kadangi programa „Kūrybiška Europa“, kaip ES finansuojama programa, turėtų padėti įgyvendinti Europos socialinių teisių ramsčio principus ir skatinti sąžiningą praktiką ir darbo sąlygas kultūros ir kūrybos sektoriuose;</w:t>
      </w:r>
    </w:p>
    <w:p w:rsidR="00F80879" w:rsidRPr="000F0CE3" w:rsidRDefault="00F80879" w:rsidP="00F80879">
      <w:pPr>
        <w:pStyle w:val="NormalHanging12a"/>
        <w:rPr>
          <w:rFonts w:eastAsiaTheme="minorHAnsi"/>
        </w:rPr>
      </w:pPr>
      <w:r w:rsidRPr="000F0CE3">
        <w:t>E.</w:t>
      </w:r>
      <w:r w:rsidRPr="000F0CE3">
        <w:tab/>
        <w:t>kadangi viena iš pagrindinių programos naujovių yra tai, kad ja integruojami kompleksiniai įtraukties, įvairovės, visų pirma lyčių pusiausvyros ir žalinimo, prioritetai; kadangi 2021 ir 2022 m. metinėse darbo programose ypatingas dėmesys buvo skiriamas socialinės įtraukties ir lyčių lygybės skatinimui; kadangi įgyvendinant programą turėtų būti užtikrintas kuo platesnis dalyvavimas kultūriniame gyvenime siekiant įtraukti, be kitų, neįgaliuosius ir palankių sąlygų neturinčius asmenis;</w:t>
      </w:r>
    </w:p>
    <w:p w:rsidR="00F80879" w:rsidRPr="000F0CE3" w:rsidRDefault="00F80879" w:rsidP="00F80879">
      <w:pPr>
        <w:pStyle w:val="NormalHanging12a"/>
        <w:rPr>
          <w:rFonts w:eastAsiaTheme="minorHAnsi"/>
        </w:rPr>
      </w:pPr>
      <w:r w:rsidRPr="000F0CE3">
        <w:t>F.</w:t>
      </w:r>
      <w:r w:rsidRPr="000F0CE3">
        <w:tab/>
        <w:t>kadangi programa siekiama remti kultūros ir kūrybos sektorių skaitmeninę pertvarką, nes technologijos pakeitė tai, kaip šie sektoriai kuria, gamina ir platina turinį; kadangi skaitmeninimas gali suteikti galimybių padidinti dalyvavimą kultūriniame gyvenime, tačiau dėl jo taip pat gali kilti kitokių iššūkių nei analoginiame amžiuje;</w:t>
      </w:r>
    </w:p>
    <w:p w:rsidR="00F80879" w:rsidRPr="000F0CE3" w:rsidRDefault="00F80879" w:rsidP="00F80879">
      <w:pPr>
        <w:pStyle w:val="NormalHanging12a"/>
        <w:rPr>
          <w:rFonts w:eastAsiaTheme="minorHAnsi"/>
        </w:rPr>
      </w:pPr>
      <w:r w:rsidRPr="000F0CE3">
        <w:t>G.</w:t>
      </w:r>
      <w:r w:rsidRPr="000F0CE3">
        <w:tab/>
        <w:t>kadangi daug paramos gavėjų ir potencialių paramos gavėjų vis dar mano, kad administracinės programos „Kūrybiška Europa“ valdymo (pasiūlymų teikimo, vertinimo ir ataskaitų teikimo) procedūros yra labai ilgos ir sunkina veiklą, nepaisant tam tikros pažangos siekiant jas supaprastinti;</w:t>
      </w:r>
    </w:p>
    <w:p w:rsidR="00F80879" w:rsidRPr="000F0CE3" w:rsidRDefault="00F80879" w:rsidP="00F80879">
      <w:pPr>
        <w:pStyle w:val="NormalHanging12a"/>
        <w:rPr>
          <w:rFonts w:eastAsiaTheme="minorHAnsi"/>
        </w:rPr>
      </w:pPr>
      <w:r w:rsidRPr="000F0CE3">
        <w:t>H.</w:t>
      </w:r>
      <w:r w:rsidRPr="000F0CE3">
        <w:tab/>
        <w:t xml:space="preserve">kadangi sudėtingos administracinio valdymo procedūros dažnai atgraso nuo dalyvavimo ne tik mažas organizacijas, bet ir mažiau patyrusius pareiškėjus, įskaitant jaunus kūrėjus, ypač iš nepalankioje padėtyje esančių vietovių; kadangi paraiškų teikimo procedūra turi </w:t>
      </w:r>
      <w:r w:rsidRPr="000F0CE3">
        <w:lastRenderedPageBreak/>
        <w:t>būti supaprastinta ir patobulinta, visų pirma dėl to, kad padaugėjo procedūros etapų, o sąsaja vartotojui yra mažiau patogi, nes gali būti nesuderinama su plačiai naudojamomis programomis;</w:t>
      </w:r>
    </w:p>
    <w:p w:rsidR="00F80879" w:rsidRPr="000F0CE3" w:rsidRDefault="00F80879" w:rsidP="00F80879">
      <w:pPr>
        <w:pStyle w:val="NormalHanging12a"/>
        <w:rPr>
          <w:rFonts w:eastAsiaTheme="minorHAnsi"/>
        </w:rPr>
      </w:pPr>
      <w:r w:rsidRPr="000F0CE3">
        <w:t>I.</w:t>
      </w:r>
      <w:r w:rsidRPr="000F0CE3">
        <w:tab/>
        <w:t>kadangi programos platforma apima sudėtingą ataskaitų teikimo procedūrą, kurioje sunku orientuotis ir kuri iš pradžių nebuvo skirta pagal programą finansuojamo tipo projektams;</w:t>
      </w:r>
    </w:p>
    <w:p w:rsidR="00F80879" w:rsidRPr="000F0CE3" w:rsidRDefault="00F80879" w:rsidP="00F80879">
      <w:pPr>
        <w:pStyle w:val="NormalHanging12a"/>
      </w:pPr>
      <w:r w:rsidRPr="000F0CE3">
        <w:t>J.</w:t>
      </w:r>
      <w:r w:rsidRPr="000F0CE3">
        <w:tab/>
        <w:t>kadangi pagal Kultūros paprogramę skatinama kūrėjų bendruomenių tinklaveika ir tarptautinis bendradarbiavimas, ypač daug dėmesio skiriant bendradarbiavimo projektams; kadangi per pirmuosius dvejus įgyvendinimo metus bendradarbiavimo projektų sistema, teikianti paramą 291 projektui, tapo populiariausia Kultūros paprogramėje; kadangi Komisija turėtų apsvarstyti galimybę išplėsti paprogramės „Kultūra“ informavimo veiklą, kad būtų padidintas dalyvavimas visose kultūros ir kūrybos bendruomenėse, įskaitant periferinių ir kaimo vietovių bendruomenes;</w:t>
      </w:r>
    </w:p>
    <w:p w:rsidR="00F80879" w:rsidRPr="000F0CE3" w:rsidRDefault="00F80879" w:rsidP="00F80879">
      <w:pPr>
        <w:pStyle w:val="NormalHanging12a"/>
      </w:pPr>
      <w:r w:rsidRPr="000F0CE3">
        <w:t>K.</w:t>
      </w:r>
      <w:r w:rsidRPr="000F0CE3">
        <w:tab/>
        <w:t>kadangi MEDIA paprogramė atlieka svarbų vaidmenį skatinant augimą ir atsparumą audiovizualiniame sektoriuje; kadangi per dvejų metų laikotarpį (2021–2022 m.) ji sudomino 2 124 pareiškėjus, o vidutinis jos sėkmės rodiklis – 66 proc.;</w:t>
      </w:r>
    </w:p>
    <w:p w:rsidR="00F80879" w:rsidRPr="000F0CE3" w:rsidRDefault="00F80879" w:rsidP="00F80879">
      <w:pPr>
        <w:pStyle w:val="NormalHanging12a"/>
        <w:rPr>
          <w:rFonts w:eastAsiaTheme="minorHAnsi"/>
        </w:rPr>
      </w:pPr>
      <w:r w:rsidRPr="000F0CE3">
        <w:t>L.</w:t>
      </w:r>
      <w:r w:rsidRPr="000F0CE3">
        <w:tab/>
        <w:t>kadangi nuo 2021 m. remiami parengiamieji veiksmai „Europos scenarijų rašymas“ buvo parengti siekiant padėti kūrėjams, visų pirma autoriams, kurti ir plėtoti aukštos kokybės vaidybinius serialus, kurie galėtų peržengti sienas ir pasiekti naujų auditorijų;</w:t>
      </w:r>
    </w:p>
    <w:p w:rsidR="00F80879" w:rsidRPr="000F0CE3" w:rsidRDefault="00F80879" w:rsidP="00F80879">
      <w:pPr>
        <w:pStyle w:val="NormalHanging12a"/>
        <w:rPr>
          <w:rFonts w:eastAsiaTheme="minorHAnsi"/>
        </w:rPr>
      </w:pPr>
      <w:r w:rsidRPr="000F0CE3">
        <w:t>M.</w:t>
      </w:r>
      <w:r w:rsidRPr="000F0CE3">
        <w:tab/>
        <w:t>kadangi Tarpsektorinėje paprogramėje yra daugiau naujovių, atspindinčių naujus tikslus; kadangi kompleksiniai veiksmai, kuriais remiamas naujienų žiniasklaidos sektorius, yra visiškai nauja programos „Kūrybiška Europa“ veiklos sritis;</w:t>
      </w:r>
    </w:p>
    <w:p w:rsidR="00F80879" w:rsidRPr="000F0CE3" w:rsidRDefault="00F80879" w:rsidP="00F80879">
      <w:pPr>
        <w:pStyle w:val="NormalHanging12a"/>
      </w:pPr>
      <w:r w:rsidRPr="000F0CE3">
        <w:t>N.</w:t>
      </w:r>
      <w:r w:rsidRPr="000F0CE3">
        <w:tab/>
        <w:t>kadangi mobilumo skatinimas Europos kultūros ir kūrybos sektoriuose yra konkretus programos tikslas, kurio siekiama pasitelkiant specialią naują pagal Kultūros paprogramę vykdomą iniciatyvą;</w:t>
      </w:r>
    </w:p>
    <w:p w:rsidR="00F80879" w:rsidRPr="000F0CE3" w:rsidRDefault="00F80879" w:rsidP="00F80879">
      <w:pPr>
        <w:pStyle w:val="NormalHanging12a"/>
        <w:rPr>
          <w:rFonts w:eastAsiaTheme="minorHAnsi"/>
        </w:rPr>
      </w:pPr>
      <w:r w:rsidRPr="000F0CE3">
        <w:t>O.</w:t>
      </w:r>
      <w:r w:rsidRPr="000F0CE3">
        <w:tab/>
        <w:t xml:space="preserve">kadangi „Culture Moves Europe“ yra didžiausia ES judumo programa, skirta kultūros ir kūrybos sektoriams, ir iki 2023 m. vidurio ji sulaukė apie 4 660 paraiškų; kadangi apie 85 proc. paraiškų susijusios su tokiais sektoriais kaip vaizduojamasis menas, scenos menas ir muzika; </w:t>
      </w:r>
    </w:p>
    <w:p w:rsidR="00F80879" w:rsidRPr="000F0CE3" w:rsidRDefault="00F80879" w:rsidP="00F80879">
      <w:pPr>
        <w:pStyle w:val="NormalHanging12a"/>
      </w:pPr>
      <w:r w:rsidRPr="000F0CE3">
        <w:t>P.</w:t>
      </w:r>
      <w:r w:rsidRPr="000F0CE3">
        <w:tab/>
        <w:t xml:space="preserve">kadangi programoje pripažįstama muzikos sektoriaus, kaip esminio Europos kultūrų įvairovės komponento, svarba, nes jam gali būti naudingas Kultūros paprogramėje taikomas horizontalusis požiūris; kadangi 2021–2022 m. pagal iniciatyvą „Music Moves Europe“ 5 mln. EUR skirta Europos muzikos sektoriaus konkurencingumui, inovacijoms ir </w:t>
      </w:r>
      <w:r w:rsidRPr="000F0CE3">
        <w:lastRenderedPageBreak/>
        <w:t>įvairovei stiprinti;</w:t>
      </w:r>
    </w:p>
    <w:p w:rsidR="00F80879" w:rsidRPr="000F0CE3" w:rsidRDefault="00F80879" w:rsidP="00F80879">
      <w:pPr>
        <w:pStyle w:val="NormalHanging12a"/>
      </w:pPr>
      <w:r w:rsidRPr="000F0CE3">
        <w:t>Q.</w:t>
      </w:r>
      <w:r w:rsidRPr="000F0CE3">
        <w:tab/>
        <w:t>kadangi literatūros vertimo veikla atlieka unikalų vaidmenį propaguojant autorius tarpvalstybiniu mastu, kad jie pasiektų naujas auditorijas, ir prisidedant prie kultūriniu ir kalbiniu požiūriu įvairesnės Europos kūrimo;</w:t>
      </w:r>
    </w:p>
    <w:p w:rsidR="00F80879" w:rsidRPr="000F0CE3" w:rsidRDefault="00F80879" w:rsidP="00F80879">
      <w:pPr>
        <w:pStyle w:val="NormalHanging12a"/>
      </w:pPr>
      <w:r w:rsidRPr="000F0CE3">
        <w:t>R.</w:t>
      </w:r>
      <w:r w:rsidRPr="000F0CE3">
        <w:tab/>
        <w:t>kadangi viešoji parama audiovizualinei ekosistemai Europoje daugiausia teikiama nacionaliniu lygmeniu, o MEDIA paprogramė papildo nacionalines sistemas remdama ilgalaikį poveikį turinčius projektus;</w:t>
      </w:r>
    </w:p>
    <w:p w:rsidR="00F80879" w:rsidRPr="000F0CE3" w:rsidRDefault="00F80879" w:rsidP="00F80879">
      <w:pPr>
        <w:pStyle w:val="NormalHanging12a"/>
        <w:rPr>
          <w:rFonts w:eastAsiaTheme="minorHAnsi"/>
        </w:rPr>
      </w:pPr>
      <w:r w:rsidRPr="000F0CE3">
        <w:t>S.</w:t>
      </w:r>
      <w:r w:rsidRPr="000F0CE3">
        <w:tab/>
        <w:t>kadangi programos „Kūrybiška Europa“ centrai atlieka svarbų vaidmenį kaip tarpininkai tarp Komisijos, Europos švietimo ir kultūros vykdomosios įstaigos (EACEA), pareiškėjų ir paramos gavėjų; kadangi 2021–2022 m. daugiau nei 60 proc. visų pareiškėjų prieš pateikdami paraišką susisiekė su savo vietos centru;</w:t>
      </w:r>
    </w:p>
    <w:p w:rsidR="00F80879" w:rsidRPr="000F0CE3" w:rsidRDefault="00F80879" w:rsidP="00F80879">
      <w:pPr>
        <w:pStyle w:val="NormalHanging12a"/>
      </w:pPr>
      <w:r w:rsidRPr="000F0CE3">
        <w:t>T.</w:t>
      </w:r>
      <w:r w:rsidRPr="000F0CE3">
        <w:tab/>
        <w:t>kadangi, atsižvelgiant į esminį programos „Kūrybiška Europa“ biurų vaidmenį skatinant ir informuojant kultūros ir kūrybos sektorius apie visus programos aspektus, turi būti stiprinamas Komisijos – įskaitant EACEA – ir programos „Kūrybiška Europa“ centrų bendradarbiavimas bei mainai ir apimti dalijimąsi svarbia informacija apie ateinančius kvietimus teikti pasiūlymus;</w:t>
      </w:r>
    </w:p>
    <w:p w:rsidR="00F80879" w:rsidRPr="000F0CE3" w:rsidRDefault="00F80879" w:rsidP="00F80879">
      <w:pPr>
        <w:pStyle w:val="NormalHanging12a"/>
      </w:pPr>
      <w:r w:rsidRPr="000F0CE3">
        <w:t>U.</w:t>
      </w:r>
      <w:r w:rsidRPr="000F0CE3">
        <w:tab/>
        <w:t>kadangi programa „Kūrybiška Europa“ atlieka strateginį vaidmenį stiprinant Europos Sąjungos kultūrinių santykių išorės aspektą, nes ji skatina įvairių kultūros ir kūrybos sektorių subjektų partnerystes, laikantis žmonių tarpusavio ryšiais grindžiamo požiūrio, taip pat skatina kultūrų įvairovę Europoje ir už jos ribų;</w:t>
      </w:r>
    </w:p>
    <w:p w:rsidR="00F80879" w:rsidRPr="000F0CE3" w:rsidRDefault="00F80879" w:rsidP="00F80879">
      <w:pPr>
        <w:pStyle w:val="NormalHanging12a"/>
      </w:pPr>
      <w:r w:rsidRPr="000F0CE3">
        <w:t>V.</w:t>
      </w:r>
      <w:r w:rsidRPr="000F0CE3">
        <w:tab/>
        <w:t>kadangi programoje pripažįstama, kad svarbu apsaugoti ir skatinti menininkų ir amatų sektorius, ypač kultūros paveldo srityje, taip pat pripažinti jų gyvybiškai svarbų vaidmenį remiant miestų bei kaimo ekonomiką visoje Europoje ir jų vaidmenį didinant kultūrų įvairovę;</w:t>
      </w:r>
    </w:p>
    <w:p w:rsidR="00F80879" w:rsidRPr="000F0CE3" w:rsidRDefault="00F80879" w:rsidP="00F80879">
      <w:pPr>
        <w:pStyle w:val="NormalHanging12a"/>
      </w:pPr>
      <w:r w:rsidRPr="000F0CE3">
        <w:t>W.</w:t>
      </w:r>
      <w:r w:rsidRPr="000F0CE3">
        <w:tab/>
        <w:t xml:space="preserve">kadangi pažangumo ženklas yra 2021–2027 m. programos „Kūrybiška Europa“ naujovė, įvesta siekiant didinti sinergiją ir supaprastinti alternatyvaus finansavimo paiešką biudžeto apribojimų atveju; </w:t>
      </w:r>
    </w:p>
    <w:p w:rsidR="00F80879" w:rsidRPr="000F0CE3" w:rsidRDefault="00F80879" w:rsidP="00F80879">
      <w:pPr>
        <w:pStyle w:val="NormalHanging12a"/>
      </w:pPr>
      <w:r w:rsidRPr="000F0CE3">
        <w:t>X.</w:t>
      </w:r>
      <w:r w:rsidRPr="000F0CE3">
        <w:tab/>
        <w:t>kadangi Europos kultūros sostinė, kaip specialus veiksmas, yra prestižinė iniciatyva, užimanti tvirtą vietą pasaulinėse kultūros darbotvarkėse ir nuo savo sukūrimo 1985 m. pabrėžianti kultūrų ir miestų įvairovės turtingumą ir unikalumą;</w:t>
      </w:r>
    </w:p>
    <w:p w:rsidR="00F80879" w:rsidRPr="000F0CE3" w:rsidRDefault="00F80879" w:rsidP="00F80879">
      <w:pPr>
        <w:pStyle w:val="NormalHanging12a"/>
        <w:rPr>
          <w:rFonts w:eastAsiaTheme="minorHAnsi"/>
        </w:rPr>
      </w:pPr>
      <w:r w:rsidRPr="000F0CE3">
        <w:t>1.</w:t>
      </w:r>
      <w:r w:rsidRPr="000F0CE3">
        <w:tab/>
        <w:t xml:space="preserve">pabrėžia, kad naujos kartos programa „Kūrybiška Europa“ ir toliau kelia didelį susidomėjimą audiovizualiniame, kultūros ir kūrybos sektoriuose ir naujienų žiniasklaidoje: </w:t>
      </w:r>
      <w:r w:rsidRPr="000F0CE3">
        <w:lastRenderedPageBreak/>
        <w:t>pagal visas tris paprogrames gaunama vis daugiau paraiškų, todėl proporcingai mažėja paraiškų sėkmės rodiklis, o dėl to šiuose sektoriuose gali kilti nusivylimas programa;</w:t>
      </w:r>
    </w:p>
    <w:p w:rsidR="00F80879" w:rsidRPr="000F0CE3" w:rsidRDefault="00F80879" w:rsidP="00F80879">
      <w:pPr>
        <w:pStyle w:val="NormalHanging12a"/>
        <w:rPr>
          <w:rFonts w:eastAsiaTheme="minorHAnsi"/>
        </w:rPr>
      </w:pPr>
      <w:r w:rsidRPr="000F0CE3">
        <w:t>2.</w:t>
      </w:r>
      <w:r w:rsidRPr="000F0CE3">
        <w:tab/>
        <w:t>palankiai vertina programos atsaką švelninant COVID-19 pandemijos, kuri labai sutrikdė kultūros ir kūrybos sektorius dar prieš pradedant įgyvendinti dabartinę programą, padarinius; vis dėlto pakartoja savo raginimą Komisijai ir valstybėms narėms dėti daugiau pastangų siekiant panaikinti ilgalaikius pandemijos padarinius kūrėjams ir kultūros specialistams, visų pirma susijusius su jų kvalifikacijos kėlimu ir perkvalifikavimu, kad būtų patenkinti poreikiai, atsirandantys dėl pokyčių ir iššūkių, darančių poveikį sektoriams;</w:t>
      </w:r>
    </w:p>
    <w:p w:rsidR="00F80879" w:rsidRPr="000F0CE3" w:rsidRDefault="00F80879" w:rsidP="00F80879">
      <w:pPr>
        <w:pStyle w:val="NormalHanging12a"/>
        <w:rPr>
          <w:rFonts w:eastAsiaTheme="minorHAnsi"/>
        </w:rPr>
      </w:pPr>
      <w:r w:rsidRPr="000F0CE3">
        <w:t>3.</w:t>
      </w:r>
      <w:r w:rsidRPr="000F0CE3">
        <w:tab/>
        <w:t>apgailestauja, kad ne visos valstybės narės, kaip prašė Parlamentas, skyrė bent 2 proc. Ekonomikos gaivinimo ir atsparumo didinimo priemonės lėšų šių sektorių atsparumui užtikrinti,; todėl ragina visas valstybes nares stiprinti sinergiją ir užtikrinti pakankamas tikslines investicijas į šiuos sektorius pagal kitas ES programas;</w:t>
      </w:r>
    </w:p>
    <w:p w:rsidR="00F80879" w:rsidRPr="000F0CE3" w:rsidRDefault="00F80879" w:rsidP="00F80879">
      <w:pPr>
        <w:pStyle w:val="NormalHanging12a"/>
        <w:rPr>
          <w:rFonts w:eastAsiaTheme="minorHAnsi"/>
        </w:rPr>
      </w:pPr>
      <w:r w:rsidRPr="000F0CE3">
        <w:t>4.</w:t>
      </w:r>
      <w:r w:rsidRPr="000F0CE3">
        <w:tab/>
        <w:t>pripažįsta Komisijos ir EACEA lankstumą įgyvendinant programą, kuri buvo pritaikyta atsižvelgiant į COVID-19 pandemijos padarinius; tačiau pabrėžia, kad reikia rasti pusiausvyrą tarp suderintų visų ES programų administracinių valdymo sistemų ir konkrečių įvairių paramos gavėjų poreikių; todėl primygtinai ragina Komisiją ir EACEA dėti daugiau pastangų siekiant supaprastinti 2021–2027 m. programos „Kūrybiška Europa“ administracines valdymo procedūras; vis dėlto akcentuoja, kad dėl racionalizavimo ir supaprastinimo neturėtų būti mažinami finansiniai ir žmogiškieji ištekliai, skirti projektų stebėsenai ir vertinimui;</w:t>
      </w:r>
    </w:p>
    <w:p w:rsidR="00F80879" w:rsidRPr="000F0CE3" w:rsidRDefault="00F80879" w:rsidP="00F80879">
      <w:pPr>
        <w:pStyle w:val="NormalHanging12a"/>
        <w:rPr>
          <w:rFonts w:eastAsiaTheme="minorHAnsi"/>
        </w:rPr>
      </w:pPr>
      <w:r w:rsidRPr="000F0CE3">
        <w:t>5.</w:t>
      </w:r>
      <w:r w:rsidRPr="000F0CE3">
        <w:tab/>
        <w:t>pripažįsta, kad paraiškų teikimo procesas dažnai sudėtingas, ypač pavieniams asmenims ir labai mažoms bei mažoms organizacijoms, turinčioms ribotus finansinius ir žmogiškuosius išteklius; todėl ragina Komisiją ir EACEA leisti su paraiškų teikimo procesu susijusias išlaidas įtraukti į bendrą biudžeto sąmatą; be to, ragina programos „Kūrybiška Europa“ biurus toliau stiprinti paramą visiems pareiškėjams;</w:t>
      </w:r>
    </w:p>
    <w:p w:rsidR="00F80879" w:rsidRPr="000F0CE3" w:rsidRDefault="00F80879" w:rsidP="00F80879">
      <w:pPr>
        <w:pStyle w:val="NormalHanging12a"/>
        <w:rPr>
          <w:rFonts w:eastAsiaTheme="minorHAnsi"/>
        </w:rPr>
      </w:pPr>
      <w:r w:rsidRPr="000F0CE3">
        <w:t>6.</w:t>
      </w:r>
      <w:r w:rsidRPr="000F0CE3">
        <w:tab/>
        <w:t>ragina Komisiją numatyti reguliarius gebėjimų stiprinimo mainus su paramos gavėjais, kad būtų nustatytos naujovės, pvz., nauji ataskaitų teikimo sistemos reikalavimai, įskaitant Bendrąjį duomenų apsaugos reglamentą atitinkančius siektinus rezultatus</w:t>
      </w:r>
      <w:r w:rsidRPr="000F0CE3">
        <w:rPr>
          <w:rStyle w:val="FootnoteReference"/>
          <w:rFonts w:eastAsiaTheme="minorHAnsi"/>
          <w:lang w:eastAsia="en-US"/>
        </w:rPr>
        <w:footnoteReference w:id="14"/>
      </w:r>
      <w:r w:rsidRPr="000F0CE3">
        <w:t>; pabrėžia, kad, siekiant programos tikslo didinti įvairovę, įtrauktį ir lyčių lygybę, reikia skubiai pa</w:t>
      </w:r>
      <w:r w:rsidRPr="000F0CE3">
        <w:lastRenderedPageBreak/>
        <w:t>tobulinti ataskaitų teikimo sistemą, kad visiems paramos gavėjams, įskaitant neįgaliuosius, būtų užtikrintas prieinamumas ir patogumas ja naudotis;</w:t>
      </w:r>
    </w:p>
    <w:p w:rsidR="00F80879" w:rsidRPr="000F0CE3" w:rsidRDefault="00F80879" w:rsidP="00F80879">
      <w:pPr>
        <w:pStyle w:val="NormalHanging12a"/>
        <w:rPr>
          <w:rFonts w:eastAsiaTheme="minorHAnsi"/>
        </w:rPr>
      </w:pPr>
      <w:r w:rsidRPr="000F0CE3">
        <w:t>7.</w:t>
      </w:r>
      <w:r w:rsidRPr="000F0CE3">
        <w:tab/>
        <w:t>pripažįsta, kad per pirmuosius dvejus programos įgyvendinimo metus visose paprogramėse palaipsniui pradėtos taikyti įtraukties paskatos; vis dėlto pažymi, kad trūksta išsamių duomenų, kaip siekiama programos tikslų skatinant įtrauktį, lygybę, įvairovę ir dalyvavimą; atsižvelgdamas į tai, ragina Komisiją savo tarpiniame vertinime pateikti išsamią ataskaitą šiuo klausimu;</w:t>
      </w:r>
    </w:p>
    <w:p w:rsidR="00F80879" w:rsidRPr="000F0CE3" w:rsidRDefault="00F80879" w:rsidP="00F80879">
      <w:pPr>
        <w:pStyle w:val="NormalHanging12a"/>
        <w:rPr>
          <w:rFonts w:eastAsiaTheme="minorHAnsi"/>
        </w:rPr>
      </w:pPr>
      <w:r w:rsidRPr="000F0CE3">
        <w:t>8.</w:t>
      </w:r>
      <w:r w:rsidRPr="000F0CE3">
        <w:tab/>
        <w:t>pripažįsta, kad programa savo veiksmais prisidedama prie klimato ir aplinkos tvarumo tikslo; vis dėlto pažymi, kad žalinimo prioritetai trijose programų paprogramėse buvo nustatyti skirtingai; ragina Komisiją atidžiai stebėti žalinimo prioritetų įgyvendinimą ir jų poveikį sektoriams ir reguliariai teikti savo vertinimo ataskaitas; pabrėžia, kad svarbu plėtoti mokymo ir informuotumo didinimo veiklą, siekiant skatinti kultūros ir kūrybos sektoriuose taikyti tvaresnę praktiką;</w:t>
      </w:r>
    </w:p>
    <w:p w:rsidR="00F80879" w:rsidRPr="000F0CE3" w:rsidRDefault="00F80879" w:rsidP="00F80879">
      <w:pPr>
        <w:pStyle w:val="NormalHanging12a"/>
        <w:rPr>
          <w:rFonts w:eastAsiaTheme="minorHAnsi"/>
        </w:rPr>
      </w:pPr>
      <w:r w:rsidRPr="000F0CE3">
        <w:t>9.</w:t>
      </w:r>
      <w:r w:rsidRPr="000F0CE3">
        <w:tab/>
        <w:t>pabrėžia, kad svarbu remti kultūros ir kūrybos sektorių veikėjus, kurie ieško ES lygmeniu teikiamų galimybių; atsižvelgdamas į tai, palankiai vertina iniciatyvą „CulturEU“ – daugiakalbį interaktyvų vadovą, kuriame apžvelgiamos visos esamos finansavimo galimybės; pabrėžia, kad itin svarbu palaikyti reguliarius ir, kai aktualu, tikslinius mainus su audiovizualiniu, kultūros ir kūrybos sektoriais, taip pat su naujienų žiniasklaida, kad būtų užtikrintas naudingas bendradarbiavimas; primena Komisijai, kad svarbu užtikrinti tinkamą suinteresuotųjų subjektų dalyvavimą rengiant būsimas metines darbo programas; siūlo Komisijai įvertinti, ar 2028–2034 m. programa „Kūrybiška Europa“ galėtų būti įgyvendinama geriau, jei būtų vykdomos metinės ar dvimetės darbo programos;</w:t>
      </w:r>
    </w:p>
    <w:p w:rsidR="00F80879" w:rsidRPr="000F0CE3" w:rsidRDefault="00F80879" w:rsidP="00F80879">
      <w:pPr>
        <w:pStyle w:val="NormalHanging12a"/>
        <w:rPr>
          <w:rFonts w:eastAsiaTheme="minorHAnsi"/>
        </w:rPr>
      </w:pPr>
      <w:r w:rsidRPr="000F0CE3">
        <w:t>10.</w:t>
      </w:r>
      <w:r w:rsidRPr="000F0CE3">
        <w:tab/>
        <w:t>ragina stiprinti Komisijos, EACEA ir programos „Kūrybiška Europa“ biurų bendravimą ir mainus, siekiant užtikrinti, kad pastarieji turėtų prieigą prie visos svarbios informacijos, kad pareiškėjai ir paramos gavėjai galėtų teikti kokybišką paramą ir gaires; atsižvelgdamas į tai, taip pat primena skaidrumo svarbą skelbiant kvietimų teikti pasiūlymus rezultatus; todėl ragina Komisiją ir toliau laiku skelbti visų dotacijų gavėjų sąrašą kartu su kiekvienam pasiūlymui skirta suma;</w:t>
      </w:r>
    </w:p>
    <w:p w:rsidR="00F80879" w:rsidRPr="000F0CE3" w:rsidRDefault="00F80879" w:rsidP="00F80879">
      <w:pPr>
        <w:pStyle w:val="NormalHanging12a"/>
        <w:rPr>
          <w:rFonts w:eastAsiaTheme="minorHAnsi"/>
        </w:rPr>
      </w:pPr>
      <w:r w:rsidRPr="000F0CE3">
        <w:t>11.</w:t>
      </w:r>
      <w:r w:rsidRPr="000F0CE3">
        <w:tab/>
        <w:t>pabrėžia, kad svarbu nustatyti programą ir didinti jos matomumą; atsižvelgdamas į tai, ragina Komisiją pranešti Parlamentui apie programos komunikacijos strategijos įgyvendinimą, įskaitant oficialių logotipų naudojimą;</w:t>
      </w:r>
    </w:p>
    <w:p w:rsidR="00F80879" w:rsidRPr="000F0CE3" w:rsidRDefault="00F80879" w:rsidP="00F80879">
      <w:pPr>
        <w:pStyle w:val="NormalHanging12a"/>
        <w:rPr>
          <w:rFonts w:eastAsiaTheme="minorHAnsi"/>
        </w:rPr>
      </w:pPr>
      <w:r w:rsidRPr="000F0CE3">
        <w:t>12.</w:t>
      </w:r>
      <w:r w:rsidRPr="000F0CE3">
        <w:tab/>
        <w:t>atkreipia dėmesį į tai, kad daugelis paramos gavėjų nori dalytis savo pasiekimais ir rezultatais su audiovizualiniu, kultūros ir kūrybos sektoriais, taip pat su Europos piliečiais; atsižvelgdamas į tai pažymi, kad šiuo tikslu sukurta platforma laikoma nepatenkinama, todėl ragina Komisiją, kuriant tinkamesnę platformą, įtraukti paramos gavėjus;</w:t>
      </w:r>
    </w:p>
    <w:p w:rsidR="00F80879" w:rsidRPr="000F0CE3" w:rsidRDefault="00F80879" w:rsidP="00F80879">
      <w:pPr>
        <w:pStyle w:val="NormalHanging12a"/>
      </w:pPr>
      <w:r w:rsidRPr="000F0CE3">
        <w:lastRenderedPageBreak/>
        <w:t>13.</w:t>
      </w:r>
      <w:r w:rsidRPr="000F0CE3">
        <w:tab/>
        <w:t>pažymi, kad kai kurios valstybės narės netaiko nacionalinių nuostolių atlyginimo sistemų ar draudimo, kad būtų sudarytos palankesnės sąlygos kultūros vertybių judumui; pripažįsta, kad daugeliui kultūros veikėjų komercinio draudimo išlaidos gali būti per didelės; atsižvelgdamas į tai, siūlo Komisijai paskelbti galimybių studiją dėl visos Europos garantijų sistemos, skirtos padengti nuostolių atlyginimo išlaidas, kaip pirmą žingsnį sprendžiant šį klausimą;</w:t>
      </w:r>
    </w:p>
    <w:p w:rsidR="00F80879" w:rsidRPr="000F0CE3" w:rsidRDefault="00F80879" w:rsidP="00F80879">
      <w:pPr>
        <w:pStyle w:val="NormalHanging12a"/>
      </w:pPr>
      <w:r w:rsidRPr="000F0CE3">
        <w:t>14.</w:t>
      </w:r>
      <w:r w:rsidRPr="000F0CE3">
        <w:tab/>
        <w:t>primygtinai ragina Komisiją skatinti į žmogų orientuotą ir skaidrų dirbtinio intelekto naudojimą meniniame ir kūrybiniame procese parengiant atitinkamus etikos standartus, susijusius su dirbtinio intelekto naudojimu; atsižvelgdamas į tai, ragina Komisiją užtikrinti, kad ir pareiškėjai, ir paramos gavėjai teiktų informaciją apie dirbtinio intelekto naudojimą projektuose, įskaitant kūrybinių darbų gamybą, platinimą ir reklamavimą, siekiant įvertinti šią kultūros ir kūrybos sektoriuose atsirandančią tendenciją ir jos poveikį programai;</w:t>
      </w:r>
    </w:p>
    <w:p w:rsidR="00F80879" w:rsidRPr="000F0CE3" w:rsidRDefault="00F80879" w:rsidP="00F80879">
      <w:pPr>
        <w:pStyle w:val="NormalHanging12a"/>
      </w:pPr>
      <w:r w:rsidRPr="000F0CE3">
        <w:t>15.</w:t>
      </w:r>
      <w:r w:rsidRPr="000F0CE3">
        <w:tab/>
        <w:t>pabrėžia didelį programos „Kūrybiška Europa“ potencialą plėtojant ir stiprinant tarptautinę partnerystę, taip, be kita ko, prisidedant prie ES tarptautinių santykių per kultūrą;</w:t>
      </w:r>
    </w:p>
    <w:p w:rsidR="00F80879" w:rsidRPr="000F0CE3" w:rsidRDefault="00F80879" w:rsidP="00F80879">
      <w:pPr>
        <w:pStyle w:val="NormalHanging12a"/>
      </w:pPr>
      <w:r w:rsidRPr="000F0CE3">
        <w:t>16.</w:t>
      </w:r>
      <w:r w:rsidRPr="000F0CE3">
        <w:tab/>
        <w:t>ragina Komisiją skirti pakankamai išteklių programos išorės aspektui ir skatinti tolesnį valstybių narių kultūros institutų ir organizacijų, taip pat ES nacionalinių kultūros institutų (EUNIC) grupių trečiosiose šalyse bendradarbiavimą; be to, ragina Komisiją, kai įmanoma, remti ir palengvinti trečiųjų šalių dalyvavimą programoje;</w:t>
      </w:r>
    </w:p>
    <w:p w:rsidR="00F80879" w:rsidRPr="000F0CE3" w:rsidRDefault="00F80879" w:rsidP="00F80879">
      <w:pPr>
        <w:pStyle w:val="NormalHanging12a"/>
        <w:rPr>
          <w:rFonts w:eastAsiaTheme="minorHAnsi"/>
          <w:b/>
          <w:i/>
        </w:rPr>
      </w:pPr>
      <w:r w:rsidRPr="000F0CE3">
        <w:rPr>
          <w:b/>
          <w:i/>
        </w:rPr>
        <w:t>Biudžetas</w:t>
      </w:r>
    </w:p>
    <w:p w:rsidR="00F80879" w:rsidRPr="000F0CE3" w:rsidRDefault="00F80879" w:rsidP="00F80879">
      <w:pPr>
        <w:pStyle w:val="NormalHanging12a"/>
        <w:rPr>
          <w:rFonts w:eastAsiaTheme="minorHAnsi"/>
        </w:rPr>
      </w:pPr>
      <w:r w:rsidRPr="000F0CE3">
        <w:t>17.</w:t>
      </w:r>
      <w:r w:rsidRPr="000F0CE3">
        <w:tab/>
        <w:t>pabrėžia, kad, nepaisant gerokai padidėjusio 2021–2027 m. laikotarpio biudžeto, pagal dabartinę programą „Kūrybiška Europa“ gaunama daugiau paraiškų, nei gali būti patenkinta; atsižvelgdamas į tai, ragina Komisiją ir valstybes nares gerokai padidinti 2028–2034 m. programos „Kūrybiška Europa“ finansinius asignavimus;</w:t>
      </w:r>
    </w:p>
    <w:p w:rsidR="00F80879" w:rsidRPr="000F0CE3" w:rsidRDefault="00F80879" w:rsidP="00F80879">
      <w:pPr>
        <w:pStyle w:val="NormalHanging12a"/>
        <w:rPr>
          <w:rFonts w:eastAsiaTheme="minorHAnsi"/>
        </w:rPr>
      </w:pPr>
      <w:r w:rsidRPr="000F0CE3">
        <w:t>18.</w:t>
      </w:r>
      <w:r w:rsidRPr="000F0CE3">
        <w:tab/>
        <w:t>pripažįsta, kad dvejų metų laikotarpiu (2021–2022) reikėjo paankstinti asignavimų naudojimą siekiant sušvelninti COVID-19 pandemijos ir Rusijos agresijos karo prieš Ukrainą padarinius; vis dėlto atkreipia dėmesį į neigiamą poveikį, kurį ši priemonė turės antroje finansinio ciklo pusėje;</w:t>
      </w:r>
    </w:p>
    <w:p w:rsidR="00F80879" w:rsidRPr="000F0CE3" w:rsidRDefault="00F80879" w:rsidP="00F80879">
      <w:pPr>
        <w:pStyle w:val="NormalHanging12a"/>
        <w:rPr>
          <w:rFonts w:eastAsiaTheme="minorHAnsi"/>
        </w:rPr>
      </w:pPr>
      <w:r w:rsidRPr="000F0CE3">
        <w:t>19.</w:t>
      </w:r>
      <w:r w:rsidRPr="000F0CE3">
        <w:tab/>
        <w:t>primygtinai ragina valstybes nares ir Komisiją, atsižvelgiant į skaitmenizacijos ir žalinimo keliamus iššūkius, taip pat į didelį į kvietimus teikti pasiūlymus atsiliepusių kandidatų skaičių, nepažabotą infliaciją ir jos lemiamas didžiules energijos kainas, kas daro didelį poveikį paramos gavėjų veiklos pajėgumui, užtikrinti, kad ateinančiais biudžetiniais metais nebūtų mažinami programai skiriami asignavimai;</w:t>
      </w:r>
    </w:p>
    <w:p w:rsidR="00F80879" w:rsidRPr="000F0CE3" w:rsidRDefault="00F80879" w:rsidP="00F80879">
      <w:pPr>
        <w:pStyle w:val="NormalHanging12a"/>
        <w:rPr>
          <w:rFonts w:eastAsiaTheme="minorHAnsi"/>
        </w:rPr>
      </w:pPr>
      <w:r w:rsidRPr="000F0CE3">
        <w:lastRenderedPageBreak/>
        <w:t>20.</w:t>
      </w:r>
      <w:r w:rsidRPr="000F0CE3">
        <w:tab/>
        <w:t>apgailestauja, kad dar nepradėtas taikyti pažangumo ženklo žymuo; ragina Komisiją nedelsiant pradėti naudoti šį žymenį, kad šį programavimo ciklą įgyvendinant projektus būtų galima naudotis kaupiamojo ir alternatyvaus finansavimo teikiamomis galimybėmis;</w:t>
      </w:r>
    </w:p>
    <w:p w:rsidR="00F80879" w:rsidRPr="000F0CE3" w:rsidRDefault="00F80879" w:rsidP="00F80879">
      <w:pPr>
        <w:pStyle w:val="NormalHanging12a"/>
        <w:rPr>
          <w:rFonts w:eastAsiaTheme="minorHAnsi"/>
        </w:rPr>
      </w:pPr>
      <w:r w:rsidRPr="000F0CE3">
        <w:t>21.</w:t>
      </w:r>
      <w:r w:rsidRPr="000F0CE3">
        <w:tab/>
        <w:t>apgailestauja dėl to, kad pagal 2021–2027 m. DFP nėra lankstumo programai „Kūrybiška Europa“ skirti papildomų lėšų, ir pabrėžia, kad dėl to negalima finansuoti naujų iniciatyvų, vertingų bandomųjų projektų ir parengiamųjų veiksmų; atsižvelgdamas į tai primena, kad bandomieji projektai ir parengiamieji veiksmai yra svarbios naujų iniciatyvų, kurios gali tapti nuolatinėmis ES finansavimo programomis arba būti įtrauktos į esamas, išbandymo priemonės;</w:t>
      </w:r>
    </w:p>
    <w:p w:rsidR="00F80879" w:rsidRPr="000F0CE3" w:rsidRDefault="00F80879" w:rsidP="00F80879">
      <w:pPr>
        <w:pStyle w:val="NormalHanging12a"/>
        <w:rPr>
          <w:rFonts w:eastAsiaTheme="minorHAnsi"/>
        </w:rPr>
      </w:pPr>
      <w:r w:rsidRPr="000F0CE3">
        <w:t>22.</w:t>
      </w:r>
      <w:r w:rsidRPr="000F0CE3">
        <w:tab/>
        <w:t>apgailestauja dėl dviejų DFP ciklų finansavimo trūkumo, kuris ypač paveikė tinklo sistemą, ir ragina Komisiją užtikrinti, kad tai nepasikartotų ateityje; ragina Komisiją, atsižvelgiant į pagrindinį šios programos vaidmenį remiant kultūros ir kūrybos sektorių gebėjimą veikti tarpvalstybiniu ir tarptautiniu mastu, skirti tinkamą finansavimą ir, be to, apsvarstyti galimybę šiam veiksmui skirti dotacijas veiklai;</w:t>
      </w:r>
    </w:p>
    <w:p w:rsidR="00F80879" w:rsidRPr="000F0CE3" w:rsidRDefault="00F80879" w:rsidP="00F80879">
      <w:pPr>
        <w:pStyle w:val="NormalHanging12a"/>
        <w:rPr>
          <w:rFonts w:eastAsiaTheme="minorHAnsi"/>
          <w:b/>
          <w:i/>
        </w:rPr>
      </w:pPr>
      <w:r w:rsidRPr="000F0CE3">
        <w:rPr>
          <w:b/>
          <w:i/>
        </w:rPr>
        <w:t>Kultūros paprogramė</w:t>
      </w:r>
    </w:p>
    <w:p w:rsidR="00F80879" w:rsidRPr="000F0CE3" w:rsidRDefault="00F80879" w:rsidP="00F80879">
      <w:pPr>
        <w:pStyle w:val="NormalHanging12a"/>
        <w:rPr>
          <w:rFonts w:eastAsiaTheme="minorHAnsi"/>
        </w:rPr>
      </w:pPr>
      <w:r w:rsidRPr="000F0CE3">
        <w:t>23.</w:t>
      </w:r>
      <w:r w:rsidRPr="000F0CE3">
        <w:tab/>
        <w:t>palankiai vertina tai, kad pradėtas taikyti sektorinis požiūris, kaip nauja Kultūros paprogramės, kuria papildomi horizontalieji veiksmai, ypatybė; ragina jį stiprinti skiriant tinkamus biudžeto asignavimus, užtikrinant, kad nė vienas sektorius nebūtų paliktas nuošalyje ir kad nebūtų mažinami horizontaliesiems veiksmams skiriami asignavimai;</w:t>
      </w:r>
    </w:p>
    <w:p w:rsidR="00F80879" w:rsidRPr="000F0CE3" w:rsidRDefault="00F80879" w:rsidP="00F80879">
      <w:pPr>
        <w:pStyle w:val="NormalHanging12a"/>
        <w:rPr>
          <w:rFonts w:eastAsiaTheme="minorHAnsi"/>
        </w:rPr>
      </w:pPr>
      <w:r w:rsidRPr="000F0CE3">
        <w:t>24.</w:t>
      </w:r>
      <w:r w:rsidRPr="000F0CE3">
        <w:tab/>
        <w:t>primena, kad svarbu toliau saugoti ir skatinti meninės raiškos laisvę, ypač naudojantis programos teikiamomis finansavimo galimybėmis pagal kultūrinio bendradarbiavimo projektus ir Europos tinklų sistemą;</w:t>
      </w:r>
    </w:p>
    <w:p w:rsidR="00F80879" w:rsidRPr="000F0CE3" w:rsidRDefault="00F80879" w:rsidP="00F80879">
      <w:pPr>
        <w:pStyle w:val="NormalHanging12a"/>
      </w:pPr>
      <w:r w:rsidRPr="000F0CE3">
        <w:t>25.</w:t>
      </w:r>
      <w:r w:rsidRPr="000F0CE3">
        <w:tab/>
        <w:t>pripažįsta, kad didesnės bendro finansavimo normos, ypač nedidelės apimties bendradarbiavimo projektams, yra naudingos ir sudaro geresnes sąlygas dalyvauti mažosioms organizacijoms; ragina Komisiją ir EACEA šiuo požiūriu leisti projektų konsorciumams nepriklausomai nustatyti, kaip paskirstyti finansavimą savo partneriams, su sąlyga, kad projektų lygmeniu būtų taikoma bendra viso finansavimo norma;</w:t>
      </w:r>
    </w:p>
    <w:p w:rsidR="00F80879" w:rsidRPr="000F0CE3" w:rsidRDefault="00F80879" w:rsidP="00F80879">
      <w:pPr>
        <w:pStyle w:val="NormalHanging12a"/>
      </w:pPr>
      <w:r w:rsidRPr="000F0CE3">
        <w:t>26.</w:t>
      </w:r>
      <w:r w:rsidRPr="000F0CE3">
        <w:tab/>
        <w:t>pabrėžia tarpvalstybinio judumo svarbą visiems kūrėjams, nes jis skatina kūrybinį procesą didinant profesines galimybes užsienyje; atsižvelgdamas į tai, palankiai vertina naują judumo veiksmą pagal programą „Kūrybiška Europa“ – „Culture Moves Europe“;</w:t>
      </w:r>
    </w:p>
    <w:p w:rsidR="00F80879" w:rsidRPr="000F0CE3" w:rsidRDefault="00F80879" w:rsidP="00F80879">
      <w:pPr>
        <w:pStyle w:val="NormalHanging12a"/>
      </w:pPr>
      <w:r w:rsidRPr="000F0CE3">
        <w:t>27.</w:t>
      </w:r>
      <w:r w:rsidRPr="000F0CE3">
        <w:tab/>
        <w:t xml:space="preserve">pripažįsta aukštą pagal mobilumo programą gautų paraiškų kokybę; vis dėlto ragina Komisiją, padedant ir remiant visiems programos „Kūrybiška Europa“ centrams, labiau </w:t>
      </w:r>
      <w:r w:rsidRPr="000F0CE3">
        <w:lastRenderedPageBreak/>
        <w:t>reklamuoti programą „Culture Moves Europe“ platesnei auditorijai, vykdant komunikacijos ir informavimo veiklą; mano, kad ši veikla turėtų būti konkrečiai skirta atskiriems sektoriams, įskaitant kūrėjus iš visų marginalizuotų grupių, taip pat mažiau atstovaujamų šalių ir regionų, siekiant užtikrinti geografinę pusiausvyrą;</w:t>
      </w:r>
    </w:p>
    <w:p w:rsidR="00F80879" w:rsidRPr="000F0CE3" w:rsidRDefault="00F80879" w:rsidP="00F80879">
      <w:pPr>
        <w:pStyle w:val="NormalHanging12a"/>
      </w:pPr>
      <w:r w:rsidRPr="000F0CE3">
        <w:t>28.</w:t>
      </w:r>
      <w:r w:rsidRPr="000F0CE3">
        <w:tab/>
        <w:t>atkreipia dėmesį į tai, kad, pripažįstant didelę naujų judumo veiksmų sėkmę, būtina iki 2024 m. pabaigos atlikti pagrindinių besiformuojančių tendencijų analizę siekiant išnagrinėti galimybę išplėsti šiuos veiksmus įtraukiant naujų veikėjų, kaip antai knygų sektoriaus atstovai; atsižvelgdamas į tai, ragina Komisiją nuo 2025 m. padidinti šiam veiksmui skiriamą biudžetą;</w:t>
      </w:r>
    </w:p>
    <w:p w:rsidR="00F80879" w:rsidRPr="000F0CE3" w:rsidRDefault="00F80879" w:rsidP="00F80879">
      <w:pPr>
        <w:pStyle w:val="NormalHanging12a"/>
      </w:pPr>
      <w:r w:rsidRPr="000F0CE3">
        <w:t>29.</w:t>
      </w:r>
      <w:r w:rsidRPr="000F0CE3">
        <w:tab/>
        <w:t>pabrėžia teigiamą pagal mobilumo programą skirtų šeimos ir žaliųjų papildomų finansų, kurie yra konkretus pavyzdys, kaip programa gali būti įtraukesnė, poveikį; todėl ragina Komisiją apsvarstyti galimybę vadovautis šiuo požiūriu ir vykdant kitus programos „Kūrybiška Europa“ veiksmus;</w:t>
      </w:r>
    </w:p>
    <w:p w:rsidR="00F80879" w:rsidRPr="000F0CE3" w:rsidRDefault="00F80879" w:rsidP="00F80879">
      <w:pPr>
        <w:pStyle w:val="NormalHanging12a"/>
      </w:pPr>
      <w:r w:rsidRPr="000F0CE3">
        <w:t>30.</w:t>
      </w:r>
      <w:r w:rsidRPr="000F0CE3">
        <w:tab/>
        <w:t>palankiai vertina tai, kad pagal Kultūros paprogramę buvo padidintas Europos platformų, skirtų kylantiems menininkams skatinti, finansavimas, ir atkreipia dėmesį į teigiamą poveikį įvairovei, nes tarptautiniu mastu didinamas menininkų ir jų kūrinių matomumas; todėl ragina Komisiją toliau plėtoti šiuos veiksmus užtikrinant tinkamą finansavimą ir skatinimą;</w:t>
      </w:r>
    </w:p>
    <w:p w:rsidR="00F80879" w:rsidRPr="000F0CE3" w:rsidRDefault="00F80879" w:rsidP="00F80879">
      <w:pPr>
        <w:pStyle w:val="NormalHanging12a"/>
      </w:pPr>
      <w:r w:rsidRPr="000F0CE3">
        <w:t>31.</w:t>
      </w:r>
      <w:r w:rsidRPr="000F0CE3">
        <w:tab/>
        <w:t>pabrėžia tinklo sistemos svarbą teikiant tinklaveikos ir gebėjimų stiprinimo galimybes, kuriomis didinama Europos kultūros ir kūrybos sektorių įvairovė ir konkurencingumas; atsižvelgdamas į tai, ragina Komisiją skirti tinkamą finansavimą šiems veiksmams, siekiant remti dabartinius paramos gavėjus ir naujus tinklus;</w:t>
      </w:r>
    </w:p>
    <w:p w:rsidR="00F80879" w:rsidRPr="000F0CE3" w:rsidRDefault="00F80879" w:rsidP="00F80879">
      <w:pPr>
        <w:pStyle w:val="NormalHanging12a"/>
      </w:pPr>
      <w:r w:rsidRPr="000F0CE3">
        <w:t>32.</w:t>
      </w:r>
      <w:r w:rsidRPr="000F0CE3">
        <w:tab/>
        <w:t>pabrėžia, kad sektorinis požiūris yra puiki priemonė, kuri sustiprina knygų ir leidybos sektorių ir sudaro sąlygas imtis suderintų veiksmų, kuriais remiamas ir skatinamas patekimas į rinką ir platesnė Europos kūrinių sklaida;</w:t>
      </w:r>
    </w:p>
    <w:p w:rsidR="00F80879" w:rsidRPr="000F0CE3" w:rsidRDefault="00F80879" w:rsidP="00F80879">
      <w:pPr>
        <w:pStyle w:val="NormalHanging12a"/>
      </w:pPr>
      <w:r w:rsidRPr="000F0CE3">
        <w:t>33.</w:t>
      </w:r>
      <w:r w:rsidRPr="000F0CE3">
        <w:tab/>
        <w:t>primena, kad literatūros vertimas yra pagrindinė knygų sektoriaus rėmimo programa; vis dėlto pabrėžia, kad reikia išplėsti šią sistemą, kad ji apimtų ne grožinių Europos knygų vertimą; ragina Komisiją atliekant programos laikotarpio vidurio peržiūrą nustatyti išmatuojamus lėšų asignavimo siekiant pagerinti knygų prieinamumą neįgaliesiems tikslus;</w:t>
      </w:r>
    </w:p>
    <w:p w:rsidR="00F80879" w:rsidRPr="000F0CE3" w:rsidRDefault="00F80879" w:rsidP="00F80879">
      <w:pPr>
        <w:pStyle w:val="NormalHanging12a"/>
      </w:pPr>
      <w:r w:rsidRPr="000F0CE3">
        <w:t>34.</w:t>
      </w:r>
      <w:r w:rsidRPr="000F0CE3">
        <w:tab/>
        <w:t xml:space="preserve">palankiai vertina tai, kad padaugėjo veiksmų, kuriais pagal Kultūros paprogramę remiamas muzikos sektorius, todėl pagal dabartinę programą pateikiama daugiau su muzika susijusių projektų; tačiau ragina Komisiją, siekiant įveikti į naujai kylančius iššūkius, </w:t>
      </w:r>
      <w:r w:rsidRPr="000F0CE3">
        <w:lastRenderedPageBreak/>
        <w:t>laikytis į sektorių orientuoto ir strategiškesnio požiūrio į muzikos sektorių, remiantis iniciatyvos „Music Moves Europe“ parengiamųjų veiksmų rezultatais; atsižvelgdamas į tai, pabrėžia reguliaraus muzikos ekosistemos ir Komisijos struktūrinio dialogo svarbą; be to, ragina Komisiją bendradarbiaujant su sektoriumi rinkti duomenis apie valstybių narių muzikos rinkas ir pranešti apie visus kylančius iššūkius, darančius poveikį visai ekosistemai;</w:t>
      </w:r>
    </w:p>
    <w:p w:rsidR="00F80879" w:rsidRPr="000F0CE3" w:rsidRDefault="00F80879" w:rsidP="00F80879">
      <w:pPr>
        <w:pStyle w:val="NormalHanging12a"/>
      </w:pPr>
      <w:r w:rsidRPr="000F0CE3">
        <w:t>35.</w:t>
      </w:r>
      <w:r w:rsidRPr="000F0CE3">
        <w:tab/>
        <w:t>pabrėžia specialių Europos kultūros sostinės, kaip kultūrinio ir ekonominio miestų ir regionų atkūrimo katalizatoriaus, veiksmų svarbą; pabrėžia, kad šiems specialiems veiksmams seniai reikia skirti didesnį finansavimą, kad būtų padengtos papildomos išlaidos, patirtos dėl ilgalaikio COVID-19 pandemijos poveikio ir didelės infliacijos; todėl ragina Komisiją padidinti Melinos Mercouri apdovanojimui, kuriam kelerius metus skiriama tik 1,5 mln. EUR, skiriamą finansavimą; be to, ragina valstybes nares užtikrinti ilgalaikę iniciatyvos naudą ir remti informavimo apie ją veiklą, siekiant padidinti dalyvavimą pagal šią iniciatyvą vykdomoje kultūrinėje veikloje;</w:t>
      </w:r>
    </w:p>
    <w:p w:rsidR="00F80879" w:rsidRPr="000F0CE3" w:rsidRDefault="00F80879" w:rsidP="00F80879">
      <w:pPr>
        <w:pStyle w:val="NormalHanging12a"/>
      </w:pPr>
      <w:r w:rsidRPr="000F0CE3">
        <w:t>36.</w:t>
      </w:r>
      <w:r w:rsidRPr="000F0CE3">
        <w:tab/>
        <w:t>pripažįsta, kad Europos paveldo ženklas yra vertinga iniciatyva, akcentuojanti svarbų šių paveldo vietų vaidmenį Europos istorijoje ir kultūroje, ir pažymi, kad 2013–2021 m. laikotarpiu šis ženklas buvo suteiktas 60 paveldo vietų; vis dėlto ragina Komisiją didinti Europos paveldo ženklo matomumą plėtojant sąveiką su kitomis atitinkamomis ES finansinėmis priemonėmis;</w:t>
      </w:r>
    </w:p>
    <w:p w:rsidR="00F80879" w:rsidRPr="000F0CE3" w:rsidRDefault="00F80879" w:rsidP="00F80879">
      <w:pPr>
        <w:pStyle w:val="NormalHanging12a"/>
      </w:pPr>
      <w:r w:rsidRPr="000F0CE3">
        <w:t>37.</w:t>
      </w:r>
      <w:r w:rsidRPr="000F0CE3">
        <w:tab/>
        <w:t>pabrėžia apdovanojimų, remiamų pagal programą „Kūrybiška Europa“, svarbą literatūros, architektūros ir paveldo, muzikos (šiuolaikės, roko ir populiariosios) bei audiovizualinių menų srityse; pabrėžia, kad šios ilgalaikės iniciatyvos yra gerai žinomos šiuose sektoriuose ir kad jomis didinamas Europos kultūros ir kūrybos sektorių matomumas atlyginant už pasiekimus įvairiose srityse;</w:t>
      </w:r>
    </w:p>
    <w:p w:rsidR="00F80879" w:rsidRPr="000F0CE3" w:rsidRDefault="00F80879" w:rsidP="00F80879">
      <w:pPr>
        <w:pStyle w:val="NormalHanging12a"/>
        <w:rPr>
          <w:rFonts w:eastAsiaTheme="minorHAnsi"/>
          <w:b/>
          <w:i/>
        </w:rPr>
      </w:pPr>
      <w:r w:rsidRPr="000F0CE3">
        <w:rPr>
          <w:b/>
          <w:i/>
        </w:rPr>
        <w:t>MEDIA paprogramė</w:t>
      </w:r>
    </w:p>
    <w:p w:rsidR="00F80879" w:rsidRPr="000F0CE3" w:rsidRDefault="00F80879" w:rsidP="00F80879">
      <w:pPr>
        <w:pStyle w:val="NormalHanging12a"/>
      </w:pPr>
      <w:r w:rsidRPr="000F0CE3">
        <w:t>38.</w:t>
      </w:r>
      <w:r w:rsidRPr="000F0CE3">
        <w:tab/>
        <w:t>pripažįsta, kad MEDIA paprogramė tebėra pagrindinė Europos priemonė, pagal kurią teikiama strateginė parama nepriklausomam audiovizualiniam sektoriui, kurį visų pirma sudaro mažosios ir vidutinės įmonės; atkreipia dėmesį į didelę tarptautinę konkurenciją, su kuria susiduria Europos vaizdo ir garso, kino ir vaizdo žaidimų sektoriai, ir į itin svarbią šios paprogramės paramą šių sektorių atsigavimui ir pertvarkai, taip pat ES strateginio savarankiškumo didinimui; atsižvelgdamas į tai pabrėžia, kad svarbu užtikrinti tinkamus biudžeto asignavimus MEDIA paprogramei, ir pabrėžia, kad reikia išsamių duomenų, kad būtų galima įvertinti ir stebėti, ar ir kiek veiksmingai programa padeda didinti šių sektorių ekonominį bei kultūrinį potencialą;</w:t>
      </w:r>
    </w:p>
    <w:p w:rsidR="00F80879" w:rsidRPr="000F0CE3" w:rsidRDefault="00F80879" w:rsidP="00F80879">
      <w:pPr>
        <w:pStyle w:val="NormalHanging12a"/>
      </w:pPr>
      <w:r w:rsidRPr="000F0CE3">
        <w:t>39.</w:t>
      </w:r>
      <w:r w:rsidRPr="000F0CE3">
        <w:tab/>
        <w:t xml:space="preserve">pripažįsta teigiamą tikslinių priemonių, nustatytų pagal MEDIA paprogramę, poveikį </w:t>
      </w:r>
      <w:r w:rsidRPr="000F0CE3">
        <w:lastRenderedPageBreak/>
        <w:t>siekiant didinti šalių, turinčių skirtingus audiovizualinius pajėgumus, dalyvavimą ir stiprinti tarpvalstybinį bendradarbiavimą;</w:t>
      </w:r>
    </w:p>
    <w:p w:rsidR="00F80879" w:rsidRPr="000F0CE3" w:rsidRDefault="00F80879" w:rsidP="00F80879">
      <w:pPr>
        <w:pStyle w:val="NormalHanging12a"/>
        <w:rPr>
          <w:rFonts w:eastAsiaTheme="minorHAnsi"/>
        </w:rPr>
      </w:pPr>
      <w:r w:rsidRPr="000F0CE3">
        <w:t>40.</w:t>
      </w:r>
      <w:r w:rsidRPr="000F0CE3">
        <w:tab/>
        <w:t>pabrėžia, kad dėl biudžeto apribojimų 2021–2022 m. buvo atmesta daug aukštos kokybės projektų pagal bendro vystymosi ir žemesnių audiovizualinių pajėgumų šalims skirtas schemas; todėl ragina Komisiją skirti didesnį biudžetą šių programų įgyvendinimui ateityje;</w:t>
      </w:r>
    </w:p>
    <w:p w:rsidR="00F80879" w:rsidRPr="000F0CE3" w:rsidRDefault="00F80879" w:rsidP="00F80879">
      <w:pPr>
        <w:pStyle w:val="NormalHanging12a"/>
        <w:rPr>
          <w:rFonts w:eastAsiaTheme="minorHAnsi"/>
        </w:rPr>
      </w:pPr>
      <w:r w:rsidRPr="000F0CE3">
        <w:t>41.</w:t>
      </w:r>
      <w:r w:rsidRPr="000F0CE3">
        <w:tab/>
        <w:t>pabrėžia esminį Europos filmų platinimo ir Europos filmų pardavimo rėmimo programų vaidmenį prisidedant prie Europos audiovizualinio sektoriaus kultūrinės įvairovės, t. y. didinant tarpvalstybinę Europos filmų sklaidą ir kompensuojant tam tikrą riziką, kurią platintojai prisiima investuodami į nenacionalinių Europos filmų kūrimą, platinimą ir reklamą; todėl pabrėžia, kad labai svarbu padidinti abiejų programų finansavimą ir toliau dėti pastangas siekiant užtikrinti Europos kūrinių sklaidą ir prieinamumą internete;</w:t>
      </w:r>
    </w:p>
    <w:p w:rsidR="00F80879" w:rsidRPr="000F0CE3" w:rsidRDefault="00F80879" w:rsidP="00F80879">
      <w:pPr>
        <w:pStyle w:val="NormalHanging12a"/>
        <w:rPr>
          <w:rFonts w:eastAsiaTheme="minorHAnsi"/>
        </w:rPr>
      </w:pPr>
      <w:r w:rsidRPr="000F0CE3">
        <w:t>42.</w:t>
      </w:r>
      <w:r w:rsidRPr="000F0CE3">
        <w:tab/>
        <w:t>pabrėžia, kad daugelyje Europos šalių nėra rėmimo programų, skirtų filmų rodymui kino salėse; atsižvelgdamas į tai, pabrėžia, kad svarbu išlaikyti tinkamą finansavimą tinklui „Europa Cinemas“ – paprogramės MEDIA pavyzdinei iniciatyvai, kuria prisidedama prie Europos filmų sklaidos kino teatruose;</w:t>
      </w:r>
    </w:p>
    <w:p w:rsidR="00F80879" w:rsidRPr="000F0CE3" w:rsidRDefault="00F80879" w:rsidP="00F80879">
      <w:pPr>
        <w:pStyle w:val="NormalHanging12a"/>
      </w:pPr>
      <w:r w:rsidRPr="000F0CE3">
        <w:t>43.</w:t>
      </w:r>
      <w:r w:rsidRPr="000F0CE3">
        <w:tab/>
        <w:t>pabrėžia, kad 2021–2027 m. programos „Kūrybiška Europa“ reglamentu paramos teikimas išplečiamas, apimant audiovizualinio sektoriaus specialistų, įskaitant kūrėjus, tinklaveikos veiklą; atkreipia dėmesį į tai, kad šie veiksmai dar neįgyvendinti; todėl ragina Komisiją vykdyti specialius veiksmus, kurių tikslas – laiku remti tinklaveikai skirtą veiklą ir Europos profesinių ir kultūrinių organizacijų bendradarbiavimą audiovizualinio sektoriaus vertės grandinėje;</w:t>
      </w:r>
    </w:p>
    <w:p w:rsidR="00F80879" w:rsidRPr="000F0CE3" w:rsidRDefault="00F80879" w:rsidP="00F80879">
      <w:pPr>
        <w:pStyle w:val="NormalHanging12a"/>
      </w:pPr>
      <w:r w:rsidRPr="000F0CE3">
        <w:t>44.</w:t>
      </w:r>
      <w:r w:rsidRPr="000F0CE3">
        <w:tab/>
        <w:t>primena parengiamųjų veiksmų „Europos scenarijų rašymas“ sėkmę ir siūlo Komisijai įtraukti šių veiksmų tikslus į programą „Kūrybiška Europa“;</w:t>
      </w:r>
    </w:p>
    <w:p w:rsidR="00F80879" w:rsidRPr="000F0CE3" w:rsidRDefault="00F80879" w:rsidP="00F80879">
      <w:pPr>
        <w:pStyle w:val="NormalHanging12a"/>
        <w:rPr>
          <w:rFonts w:eastAsiaTheme="minorHAnsi"/>
        </w:rPr>
      </w:pPr>
      <w:r w:rsidRPr="000F0CE3">
        <w:t>45.</w:t>
      </w:r>
      <w:r w:rsidRPr="000F0CE3">
        <w:tab/>
        <w:t>palankiai vertina tai, kad pradėti specialūs veiksmai, skirti vaizdo žaidimų ir įtraukiojo turinio kūrimui remti, nes šiame sektoriuje tai sukėlė didelį susidomėjimą; ragina Komisiją remti šio sektoriaus kultūrinį ir kūrybinį aspektą, atsižvelgiant į jo ypatumus ir susijusius poreikius rengiant atitinkamus kvietimus teikti pasiūlymus, įskaitant poreikį išbandyti naujus verslo modelius virtualiame pasaulyje, kad būtų galima ugdyti įgūdžius šioje srityje, ypatingą dėmesį skiriant moterų dalyvavimui; vis dėlto pažymi, kad dabartinio biudžeto tam gali nepakakti, ir ragina skirti papildomą finansavimą Europos vaizdo žaidimų ekosistemos augimui remti ir Europos talentų ugdymui ir išsaugojimui skatinti;</w:t>
      </w:r>
    </w:p>
    <w:p w:rsidR="00F80879" w:rsidRPr="000F0CE3" w:rsidRDefault="00F80879" w:rsidP="00F80879">
      <w:pPr>
        <w:pStyle w:val="NormalHanging12a"/>
        <w:rPr>
          <w:rFonts w:eastAsiaTheme="minorHAnsi"/>
        </w:rPr>
      </w:pPr>
      <w:r w:rsidRPr="000F0CE3">
        <w:t>46.</w:t>
      </w:r>
      <w:r w:rsidRPr="000F0CE3">
        <w:tab/>
        <w:t xml:space="preserve">pabrėžia, kad didėjanti infliacija labai konkurencingoje audiovizualinėje rinkoje daro poveikį gamybos sąnaudoms; todėl ragina Komisiją padidinti viršutines finansavimo ribas </w:t>
      </w:r>
      <w:r w:rsidRPr="000F0CE3">
        <w:lastRenderedPageBreak/>
        <w:t>siekiant užtikrinti, kad pagal MEDIA paprogramę būtų teikiama parama audiovizualinei pramonei;</w:t>
      </w:r>
    </w:p>
    <w:p w:rsidR="00F80879" w:rsidRPr="000F0CE3" w:rsidRDefault="00F80879" w:rsidP="00F80879">
      <w:pPr>
        <w:pStyle w:val="NormalHanging12a"/>
        <w:rPr>
          <w:rFonts w:eastAsiaTheme="minorHAnsi"/>
        </w:rPr>
      </w:pPr>
      <w:r w:rsidRPr="000F0CE3">
        <w:t>47.</w:t>
      </w:r>
      <w:r w:rsidRPr="000F0CE3">
        <w:tab/>
        <w:t>pripažįsta kvietimo teikti pasiūlymus dėl Europos festivalių tinklų sėkmę: pagal jį paremtas 71 festivalis 12-oje tinklų, kurie bendradarbiavo, be kita ko, siekdami skatinti publikos dalyvavimą; todėl ragina Komisiją kas dvejus metus pakaitomis toliau finansuoti du papildomus veiksmus – Europos festivalius ir Europos festivalių tinklą;</w:t>
      </w:r>
    </w:p>
    <w:p w:rsidR="00F80879" w:rsidRPr="000F0CE3" w:rsidRDefault="00F80879" w:rsidP="00F80879">
      <w:pPr>
        <w:pStyle w:val="NormalHanging12a"/>
        <w:rPr>
          <w:rFonts w:eastAsiaTheme="minorHAnsi"/>
        </w:rPr>
      </w:pPr>
      <w:r w:rsidRPr="000F0CE3">
        <w:t>48.</w:t>
      </w:r>
      <w:r w:rsidRPr="000F0CE3">
        <w:tab/>
        <w:t>pažymi, kad „Media Invest“ priemonė pritraukė daug paraiškų, todėl, kad ji galėtų būti įgyvendinama ateityje, turi būti užtikrinta didesnė biudžeto sinergija su programa „InvestEU“; ragina Komisiją toliau gerinti šios priemonės propagavimą audiovizualiniame sektoriuje;</w:t>
      </w:r>
    </w:p>
    <w:p w:rsidR="00F80879" w:rsidRPr="000F0CE3" w:rsidRDefault="00F80879" w:rsidP="00F80879">
      <w:pPr>
        <w:pStyle w:val="NormalHanging12a"/>
        <w:rPr>
          <w:rFonts w:eastAsiaTheme="minorHAnsi"/>
        </w:rPr>
      </w:pPr>
      <w:r w:rsidRPr="000F0CE3">
        <w:t>49.</w:t>
      </w:r>
      <w:r w:rsidRPr="000F0CE3">
        <w:tab/>
        <w:t>primena, kad 2022 m. rugsėjo mėn. pateiktame Komisijos pasiūlyme dėl Europos žiniasklaidos laisvės akto siūloma įsteigti Europos žiniasklaidos paslaugų valdybą, kuri pakeistų Europos audiovizualinės žiniasklaidos paslaugų reguliuotojų grupę (ERGA), įsteigtą Direktyva 2010/13/ES</w:t>
      </w:r>
      <w:r w:rsidRPr="000F0CE3">
        <w:rPr>
          <w:rStyle w:val="FootnoteReference"/>
          <w:rFonts w:eastAsiaTheme="minorHAnsi"/>
        </w:rPr>
        <w:footnoteReference w:id="15"/>
      </w:r>
      <w:r w:rsidRPr="000F0CE3">
        <w:t>; atsižvelgdamas į ribotus finansinius išteklius, skirtus programos tikslams įgyvendinti, pabrėžia, kad MEDIA paprogramei ir kitoms programos biudžeto eilutėms skirtas biudžetas neturi būti skiriamas Valdybos finansavimui;</w:t>
      </w:r>
    </w:p>
    <w:p w:rsidR="00F80879" w:rsidRPr="000F0CE3" w:rsidRDefault="00F80879" w:rsidP="00F80879">
      <w:pPr>
        <w:pStyle w:val="NormalHanging12a"/>
        <w:rPr>
          <w:rFonts w:eastAsiaTheme="minorHAnsi"/>
          <w:b/>
          <w:i/>
        </w:rPr>
      </w:pPr>
      <w:r w:rsidRPr="000F0CE3">
        <w:rPr>
          <w:b/>
          <w:i/>
        </w:rPr>
        <w:t>Tarpsektorinė paprogramė</w:t>
      </w:r>
    </w:p>
    <w:p w:rsidR="00F80879" w:rsidRPr="000F0CE3" w:rsidRDefault="00F80879" w:rsidP="00F80879">
      <w:pPr>
        <w:pStyle w:val="NormalHanging12a"/>
        <w:rPr>
          <w:rFonts w:eastAsiaTheme="minorHAnsi"/>
        </w:rPr>
      </w:pPr>
      <w:r w:rsidRPr="000F0CE3">
        <w:t>50.</w:t>
      </w:r>
      <w:r w:rsidRPr="000F0CE3">
        <w:tab/>
        <w:t>apgailestauja dėl to, kad dėl Tarpsektorinės paprogramės naujovių labiausiai vėluota (ypač 2021 m.) įgyvendinti būtent pagal šią paprogramę suplanuotus veiksmus;</w:t>
      </w:r>
    </w:p>
    <w:p w:rsidR="00F80879" w:rsidRPr="000F0CE3" w:rsidRDefault="00F80879" w:rsidP="00F80879">
      <w:pPr>
        <w:pStyle w:val="NormalHanging12a"/>
        <w:rPr>
          <w:rFonts w:eastAsiaTheme="minorHAnsi"/>
        </w:rPr>
      </w:pPr>
      <w:r w:rsidRPr="000F0CE3">
        <w:t>51.</w:t>
      </w:r>
      <w:r w:rsidRPr="000F0CE3">
        <w:tab/>
        <w:t>pažymi, kad 2021–2022 m. daugiausia paraiškų pateikta pagal kvietimus teikti pasiūlymus dėl žurnalistikos partnerysčių ir gebėjimo naudotis žiniasklaidos priemonėmis, ir pabrėžia, kad reikia skubiai padidinti finansinę paramą Europos žiniasklaidos sektoriui;</w:t>
      </w:r>
    </w:p>
    <w:p w:rsidR="00F80879" w:rsidRPr="000F0CE3" w:rsidRDefault="00F80879" w:rsidP="00F80879">
      <w:pPr>
        <w:pStyle w:val="NormalHanging12a"/>
        <w:rPr>
          <w:rFonts w:eastAsiaTheme="minorHAnsi"/>
        </w:rPr>
      </w:pPr>
      <w:r w:rsidRPr="000F0CE3">
        <w:t>52.</w:t>
      </w:r>
      <w:r w:rsidRPr="000F0CE3">
        <w:tab/>
        <w:t>pažymi, kad žemas Tarpsektorinės paprogramės paraiškų sėkmės rodiklis, nepaisant aukštos pateiktų paraiškų kokybės, rodo, kad labai reikalinga finansinė parama, o šio poreikio, deja, negalima patenkinti iš dabartinių finansinių asignavimų;</w:t>
      </w:r>
    </w:p>
    <w:p w:rsidR="00F80879" w:rsidRPr="000F0CE3" w:rsidRDefault="00F80879" w:rsidP="00F80879">
      <w:pPr>
        <w:pStyle w:val="NormalHanging12a"/>
        <w:rPr>
          <w:rFonts w:eastAsiaTheme="minorHAnsi"/>
        </w:rPr>
      </w:pPr>
      <w:r w:rsidRPr="000F0CE3">
        <w:t>53.</w:t>
      </w:r>
      <w:r w:rsidRPr="000F0CE3">
        <w:tab/>
        <w:t xml:space="preserve">ragina Komisiją užtikrinti, kad likusiu programavimo laikotarpiu ne mažiau kaip 9 </w:t>
      </w:r>
      <w:r w:rsidRPr="000F0CE3">
        <w:lastRenderedPageBreak/>
        <w:t>proc.</w:t>
      </w:r>
      <w:r w:rsidRPr="000F0CE3">
        <w:rPr>
          <w:rStyle w:val="FootnoteReference"/>
        </w:rPr>
        <w:footnoteReference w:id="16"/>
      </w:r>
      <w:r w:rsidRPr="000F0CE3">
        <w:t xml:space="preserve"> viso 2021–2027 m. biudžeto būtų skirta tarpsektorinės paprogramės tikslams remti;</w:t>
      </w:r>
    </w:p>
    <w:p w:rsidR="00F80879" w:rsidRPr="000F0CE3" w:rsidRDefault="00F80879" w:rsidP="00F80879">
      <w:pPr>
        <w:pStyle w:val="NormalHanging12a"/>
        <w:jc w:val="center"/>
        <w:rPr>
          <w:rFonts w:eastAsiaTheme="minorHAnsi"/>
        </w:rPr>
      </w:pPr>
      <w:r w:rsidRPr="000F0CE3">
        <w:t>°</w:t>
      </w:r>
    </w:p>
    <w:p w:rsidR="00F80879" w:rsidRPr="000F0CE3" w:rsidRDefault="00F80879" w:rsidP="00F80879">
      <w:pPr>
        <w:pStyle w:val="NormalHanging12a"/>
        <w:jc w:val="center"/>
        <w:rPr>
          <w:rFonts w:eastAsiaTheme="minorHAnsi"/>
        </w:rPr>
      </w:pPr>
      <w:r w:rsidRPr="000F0CE3">
        <w:t>°</w:t>
      </w:r>
      <w:r w:rsidRPr="000F0CE3">
        <w:tab/>
        <w:t>°</w:t>
      </w:r>
    </w:p>
    <w:p w:rsidR="00F80879" w:rsidRPr="000F0CE3" w:rsidRDefault="00F80879" w:rsidP="00F80879">
      <w:pPr>
        <w:pStyle w:val="NormalHanging12a"/>
        <w:rPr>
          <w:snapToGrid w:val="0"/>
        </w:rPr>
      </w:pPr>
      <w:r w:rsidRPr="000F0CE3">
        <w:t>54.</w:t>
      </w:r>
      <w:r w:rsidRPr="000F0CE3">
        <w:tab/>
        <w:t>paveda Pirmininkei perduoti šią rezoliuciją Tarybai, Komisijai</w:t>
      </w:r>
      <w:r w:rsidRPr="000F0CE3">
        <w:rPr>
          <w:snapToGrid w:val="0"/>
        </w:rPr>
        <w:t xml:space="preserve"> ir nacionaliniams programos „Kūrybiška Europa“ centrams.</w:t>
      </w:r>
    </w:p>
    <w:p w:rsidR="00E365E1" w:rsidRPr="000F0CE3" w:rsidRDefault="00E365E1" w:rsidP="003F0447">
      <w:bookmarkStart w:id="9" w:name="TextBodyEnd"/>
      <w:bookmarkEnd w:id="9"/>
    </w:p>
    <w:sectPr w:rsidR="00E365E1" w:rsidRPr="000F0CE3" w:rsidSect="000F0CE3">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F0447" w:rsidRPr="000F0CE3" w:rsidRDefault="003F0447">
      <w:r w:rsidRPr="000F0CE3">
        <w:separator/>
      </w:r>
    </w:p>
  </w:endnote>
  <w:endnote w:type="continuationSeparator" w:id="0">
    <w:p w:rsidR="003F0447" w:rsidRPr="000F0CE3" w:rsidRDefault="003F0447">
      <w:r w:rsidRPr="000F0CE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F0447" w:rsidRPr="000F0CE3" w:rsidRDefault="003F0447">
      <w:r w:rsidRPr="000F0CE3">
        <w:separator/>
      </w:r>
    </w:p>
  </w:footnote>
  <w:footnote w:type="continuationSeparator" w:id="0">
    <w:p w:rsidR="003F0447" w:rsidRPr="000F0CE3" w:rsidRDefault="003F0447">
      <w:r w:rsidRPr="000F0CE3">
        <w:continuationSeparator/>
      </w:r>
    </w:p>
  </w:footnote>
  <w:footnote w:id="1">
    <w:p w:rsidR="00F80879" w:rsidRPr="000F0CE3" w:rsidRDefault="00F80879" w:rsidP="000F0CE3">
      <w:pPr>
        <w:pStyle w:val="FootnoteText"/>
        <w:ind w:left="567" w:hanging="567"/>
        <w:rPr>
          <w:sz w:val="24"/>
          <w:lang w:val="lt-LT"/>
        </w:rPr>
      </w:pPr>
      <w:r w:rsidRPr="000F0CE3">
        <w:rPr>
          <w:rStyle w:val="FootnoteReference"/>
          <w:sz w:val="24"/>
          <w:lang w:val="lt-LT"/>
        </w:rPr>
        <w:footnoteRef/>
      </w:r>
      <w:r w:rsidR="000F0CE3" w:rsidRPr="000F0CE3">
        <w:rPr>
          <w:sz w:val="24"/>
          <w:lang w:val="lt-LT"/>
        </w:rPr>
        <w:t xml:space="preserve"> </w:t>
      </w:r>
      <w:r w:rsidR="000F0CE3" w:rsidRPr="000F0CE3">
        <w:rPr>
          <w:sz w:val="24"/>
          <w:lang w:val="lt-LT"/>
        </w:rPr>
        <w:tab/>
      </w:r>
      <w:r w:rsidRPr="000F0CE3">
        <w:rPr>
          <w:sz w:val="24"/>
          <w:lang w:val="lt-LT"/>
        </w:rPr>
        <w:t>OL L 189, 2021 5 28, p. 34.</w:t>
      </w:r>
    </w:p>
  </w:footnote>
  <w:footnote w:id="2">
    <w:p w:rsidR="00F80879" w:rsidRPr="000F0CE3" w:rsidRDefault="00F80879" w:rsidP="000F0CE3">
      <w:pPr>
        <w:pStyle w:val="FootnoteText"/>
        <w:ind w:left="567" w:hanging="567"/>
        <w:rPr>
          <w:sz w:val="24"/>
          <w:lang w:val="lt-LT"/>
        </w:rPr>
      </w:pPr>
      <w:r w:rsidRPr="000F0CE3">
        <w:rPr>
          <w:rStyle w:val="FootnoteReference"/>
          <w:sz w:val="24"/>
          <w:lang w:val="lt-LT"/>
        </w:rPr>
        <w:footnoteRef/>
      </w:r>
      <w:r w:rsidR="000F0CE3" w:rsidRPr="000F0CE3">
        <w:rPr>
          <w:sz w:val="24"/>
          <w:lang w:val="lt-LT"/>
        </w:rPr>
        <w:t xml:space="preserve"> </w:t>
      </w:r>
      <w:r w:rsidR="000F0CE3" w:rsidRPr="000F0CE3">
        <w:rPr>
          <w:sz w:val="24"/>
          <w:lang w:val="lt-LT"/>
        </w:rPr>
        <w:tab/>
      </w:r>
      <w:r w:rsidRPr="000F0CE3">
        <w:rPr>
          <w:sz w:val="24"/>
          <w:lang w:val="lt-LT"/>
        </w:rPr>
        <w:t>OL L 347, 2013 12 20, p. 221.</w:t>
      </w:r>
    </w:p>
  </w:footnote>
  <w:footnote w:id="3">
    <w:p w:rsidR="00F80879" w:rsidRPr="000F0CE3" w:rsidRDefault="00F80879" w:rsidP="000F0CE3">
      <w:pPr>
        <w:pStyle w:val="FootnoteText"/>
        <w:ind w:left="567" w:hanging="567"/>
        <w:rPr>
          <w:sz w:val="24"/>
          <w:lang w:val="lt-LT"/>
        </w:rPr>
      </w:pPr>
      <w:r w:rsidRPr="000F0CE3">
        <w:rPr>
          <w:rStyle w:val="FootnoteReference"/>
          <w:sz w:val="24"/>
          <w:lang w:val="lt-LT"/>
        </w:rPr>
        <w:footnoteRef/>
      </w:r>
      <w:r w:rsidR="000F0CE3" w:rsidRPr="000F0CE3">
        <w:rPr>
          <w:sz w:val="24"/>
          <w:lang w:val="lt-LT"/>
        </w:rPr>
        <w:t xml:space="preserve"> </w:t>
      </w:r>
      <w:r w:rsidR="000F0CE3" w:rsidRPr="000F0CE3">
        <w:rPr>
          <w:sz w:val="24"/>
          <w:lang w:val="lt-LT"/>
        </w:rPr>
        <w:tab/>
      </w:r>
      <w:r w:rsidRPr="000F0CE3">
        <w:rPr>
          <w:sz w:val="24"/>
          <w:lang w:val="lt-LT"/>
        </w:rPr>
        <w:t>OL C 108, 2021 3 26, p. 934.</w:t>
      </w:r>
    </w:p>
  </w:footnote>
  <w:footnote w:id="4">
    <w:p w:rsidR="00F80879" w:rsidRPr="000F0CE3" w:rsidRDefault="00F80879" w:rsidP="000F0CE3">
      <w:pPr>
        <w:pStyle w:val="FootnoteText"/>
        <w:ind w:left="567" w:hanging="567"/>
        <w:rPr>
          <w:sz w:val="24"/>
          <w:lang w:val="lt-LT"/>
        </w:rPr>
      </w:pPr>
      <w:r w:rsidRPr="000F0CE3">
        <w:rPr>
          <w:rStyle w:val="FootnoteReference"/>
          <w:sz w:val="24"/>
          <w:lang w:val="lt-LT"/>
        </w:rPr>
        <w:footnoteRef/>
      </w:r>
      <w:r w:rsidR="000F0CE3" w:rsidRPr="000F0CE3">
        <w:rPr>
          <w:sz w:val="24"/>
          <w:lang w:val="lt-LT"/>
        </w:rPr>
        <w:t xml:space="preserve"> </w:t>
      </w:r>
      <w:r w:rsidR="000F0CE3" w:rsidRPr="000F0CE3">
        <w:rPr>
          <w:sz w:val="24"/>
          <w:lang w:val="lt-LT"/>
        </w:rPr>
        <w:tab/>
      </w:r>
      <w:r w:rsidRPr="000F0CE3">
        <w:rPr>
          <w:sz w:val="24"/>
          <w:lang w:val="lt-LT"/>
        </w:rPr>
        <w:t>OL C 110, 2019 3 22, p. 87.</w:t>
      </w:r>
    </w:p>
  </w:footnote>
  <w:footnote w:id="5">
    <w:p w:rsidR="00F80879" w:rsidRPr="000F0CE3" w:rsidRDefault="00F80879" w:rsidP="000F0CE3">
      <w:pPr>
        <w:pStyle w:val="FootnoteText"/>
        <w:ind w:left="567" w:hanging="567"/>
        <w:rPr>
          <w:sz w:val="24"/>
          <w:lang w:val="lt-LT"/>
        </w:rPr>
      </w:pPr>
      <w:r w:rsidRPr="000F0CE3">
        <w:rPr>
          <w:rStyle w:val="FootnoteReference"/>
          <w:sz w:val="24"/>
          <w:lang w:val="lt-LT"/>
        </w:rPr>
        <w:footnoteRef/>
      </w:r>
      <w:r w:rsidR="000F0CE3" w:rsidRPr="000F0CE3">
        <w:rPr>
          <w:sz w:val="24"/>
          <w:lang w:val="lt-LT"/>
        </w:rPr>
        <w:t xml:space="preserve"> </w:t>
      </w:r>
      <w:r w:rsidR="000F0CE3" w:rsidRPr="000F0CE3">
        <w:rPr>
          <w:sz w:val="24"/>
          <w:lang w:val="lt-LT"/>
        </w:rPr>
        <w:tab/>
      </w:r>
      <w:r w:rsidRPr="000F0CE3">
        <w:rPr>
          <w:sz w:val="24"/>
          <w:lang w:val="lt-LT"/>
        </w:rPr>
        <w:t>OL C 168, 2019 5 16, p. 37.</w:t>
      </w:r>
    </w:p>
  </w:footnote>
  <w:footnote w:id="6">
    <w:p w:rsidR="00F80879" w:rsidRPr="000F0CE3" w:rsidRDefault="00F80879" w:rsidP="000F0CE3">
      <w:pPr>
        <w:pStyle w:val="FootnoteText"/>
        <w:ind w:left="567" w:hanging="567"/>
        <w:rPr>
          <w:sz w:val="24"/>
          <w:lang w:val="lt-LT"/>
        </w:rPr>
      </w:pPr>
      <w:r w:rsidRPr="000F0CE3">
        <w:rPr>
          <w:rStyle w:val="FootnoteReference"/>
          <w:sz w:val="24"/>
          <w:lang w:val="lt-LT"/>
        </w:rPr>
        <w:footnoteRef/>
      </w:r>
      <w:r w:rsidR="000F0CE3" w:rsidRPr="000F0CE3">
        <w:rPr>
          <w:sz w:val="24"/>
          <w:lang w:val="lt-LT"/>
        </w:rPr>
        <w:t xml:space="preserve"> </w:t>
      </w:r>
      <w:r w:rsidR="000F0CE3" w:rsidRPr="000F0CE3">
        <w:rPr>
          <w:sz w:val="24"/>
          <w:lang w:val="lt-LT"/>
        </w:rPr>
        <w:tab/>
      </w:r>
      <w:r w:rsidRPr="000F0CE3">
        <w:rPr>
          <w:sz w:val="24"/>
          <w:lang w:val="lt-LT"/>
        </w:rPr>
        <w:t>OL C 466, 2022 12 7, p. 1.</w:t>
      </w:r>
    </w:p>
  </w:footnote>
  <w:footnote w:id="7">
    <w:p w:rsidR="00F80879" w:rsidRPr="000F0CE3" w:rsidRDefault="00F80879" w:rsidP="000F0CE3">
      <w:pPr>
        <w:pStyle w:val="FootnoteText"/>
        <w:ind w:left="567" w:hanging="567"/>
        <w:rPr>
          <w:sz w:val="24"/>
          <w:lang w:val="lt-LT"/>
        </w:rPr>
      </w:pPr>
      <w:r w:rsidRPr="000F0CE3">
        <w:rPr>
          <w:rStyle w:val="FootnoteReference"/>
          <w:sz w:val="24"/>
          <w:lang w:val="lt-LT"/>
        </w:rPr>
        <w:footnoteRef/>
      </w:r>
      <w:r w:rsidR="000F0CE3" w:rsidRPr="000F0CE3">
        <w:rPr>
          <w:sz w:val="24"/>
          <w:lang w:val="lt-LT"/>
        </w:rPr>
        <w:t xml:space="preserve"> </w:t>
      </w:r>
      <w:r w:rsidR="000F0CE3" w:rsidRPr="000F0CE3">
        <w:rPr>
          <w:sz w:val="24"/>
          <w:lang w:val="lt-LT"/>
        </w:rPr>
        <w:tab/>
      </w:r>
      <w:r w:rsidRPr="000F0CE3">
        <w:rPr>
          <w:sz w:val="24"/>
          <w:lang w:val="lt-LT"/>
        </w:rPr>
        <w:t>Priimti tekstai, P9_TA(2023)0329.</w:t>
      </w:r>
    </w:p>
  </w:footnote>
  <w:footnote w:id="8">
    <w:p w:rsidR="00F80879" w:rsidRPr="000F0CE3" w:rsidRDefault="00F80879" w:rsidP="000F0CE3">
      <w:pPr>
        <w:pStyle w:val="FootnoteText"/>
        <w:ind w:left="567" w:hanging="567"/>
        <w:rPr>
          <w:sz w:val="24"/>
          <w:lang w:val="lt-LT"/>
        </w:rPr>
      </w:pPr>
      <w:r w:rsidRPr="000F0CE3">
        <w:rPr>
          <w:rStyle w:val="FootnoteReference"/>
          <w:sz w:val="24"/>
          <w:lang w:val="lt-LT"/>
        </w:rPr>
        <w:footnoteRef/>
      </w:r>
      <w:r w:rsidR="000F0CE3" w:rsidRPr="000F0CE3">
        <w:rPr>
          <w:sz w:val="24"/>
          <w:lang w:val="lt-LT"/>
        </w:rPr>
        <w:t xml:space="preserve"> </w:t>
      </w:r>
      <w:r w:rsidR="000F0CE3" w:rsidRPr="000F0CE3">
        <w:rPr>
          <w:sz w:val="24"/>
          <w:lang w:val="lt-LT"/>
        </w:rPr>
        <w:tab/>
      </w:r>
      <w:r w:rsidRPr="000F0CE3">
        <w:rPr>
          <w:sz w:val="24"/>
          <w:lang w:val="lt-LT"/>
        </w:rPr>
        <w:t>OL C 177, 2023 5 17, p. 78.</w:t>
      </w:r>
    </w:p>
  </w:footnote>
  <w:footnote w:id="9">
    <w:p w:rsidR="00F80879" w:rsidRPr="000F0CE3" w:rsidRDefault="00F80879" w:rsidP="000F0CE3">
      <w:pPr>
        <w:pStyle w:val="FootnoteText"/>
        <w:ind w:left="567" w:hanging="567"/>
        <w:rPr>
          <w:sz w:val="24"/>
          <w:lang w:val="lt-LT"/>
        </w:rPr>
      </w:pPr>
      <w:r w:rsidRPr="000F0CE3">
        <w:rPr>
          <w:rStyle w:val="FootnoteReference"/>
          <w:sz w:val="24"/>
          <w:lang w:val="lt-LT"/>
        </w:rPr>
        <w:footnoteRef/>
      </w:r>
      <w:r w:rsidR="000F0CE3" w:rsidRPr="000F0CE3">
        <w:rPr>
          <w:sz w:val="24"/>
          <w:lang w:val="lt-LT"/>
        </w:rPr>
        <w:t xml:space="preserve"> </w:t>
      </w:r>
      <w:r w:rsidR="000F0CE3" w:rsidRPr="000F0CE3">
        <w:rPr>
          <w:sz w:val="24"/>
          <w:lang w:val="lt-LT"/>
        </w:rPr>
        <w:tab/>
      </w:r>
      <w:r w:rsidRPr="000F0CE3">
        <w:rPr>
          <w:sz w:val="24"/>
          <w:lang w:val="lt-LT"/>
        </w:rPr>
        <w:t>OL C 184, 2022 5 5, p. 71.</w:t>
      </w:r>
    </w:p>
  </w:footnote>
  <w:footnote w:id="10">
    <w:p w:rsidR="00F80879" w:rsidRPr="000F0CE3" w:rsidRDefault="00F80879" w:rsidP="000F0CE3">
      <w:pPr>
        <w:pStyle w:val="FootnoteText"/>
        <w:ind w:left="567" w:hanging="567"/>
        <w:rPr>
          <w:sz w:val="24"/>
          <w:lang w:val="lt-LT"/>
        </w:rPr>
      </w:pPr>
      <w:r w:rsidRPr="000F0CE3">
        <w:rPr>
          <w:rStyle w:val="FootnoteReference"/>
          <w:sz w:val="24"/>
          <w:lang w:val="lt-LT"/>
        </w:rPr>
        <w:footnoteRef/>
      </w:r>
      <w:r w:rsidR="000F0CE3" w:rsidRPr="000F0CE3">
        <w:rPr>
          <w:sz w:val="24"/>
          <w:lang w:val="lt-LT"/>
        </w:rPr>
        <w:t xml:space="preserve"> </w:t>
      </w:r>
      <w:r w:rsidR="000F0CE3" w:rsidRPr="000F0CE3">
        <w:rPr>
          <w:sz w:val="24"/>
          <w:lang w:val="lt-LT"/>
        </w:rPr>
        <w:tab/>
      </w:r>
      <w:r w:rsidRPr="000F0CE3">
        <w:rPr>
          <w:sz w:val="24"/>
          <w:lang w:val="lt-LT"/>
        </w:rPr>
        <w:t>OL C 316, 2021 8 6, p. 2.</w:t>
      </w:r>
    </w:p>
  </w:footnote>
  <w:footnote w:id="11">
    <w:p w:rsidR="00F80879" w:rsidRPr="000F0CE3" w:rsidRDefault="00F80879" w:rsidP="000F0CE3">
      <w:pPr>
        <w:pStyle w:val="FootnoteText"/>
        <w:ind w:left="567" w:hanging="567"/>
        <w:rPr>
          <w:sz w:val="24"/>
          <w:lang w:val="lt-LT"/>
        </w:rPr>
      </w:pPr>
      <w:r w:rsidRPr="000F0CE3">
        <w:rPr>
          <w:rStyle w:val="FootnoteReference"/>
          <w:sz w:val="24"/>
          <w:lang w:val="lt-LT"/>
        </w:rPr>
        <w:footnoteRef/>
      </w:r>
      <w:r w:rsidR="000F0CE3" w:rsidRPr="000F0CE3">
        <w:rPr>
          <w:sz w:val="24"/>
          <w:lang w:val="lt-LT"/>
        </w:rPr>
        <w:t xml:space="preserve"> </w:t>
      </w:r>
      <w:r w:rsidR="000F0CE3" w:rsidRPr="000F0CE3">
        <w:rPr>
          <w:sz w:val="24"/>
          <w:lang w:val="lt-LT"/>
        </w:rPr>
        <w:tab/>
      </w:r>
      <w:r w:rsidRPr="000F0CE3">
        <w:rPr>
          <w:sz w:val="24"/>
          <w:lang w:val="lt-LT"/>
        </w:rPr>
        <w:t>OL C 385, 2021 9 22, p. 2.</w:t>
      </w:r>
    </w:p>
  </w:footnote>
  <w:footnote w:id="12">
    <w:p w:rsidR="00F80879" w:rsidRPr="000F0CE3" w:rsidRDefault="00F80879" w:rsidP="000F0CE3">
      <w:pPr>
        <w:pStyle w:val="FootnoteText"/>
        <w:ind w:left="567" w:hanging="567"/>
        <w:rPr>
          <w:sz w:val="24"/>
          <w:lang w:val="lt-LT"/>
        </w:rPr>
      </w:pPr>
      <w:r w:rsidRPr="000F0CE3">
        <w:rPr>
          <w:rStyle w:val="FootnoteReference"/>
          <w:sz w:val="24"/>
          <w:lang w:val="lt-LT"/>
        </w:rPr>
        <w:footnoteRef/>
      </w:r>
      <w:r w:rsidR="000F0CE3" w:rsidRPr="000F0CE3">
        <w:rPr>
          <w:sz w:val="24"/>
          <w:lang w:val="lt-LT"/>
        </w:rPr>
        <w:t xml:space="preserve"> </w:t>
      </w:r>
      <w:r w:rsidR="000F0CE3" w:rsidRPr="000F0CE3">
        <w:rPr>
          <w:sz w:val="24"/>
          <w:lang w:val="lt-LT"/>
        </w:rPr>
        <w:tab/>
      </w:r>
      <w:r w:rsidRPr="000F0CE3">
        <w:rPr>
          <w:sz w:val="24"/>
          <w:lang w:val="lt-LT"/>
        </w:rPr>
        <w:t>OL C 385, 2021 9 22, p. 152.</w:t>
      </w:r>
    </w:p>
  </w:footnote>
  <w:footnote w:id="13">
    <w:p w:rsidR="00F80879" w:rsidRPr="000F0CE3" w:rsidRDefault="00F80879" w:rsidP="000F0CE3">
      <w:pPr>
        <w:pStyle w:val="FootnoteText"/>
        <w:ind w:left="567" w:hanging="567"/>
        <w:rPr>
          <w:sz w:val="24"/>
          <w:lang w:val="lt-LT"/>
        </w:rPr>
      </w:pPr>
      <w:r w:rsidRPr="000F0CE3">
        <w:rPr>
          <w:rStyle w:val="FootnoteReference"/>
          <w:sz w:val="24"/>
          <w:lang w:val="lt-LT"/>
        </w:rPr>
        <w:footnoteRef/>
      </w:r>
      <w:r w:rsidR="000F0CE3" w:rsidRPr="000F0CE3">
        <w:rPr>
          <w:sz w:val="24"/>
          <w:lang w:val="lt-LT"/>
        </w:rPr>
        <w:t xml:space="preserve"> </w:t>
      </w:r>
      <w:r w:rsidR="000F0CE3" w:rsidRPr="000F0CE3">
        <w:rPr>
          <w:sz w:val="24"/>
          <w:lang w:val="lt-LT"/>
        </w:rPr>
        <w:tab/>
      </w:r>
      <w:r w:rsidRPr="000F0CE3">
        <w:rPr>
          <w:sz w:val="24"/>
          <w:lang w:val="lt-LT"/>
        </w:rPr>
        <w:t>https://ec.europa.eu/eurostat/web/products-eurostat-news/w/ddn-20230309-2.</w:t>
      </w:r>
    </w:p>
  </w:footnote>
  <w:footnote w:id="14">
    <w:p w:rsidR="00F80879" w:rsidRPr="000F0CE3" w:rsidRDefault="00F80879" w:rsidP="000F0CE3">
      <w:pPr>
        <w:pStyle w:val="FootnoteText"/>
        <w:ind w:left="567" w:hanging="567"/>
        <w:rPr>
          <w:sz w:val="24"/>
          <w:lang w:val="lt-LT"/>
        </w:rPr>
      </w:pPr>
      <w:r w:rsidRPr="000F0CE3">
        <w:rPr>
          <w:rStyle w:val="FootnoteReference"/>
          <w:sz w:val="24"/>
          <w:lang w:val="lt-LT"/>
        </w:rPr>
        <w:footnoteRef/>
      </w:r>
      <w:r w:rsidR="000F0CE3" w:rsidRPr="000F0CE3">
        <w:rPr>
          <w:sz w:val="24"/>
          <w:lang w:val="lt-LT"/>
        </w:rPr>
        <w:t xml:space="preserve"> </w:t>
      </w:r>
      <w:r w:rsidR="000F0CE3" w:rsidRPr="000F0CE3">
        <w:rPr>
          <w:sz w:val="24"/>
          <w:lang w:val="lt-LT"/>
        </w:rPr>
        <w:tab/>
      </w:r>
      <w:r w:rsidRPr="000F0CE3">
        <w:rPr>
          <w:sz w:val="24"/>
          <w:lang w:val="lt-LT"/>
        </w:rPr>
        <w:t xml:space="preserve">2016 m. balandžio 27 d. </w:t>
      </w:r>
      <w:r w:rsidRPr="000F0CE3">
        <w:rPr>
          <w:sz w:val="24"/>
          <w:lang w:val="lt-LT"/>
        </w:rPr>
        <w:t xml:space="preserve">Europos Parlamento ir Tarybos reglamentas (ES) 2016/679 dėl fizinių asmenų apsaugos tvarkant asmens duomenis ir dėl laisvo tokių duomenų judėjimo ir kuriuo panaikinama Direktyva 95/46/EB </w:t>
      </w:r>
      <w:r w:rsidR="001D54D6">
        <w:rPr>
          <w:sz w:val="24"/>
          <w:lang w:val="lt-LT"/>
        </w:rPr>
        <w:t>(</w:t>
      </w:r>
      <w:r w:rsidRPr="000F0CE3">
        <w:rPr>
          <w:sz w:val="24"/>
          <w:lang w:val="lt-LT"/>
        </w:rPr>
        <w:t>OL L 119, 2016 5 4, p. 1</w:t>
      </w:r>
      <w:r w:rsidR="001D54D6">
        <w:rPr>
          <w:sz w:val="24"/>
          <w:lang w:val="lt-LT"/>
        </w:rPr>
        <w:t>)</w:t>
      </w:r>
      <w:r w:rsidRPr="000F0CE3">
        <w:rPr>
          <w:sz w:val="24"/>
          <w:lang w:val="lt-LT"/>
        </w:rPr>
        <w:t>.</w:t>
      </w:r>
    </w:p>
  </w:footnote>
  <w:footnote w:id="15">
    <w:p w:rsidR="00F80879" w:rsidRPr="000F0CE3" w:rsidRDefault="00F80879" w:rsidP="000F0CE3">
      <w:pPr>
        <w:pStyle w:val="FootnoteText"/>
        <w:ind w:left="567" w:hanging="567"/>
        <w:rPr>
          <w:sz w:val="24"/>
          <w:lang w:val="lt-LT"/>
        </w:rPr>
      </w:pPr>
      <w:r w:rsidRPr="000F0CE3">
        <w:rPr>
          <w:rStyle w:val="FootnoteReference"/>
          <w:sz w:val="24"/>
          <w:lang w:val="lt-LT"/>
        </w:rPr>
        <w:footnoteRef/>
      </w:r>
      <w:r w:rsidR="000F0CE3" w:rsidRPr="000F0CE3">
        <w:rPr>
          <w:sz w:val="24"/>
          <w:lang w:val="lt-LT"/>
        </w:rPr>
        <w:t xml:space="preserve"> </w:t>
      </w:r>
      <w:r w:rsidR="000F0CE3" w:rsidRPr="000F0CE3">
        <w:rPr>
          <w:sz w:val="24"/>
          <w:lang w:val="lt-LT"/>
        </w:rPr>
        <w:tab/>
      </w:r>
      <w:r w:rsidRPr="000F0CE3">
        <w:rPr>
          <w:sz w:val="24"/>
          <w:lang w:val="lt-LT"/>
        </w:rPr>
        <w:t xml:space="preserve">2010 m. kovo 10 d. </w:t>
      </w:r>
      <w:r w:rsidRPr="000F0CE3">
        <w:rPr>
          <w:sz w:val="24"/>
          <w:lang w:val="lt-LT"/>
        </w:rPr>
        <w:t xml:space="preserve">Europos Parlamento ir Tarybos direktyva 2010/13/ES dėl valstybių narių įstatymuose ir kituose teisės aktuose išdėstytų tam tikrų nuostatų, susijusių su audiovizualinės žiniasklaidos paslaugų teikimu, derinimo (Audiovizualinės žiniasklaidos paslaugų direktyva) </w:t>
      </w:r>
      <w:r w:rsidR="00E04F82">
        <w:rPr>
          <w:sz w:val="24"/>
          <w:lang w:val="lt-LT"/>
        </w:rPr>
        <w:t>(</w:t>
      </w:r>
      <w:r w:rsidRPr="000F0CE3">
        <w:rPr>
          <w:sz w:val="24"/>
          <w:lang w:val="lt-LT"/>
        </w:rPr>
        <w:t>OL L 95, 2010 4 15, p. 1</w:t>
      </w:r>
      <w:r w:rsidR="00E04F82">
        <w:rPr>
          <w:sz w:val="24"/>
          <w:lang w:val="lt-LT"/>
        </w:rPr>
        <w:t>)</w:t>
      </w:r>
      <w:r w:rsidRPr="000F0CE3">
        <w:rPr>
          <w:sz w:val="24"/>
          <w:lang w:val="lt-LT"/>
        </w:rPr>
        <w:t>.</w:t>
      </w:r>
    </w:p>
  </w:footnote>
  <w:footnote w:id="16">
    <w:p w:rsidR="00F80879" w:rsidRPr="000F0CE3" w:rsidRDefault="00F80879" w:rsidP="000F0CE3">
      <w:pPr>
        <w:pStyle w:val="FootnoteText"/>
        <w:ind w:left="567" w:hanging="567"/>
        <w:rPr>
          <w:sz w:val="24"/>
          <w:lang w:val="lt-LT"/>
        </w:rPr>
      </w:pPr>
      <w:r w:rsidRPr="000F0CE3">
        <w:rPr>
          <w:rStyle w:val="FootnoteReference"/>
          <w:sz w:val="24"/>
          <w:lang w:val="lt-LT"/>
        </w:rPr>
        <w:footnoteRef/>
      </w:r>
      <w:r w:rsidR="000F0CE3" w:rsidRPr="000F0CE3">
        <w:rPr>
          <w:sz w:val="24"/>
          <w:lang w:val="lt-LT"/>
        </w:rPr>
        <w:t xml:space="preserve"> </w:t>
      </w:r>
      <w:r w:rsidR="000F0CE3" w:rsidRPr="000F0CE3">
        <w:rPr>
          <w:sz w:val="24"/>
          <w:lang w:val="lt-LT"/>
        </w:rPr>
        <w:tab/>
      </w:r>
      <w:r w:rsidRPr="000F0CE3">
        <w:rPr>
          <w:sz w:val="24"/>
          <w:lang w:val="lt-LT"/>
        </w:rPr>
        <w:t>Reglamento (ES) 2021/818, kuriuo nustatoma 2021–2027 m. programa „Kūrybiška Europa“, 8 straipsnis.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5"/>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25/2023"/>
    <w:docVar w:name="dvlangue" w:val="LT"/>
    <w:docVar w:name="dvnumam" w:val="0"/>
    <w:docVar w:name="dvpe" w:val="750.020"/>
    <w:docVar w:name="dvrapporteur" w:val="Pranešėjas: "/>
    <w:docVar w:name="dvtitre" w:val="Europos Parlamento rezoliucija dėl 2021–2027 m. programos „Kūrybiška Europa“ įgyvendinimo(2023/2003(INI))"/>
  </w:docVars>
  <w:rsids>
    <w:rsidRoot w:val="003F0447"/>
    <w:rsid w:val="00002272"/>
    <w:rsid w:val="00064002"/>
    <w:rsid w:val="000677B9"/>
    <w:rsid w:val="000831BA"/>
    <w:rsid w:val="000A42CC"/>
    <w:rsid w:val="000E7DD9"/>
    <w:rsid w:val="000F0CE3"/>
    <w:rsid w:val="0010095E"/>
    <w:rsid w:val="00125B37"/>
    <w:rsid w:val="00187494"/>
    <w:rsid w:val="001D097C"/>
    <w:rsid w:val="001D54D6"/>
    <w:rsid w:val="001F32AE"/>
    <w:rsid w:val="002767FF"/>
    <w:rsid w:val="002B18FE"/>
    <w:rsid w:val="002B5493"/>
    <w:rsid w:val="00343214"/>
    <w:rsid w:val="00361C00"/>
    <w:rsid w:val="00362AE4"/>
    <w:rsid w:val="00395FA1"/>
    <w:rsid w:val="003E15D4"/>
    <w:rsid w:val="003F0447"/>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94A00"/>
    <w:rsid w:val="007D1690"/>
    <w:rsid w:val="007E22AD"/>
    <w:rsid w:val="00817416"/>
    <w:rsid w:val="00842779"/>
    <w:rsid w:val="00865F67"/>
    <w:rsid w:val="00881A7B"/>
    <w:rsid w:val="008840E5"/>
    <w:rsid w:val="00887B3E"/>
    <w:rsid w:val="008C2AC6"/>
    <w:rsid w:val="00930C23"/>
    <w:rsid w:val="0093193B"/>
    <w:rsid w:val="009502A2"/>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04F82"/>
    <w:rsid w:val="00E365E1"/>
    <w:rsid w:val="00E820A4"/>
    <w:rsid w:val="00EB006A"/>
    <w:rsid w:val="00EB4772"/>
    <w:rsid w:val="00ED169E"/>
    <w:rsid w:val="00ED4235"/>
    <w:rsid w:val="00F04346"/>
    <w:rsid w:val="00F075DC"/>
    <w:rsid w:val="00F149E9"/>
    <w:rsid w:val="00F5134D"/>
    <w:rsid w:val="00F74202"/>
    <w:rsid w:val="00F80879"/>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70233A6"/>
  <w15:chartTrackingRefBased/>
  <w15:docId w15:val="{A4BE8F0A-0D82-4ABF-BB81-3AB47FB754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qFormat="1"/>
    <w:lsdException w:name="caption" w:semiHidden="1" w:unhideWhenUsed="1" w:qFormat="1"/>
    <w:lsdException w:name="footnote reference" w:uiPriority="99"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symbol,Footnote reference number,Times 10 Point,Exposant 3 Point,Ref,de nota al pie,note TESI,SUPERS,EN Footnote Reference,EN Footnote text,Footnote Reference Number,Footnote Reference_LVL6,Footnote Reference_LVL61,R,Footnote"/>
    <w:uiPriority w:val="99"/>
    <w:qFormat/>
    <w:rsid w:val="00395FA1"/>
    <w:rPr>
      <w:b w:val="0"/>
      <w:vertAlign w:val="superscript"/>
    </w:rPr>
  </w:style>
  <w:style w:type="paragraph" w:styleId="FootnoteText">
    <w:name w:val="footnote text"/>
    <w:basedOn w:val="Normal"/>
    <w:link w:val="FootnoteTextChar"/>
    <w:uiPriority w:val="99"/>
    <w:qFormat/>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F80879"/>
    <w:pPr>
      <w:spacing w:after="240"/>
      <w:ind w:left="567" w:hanging="567"/>
    </w:pPr>
  </w:style>
  <w:style w:type="paragraph" w:customStyle="1" w:styleId="EPComma">
    <w:name w:val="EPComma"/>
    <w:basedOn w:val="Normal"/>
    <w:rsid w:val="00F80879"/>
    <w:pPr>
      <w:spacing w:before="480" w:after="240"/>
    </w:pPr>
  </w:style>
  <w:style w:type="paragraph" w:styleId="BalloonText">
    <w:name w:val="Balloon Text"/>
    <w:basedOn w:val="Normal"/>
    <w:link w:val="BalloonTextChar"/>
    <w:rsid w:val="00E04F82"/>
    <w:rPr>
      <w:rFonts w:ascii="Segoe UI" w:hAnsi="Segoe UI" w:cs="Segoe UI"/>
      <w:sz w:val="18"/>
      <w:szCs w:val="18"/>
    </w:rPr>
  </w:style>
  <w:style w:type="character" w:customStyle="1" w:styleId="BalloonTextChar">
    <w:name w:val="Balloon Text Char"/>
    <w:basedOn w:val="DefaultParagraphFont"/>
    <w:link w:val="BalloonText"/>
    <w:rsid w:val="00E04F82"/>
    <w:rPr>
      <w:rFonts w:ascii="Segoe UI" w:hAnsi="Segoe UI" w:cs="Segoe UI"/>
      <w:sz w:val="18"/>
      <w:szCs w:val="18"/>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0AE780-40CE-4F67-B6E1-C47E931129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12</Pages>
  <Words>4135</Words>
  <Characters>28615</Characters>
  <Application>Microsoft Office Word</Application>
  <DocSecurity>0</DocSecurity>
  <Lines>1192</Lines>
  <Paragraphs>385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32365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SKEIVYTE Silvija</dc:creator>
  <cp:keywords/>
  <cp:lastModifiedBy>SKEIVYTE Silvija</cp:lastModifiedBy>
  <cp:revision>2</cp:revision>
  <cp:lastPrinted>2004-11-19T15:42:00Z</cp:lastPrinted>
  <dcterms:created xsi:type="dcterms:W3CDTF">2024-01-16T11:20:00Z</dcterms:created>
  <dcterms:modified xsi:type="dcterms:W3CDTF">2024-01-16T11:20:00Z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A9-0425/2023</vt:lpwstr>
  </property>
  <property fmtid="{D5CDD505-2E9C-101B-9397-08002B2CF9AE}" pid="4" name="&lt;Type&gt;">
    <vt:lpwstr>RR</vt:lpwstr>
  </property>
</Properties>
</file>