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D67E7" w:rsidTr="0010095E">
        <w:trPr>
          <w:trHeight w:hRule="exact" w:val="1418"/>
        </w:trPr>
        <w:tc>
          <w:tcPr>
            <w:tcW w:w="6804" w:type="dxa"/>
            <w:shd w:val="clear" w:color="auto" w:fill="auto"/>
            <w:vAlign w:val="center"/>
          </w:tcPr>
          <w:p w:rsidR="00751A4A" w:rsidRPr="001D67E7" w:rsidRDefault="00BC5FB5" w:rsidP="0010095E">
            <w:pPr>
              <w:pStyle w:val="EPName"/>
            </w:pPr>
            <w:r w:rsidRPr="001D67E7">
              <w:t>Europees Parlement</w:t>
            </w:r>
          </w:p>
          <w:p w:rsidR="00751A4A" w:rsidRPr="001D67E7" w:rsidRDefault="00817416" w:rsidP="00756632">
            <w:pPr>
              <w:pStyle w:val="EPTerm"/>
              <w:rPr>
                <w:rStyle w:val="HideTWBExt"/>
                <w:noProof w:val="0"/>
                <w:vanish w:val="0"/>
                <w:color w:val="auto"/>
              </w:rPr>
            </w:pPr>
            <w:r w:rsidRPr="001D67E7">
              <w:t>2019-2024</w:t>
            </w:r>
          </w:p>
        </w:tc>
        <w:tc>
          <w:tcPr>
            <w:tcW w:w="2268" w:type="dxa"/>
            <w:shd w:val="clear" w:color="auto" w:fill="auto"/>
          </w:tcPr>
          <w:p w:rsidR="00751A4A" w:rsidRPr="001D67E7" w:rsidRDefault="00187494" w:rsidP="0010095E">
            <w:pPr>
              <w:pStyle w:val="EPLogo"/>
            </w:pPr>
            <w:r w:rsidRPr="001D67E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D67E7" w:rsidRDefault="00D058B8" w:rsidP="004C5D52">
      <w:pPr>
        <w:pStyle w:val="LineTop"/>
      </w:pPr>
    </w:p>
    <w:p w:rsidR="00680577" w:rsidRPr="001D67E7" w:rsidRDefault="00BC5FB5" w:rsidP="00680577">
      <w:pPr>
        <w:pStyle w:val="EPBodyTA1"/>
      </w:pPr>
      <w:r w:rsidRPr="001D67E7">
        <w:t>AANGENOMEN TEKSTEN</w:t>
      </w:r>
    </w:p>
    <w:p w:rsidR="00D058B8" w:rsidRPr="001D67E7" w:rsidRDefault="00D058B8" w:rsidP="00D058B8">
      <w:pPr>
        <w:pStyle w:val="LineBottom"/>
      </w:pPr>
    </w:p>
    <w:p w:rsidR="00BC5FB5" w:rsidRPr="001D67E7" w:rsidRDefault="00BC5FB5" w:rsidP="00BC5FB5">
      <w:pPr>
        <w:pStyle w:val="ATHeading1"/>
      </w:pPr>
      <w:bookmarkStart w:id="0" w:name="TANumber"/>
      <w:r w:rsidRPr="001D67E7">
        <w:t>P9_</w:t>
      </w:r>
      <w:proofErr w:type="gramStart"/>
      <w:r w:rsidRPr="001D67E7">
        <w:t>TA(</w:t>
      </w:r>
      <w:proofErr w:type="gramEnd"/>
      <w:r w:rsidRPr="001D67E7">
        <w:t>2024)000</w:t>
      </w:r>
      <w:r w:rsidR="00C75C79">
        <w:t>8</w:t>
      </w:r>
      <w:bookmarkEnd w:id="0"/>
    </w:p>
    <w:p w:rsidR="00BC5FB5" w:rsidRPr="001D67E7" w:rsidRDefault="0034281D" w:rsidP="00BC5FB5">
      <w:pPr>
        <w:pStyle w:val="ATHeading2"/>
      </w:pPr>
      <w:bookmarkStart w:id="1" w:name="title"/>
      <w:r>
        <w:t>Tenuit</w:t>
      </w:r>
      <w:r w:rsidR="00BC5FB5" w:rsidRPr="001D67E7">
        <w:t>voer</w:t>
      </w:r>
      <w:r>
        <w:t>legg</w:t>
      </w:r>
      <w:r w:rsidR="00BC5FB5" w:rsidRPr="001D67E7">
        <w:t>ing van het programma Creatief Europa 2021-2027</w:t>
      </w:r>
      <w:bookmarkEnd w:id="1"/>
    </w:p>
    <w:p w:rsidR="00BC5FB5" w:rsidRPr="001D67E7" w:rsidRDefault="00BC5FB5" w:rsidP="00BC5FB5">
      <w:pPr>
        <w:rPr>
          <w:i/>
          <w:vanish/>
        </w:rPr>
      </w:pPr>
      <w:r w:rsidRPr="001D67E7">
        <w:rPr>
          <w:i/>
        </w:rPr>
        <w:fldChar w:fldCharType="begin"/>
      </w:r>
      <w:r w:rsidRPr="001D67E7">
        <w:rPr>
          <w:i/>
        </w:rPr>
        <w:instrText xml:space="preserve"> TC"(</w:instrText>
      </w:r>
      <w:bookmarkStart w:id="2" w:name="DocNumber"/>
      <w:r w:rsidRPr="001D67E7">
        <w:rPr>
          <w:i/>
        </w:rPr>
        <w:instrText>A9-0425/2023</w:instrText>
      </w:r>
      <w:bookmarkEnd w:id="2"/>
      <w:r w:rsidRPr="001D67E7">
        <w:rPr>
          <w:i/>
        </w:rPr>
        <w:instrText xml:space="preserve"> - Rapporteur: Massimiliano Smeriglio)"\l3 \n&gt; \* MERGEFORMAT </w:instrText>
      </w:r>
      <w:r w:rsidRPr="001D67E7">
        <w:rPr>
          <w:i/>
        </w:rPr>
        <w:fldChar w:fldCharType="end"/>
      </w:r>
    </w:p>
    <w:p w:rsidR="00BC5FB5" w:rsidRPr="001D67E7" w:rsidRDefault="00BC5FB5" w:rsidP="00BC5FB5">
      <w:pPr>
        <w:rPr>
          <w:vanish/>
        </w:rPr>
      </w:pPr>
      <w:bookmarkStart w:id="3" w:name="Commission"/>
      <w:r w:rsidRPr="001D67E7">
        <w:rPr>
          <w:vanish/>
        </w:rPr>
        <w:t>Commissie cultuur en onderwijs</w:t>
      </w:r>
      <w:bookmarkEnd w:id="3"/>
    </w:p>
    <w:p w:rsidR="00BC5FB5" w:rsidRPr="001D67E7" w:rsidRDefault="00BC5FB5" w:rsidP="00BC5FB5">
      <w:pPr>
        <w:rPr>
          <w:vanish/>
        </w:rPr>
      </w:pPr>
      <w:bookmarkStart w:id="4" w:name="PE"/>
      <w:r w:rsidRPr="001D67E7">
        <w:rPr>
          <w:vanish/>
        </w:rPr>
        <w:t>PE750.020</w:t>
      </w:r>
      <w:bookmarkEnd w:id="4"/>
    </w:p>
    <w:p w:rsidR="00BC5FB5" w:rsidRPr="001D67E7" w:rsidRDefault="00BC5FB5" w:rsidP="00BC5FB5">
      <w:pPr>
        <w:pStyle w:val="ATHeading3"/>
      </w:pPr>
      <w:bookmarkStart w:id="5" w:name="Sujet"/>
      <w:r w:rsidRPr="001D67E7">
        <w:t>Resolutie van het Europees P</w:t>
      </w:r>
      <w:bookmarkStart w:id="6" w:name="_GoBack"/>
      <w:bookmarkEnd w:id="6"/>
      <w:r w:rsidRPr="001D67E7">
        <w:t xml:space="preserve">arlement van </w:t>
      </w:r>
      <w:r w:rsidR="0034281D">
        <w:t>16</w:t>
      </w:r>
      <w:r w:rsidRPr="001D67E7">
        <w:t xml:space="preserve"> januari 2024 over de tenuitvoerlegging van het programma Creatief Europa 2021-2027</w:t>
      </w:r>
      <w:bookmarkEnd w:id="5"/>
      <w:r w:rsidRPr="001D67E7">
        <w:t xml:space="preserve"> </w:t>
      </w:r>
      <w:bookmarkStart w:id="7" w:name="References"/>
      <w:r w:rsidRPr="001D67E7">
        <w:t>(2023/2003(INI))</w:t>
      </w:r>
      <w:bookmarkEnd w:id="7"/>
    </w:p>
    <w:p w:rsidR="002A1480" w:rsidRPr="001D67E7" w:rsidRDefault="002A1480" w:rsidP="002A1480">
      <w:pPr>
        <w:pStyle w:val="EPComma"/>
      </w:pPr>
      <w:bookmarkStart w:id="8" w:name="TextBodyBegin"/>
      <w:bookmarkEnd w:id="8"/>
      <w:r w:rsidRPr="001D67E7">
        <w:rPr>
          <w:i/>
          <w:iCs/>
        </w:rPr>
        <w:t>Het Europees Parlement</w:t>
      </w:r>
      <w:r w:rsidRPr="001D67E7">
        <w:t>,</w:t>
      </w:r>
    </w:p>
    <w:p w:rsidR="002A1480" w:rsidRPr="001D67E7" w:rsidRDefault="002A1480" w:rsidP="002A1480">
      <w:pPr>
        <w:pStyle w:val="NormalHanging12a"/>
      </w:pPr>
      <w:r w:rsidRPr="001D67E7">
        <w:t>–</w:t>
      </w:r>
      <w:r w:rsidRPr="001D67E7">
        <w:tab/>
        <w:t>gezien het Verdrag betreffende de werking van de Europese Unie, en met name artikel 167, artikel 173, lid 3, en artikel 294, lid 7,</w:t>
      </w:r>
    </w:p>
    <w:p w:rsidR="002A1480" w:rsidRPr="001D67E7" w:rsidRDefault="002A1480" w:rsidP="002A1480">
      <w:pPr>
        <w:pStyle w:val="NormalHanging12a"/>
      </w:pPr>
      <w:r w:rsidRPr="001D67E7">
        <w:t>–</w:t>
      </w:r>
      <w:r w:rsidRPr="001D67E7">
        <w:tab/>
        <w:t>gezien Verordening (EU) 2021/818 van het Europees Parlement en de Raad van 20 mei 2021 tot vaststelling van het programma Creatief Europa (2021-2027)</w:t>
      </w:r>
      <w:r w:rsidRPr="001D67E7">
        <w:rPr>
          <w:rStyle w:val="FootnoteReference"/>
        </w:rPr>
        <w:footnoteReference w:id="1"/>
      </w:r>
      <w:r w:rsidRPr="001D67E7">
        <w:t>,</w:t>
      </w:r>
    </w:p>
    <w:p w:rsidR="002A1480" w:rsidRPr="001D67E7" w:rsidRDefault="002A1480" w:rsidP="002A1480">
      <w:pPr>
        <w:pStyle w:val="NormalHanging12a"/>
      </w:pPr>
      <w:r w:rsidRPr="001D67E7">
        <w:t>–</w:t>
      </w:r>
      <w:r w:rsidRPr="001D67E7">
        <w:tab/>
        <w:t>gezien Verordening (EU) nr. 1295/2013 van het Europees Parlement en de Raad van 11 december 2013 tot vaststelling van het Programma Creatief Europa (2014-2020)</w:t>
      </w:r>
      <w:r w:rsidRPr="001D67E7">
        <w:rPr>
          <w:rStyle w:val="FootnoteReference"/>
          <w:color w:val="000000"/>
          <w:szCs w:val="24"/>
        </w:rPr>
        <w:footnoteReference w:id="2"/>
      </w:r>
      <w:r w:rsidRPr="001D67E7">
        <w:t>,</w:t>
      </w:r>
    </w:p>
    <w:p w:rsidR="002A1480" w:rsidRPr="001D67E7" w:rsidRDefault="002A1480" w:rsidP="002A1480">
      <w:pPr>
        <w:pStyle w:val="NormalHanging12a"/>
      </w:pPr>
      <w:r w:rsidRPr="001D67E7">
        <w:t>–</w:t>
      </w:r>
      <w:r w:rsidRPr="001D67E7">
        <w:tab/>
        <w:t>gezien het voorstel van de Commissie van 5 mei 2018 voor een verordening van het Europees Parlement en de Raad tot vaststelling van het programma Creatief Europa (2021-2027) en tot intrekking van Verordening (EU) nr. 1295/2013 (</w:t>
      </w:r>
      <w:proofErr w:type="gramStart"/>
      <w:r w:rsidRPr="001D67E7">
        <w:t>COM(</w:t>
      </w:r>
      <w:proofErr w:type="gramEnd"/>
      <w:r w:rsidRPr="001D67E7">
        <w:t>2018)0366),</w:t>
      </w:r>
    </w:p>
    <w:p w:rsidR="002A1480" w:rsidRPr="001D67E7" w:rsidRDefault="002A1480" w:rsidP="002A1480">
      <w:pPr>
        <w:pStyle w:val="NormalHanging12a"/>
      </w:pPr>
      <w:r w:rsidRPr="001D67E7">
        <w:t>–</w:t>
      </w:r>
      <w:r w:rsidRPr="001D67E7">
        <w:tab/>
        <w:t>gezien zijn standpunt in eerste lezing van 28 maart 2019 over het voorstel voor een verordening van het Europees Parlement en de Raad tot vaststelling van het programma Creatief Europa (2021-2027) en tot intrekking van Verordening (EU) nr. 1295/2013</w:t>
      </w:r>
      <w:r w:rsidRPr="001D67E7">
        <w:rPr>
          <w:rStyle w:val="FootnoteReference"/>
          <w:color w:val="000000"/>
        </w:rPr>
        <w:footnoteReference w:id="3"/>
      </w:r>
      <w:r w:rsidRPr="001D67E7">
        <w:t>,</w:t>
      </w:r>
    </w:p>
    <w:p w:rsidR="002A1480" w:rsidRPr="001D67E7" w:rsidRDefault="002A1480" w:rsidP="002A1480">
      <w:pPr>
        <w:pStyle w:val="NormalHanging12a"/>
      </w:pPr>
      <w:r w:rsidRPr="001D67E7">
        <w:t>–</w:t>
      </w:r>
      <w:r w:rsidRPr="001D67E7">
        <w:tab/>
        <w:t>gezien het advies van het Europees Economisch en Sociaal Comité van 12 december 2018 over het voorstel voor een verordening van het Europees Parlement en de Raad tot vaststelling van het programma Creatief Europa (2021-2027) en tot intrekking van Verordening (EU) nr. 1295/2013</w:t>
      </w:r>
      <w:r w:rsidRPr="001D67E7">
        <w:rPr>
          <w:rStyle w:val="FootnoteReference"/>
        </w:rPr>
        <w:footnoteReference w:id="4"/>
      </w:r>
      <w:r w:rsidRPr="001D67E7">
        <w:t>,</w:t>
      </w:r>
    </w:p>
    <w:p w:rsidR="002A1480" w:rsidRPr="001D67E7" w:rsidRDefault="002A1480" w:rsidP="002A1480">
      <w:pPr>
        <w:pStyle w:val="NormalHanging12a"/>
      </w:pPr>
      <w:r w:rsidRPr="001D67E7">
        <w:t>–</w:t>
      </w:r>
      <w:r w:rsidRPr="001D67E7">
        <w:tab/>
        <w:t xml:space="preserve">gezien het advies van het Europees Comité van de Regio’s van 6 februari 2019 over </w:t>
      </w:r>
      <w:r w:rsidRPr="001D67E7">
        <w:lastRenderedPageBreak/>
        <w:t>“Creatief Europa” en “Een nieuwe Europese agenda voor cultuur”</w:t>
      </w:r>
      <w:r w:rsidRPr="001D67E7">
        <w:rPr>
          <w:rStyle w:val="FootnoteReference"/>
          <w:color w:val="000000"/>
          <w:szCs w:val="24"/>
        </w:rPr>
        <w:footnoteReference w:id="5"/>
      </w:r>
      <w:r w:rsidRPr="001D67E7">
        <w:t>,</w:t>
      </w:r>
    </w:p>
    <w:p w:rsidR="002A1480" w:rsidRPr="001D67E7" w:rsidRDefault="002A1480" w:rsidP="002A1480">
      <w:pPr>
        <w:pStyle w:val="NormalHanging12a"/>
      </w:pPr>
      <w:r w:rsidRPr="001D67E7">
        <w:t>–</w:t>
      </w:r>
      <w:r w:rsidRPr="001D67E7">
        <w:tab/>
        <w:t>gezien het verslag van de Commissie van 30 april 2018 getiteld “Tussentijdse evaluatie van het programma Creatief Europa (2014-2020)” (</w:t>
      </w:r>
      <w:proofErr w:type="gramStart"/>
      <w:r w:rsidRPr="001D67E7">
        <w:t>COM(</w:t>
      </w:r>
      <w:proofErr w:type="gramEnd"/>
      <w:r w:rsidRPr="001D67E7">
        <w:t>2018)0248),</w:t>
      </w:r>
    </w:p>
    <w:p w:rsidR="002A1480" w:rsidRPr="001D67E7" w:rsidRDefault="002A1480" w:rsidP="002A1480">
      <w:pPr>
        <w:pStyle w:val="NormalHanging12a"/>
      </w:pPr>
      <w:r w:rsidRPr="001D67E7">
        <w:t>–</w:t>
      </w:r>
      <w:r w:rsidRPr="001D67E7">
        <w:tab/>
        <w:t xml:space="preserve">gezien Uitvoeringsbesluit </w:t>
      </w:r>
      <w:proofErr w:type="gramStart"/>
      <w:r w:rsidRPr="001D67E7">
        <w:t>C(</w:t>
      </w:r>
      <w:proofErr w:type="gramEnd"/>
      <w:r w:rsidRPr="001D67E7">
        <w:t>2023)3227 van de Commissie van 5 juni 2023 tot wijziging van Uitvoeringsbesluit C(2021)3563 betreffende de financiering van het programma Creatief Europa voor 2021-2025 en de vaststelling van de werkprogramma’s voor 2021, 2022 en 2023,</w:t>
      </w:r>
    </w:p>
    <w:p w:rsidR="002A1480" w:rsidRPr="001D67E7" w:rsidRDefault="002A1480" w:rsidP="002A1480">
      <w:pPr>
        <w:pStyle w:val="NormalHanging12a"/>
      </w:pPr>
      <w:r w:rsidRPr="001D67E7">
        <w:t>–</w:t>
      </w:r>
      <w:r w:rsidRPr="001D67E7">
        <w:tab/>
        <w:t xml:space="preserve">gezien Uitvoeringsbesluit </w:t>
      </w:r>
      <w:proofErr w:type="gramStart"/>
      <w:r w:rsidRPr="001D67E7">
        <w:t>C(</w:t>
      </w:r>
      <w:proofErr w:type="gramEnd"/>
      <w:r w:rsidRPr="001D67E7">
        <w:t>2022)6138 van de Commissie van 31 augustus 2022 tot wijziging van Uitvoeringsbesluit C(2021)3563 betreffende de financiering van het programma Creatief Europa voor 2021-2023 en de vaststelling van de werkprogramma’s voor 2021 en 2022,</w:t>
      </w:r>
    </w:p>
    <w:p w:rsidR="002A1480" w:rsidRPr="001D67E7" w:rsidRDefault="002A1480" w:rsidP="002A1480">
      <w:pPr>
        <w:pStyle w:val="NormalHanging12a"/>
      </w:pPr>
      <w:r w:rsidRPr="001D67E7">
        <w:t>–</w:t>
      </w:r>
      <w:r w:rsidRPr="001D67E7">
        <w:tab/>
        <w:t xml:space="preserve">gezien Uitvoeringsbesluit </w:t>
      </w:r>
      <w:proofErr w:type="gramStart"/>
      <w:r w:rsidRPr="001D67E7">
        <w:t>C(</w:t>
      </w:r>
      <w:proofErr w:type="gramEnd"/>
      <w:r w:rsidRPr="001D67E7">
        <w:t>2021)3563 van de Commissie van 26 mei 2021 betreffende de vaststelling van het werkprogramma voor de uitvoering van het programma Creatief Europa voor 2021,</w:t>
      </w:r>
    </w:p>
    <w:p w:rsidR="002A1480" w:rsidRPr="001D67E7" w:rsidRDefault="002A1480" w:rsidP="002A1480">
      <w:pPr>
        <w:pStyle w:val="NormalHanging12a"/>
      </w:pPr>
      <w:r w:rsidRPr="001D67E7">
        <w:t>–</w:t>
      </w:r>
      <w:r w:rsidRPr="001D67E7">
        <w:tab/>
        <w:t>gezien het jaarlijkse werkprogramma van de Commissie voor 2022 voor de uitvoering van het programma Creatief Europa,</w:t>
      </w:r>
    </w:p>
    <w:p w:rsidR="002A1480" w:rsidRPr="001D67E7" w:rsidRDefault="002A1480" w:rsidP="002A1480">
      <w:pPr>
        <w:pStyle w:val="NormalHanging12a"/>
      </w:pPr>
      <w:r w:rsidRPr="001D67E7">
        <w:t>–</w:t>
      </w:r>
      <w:r w:rsidRPr="001D67E7">
        <w:tab/>
        <w:t>gezien het jaarlijkse werkprogramma van de Commissie voor 2021 voor de uitvoering van het programma Creatief Europa,</w:t>
      </w:r>
    </w:p>
    <w:p w:rsidR="002A1480" w:rsidRPr="001D67E7" w:rsidRDefault="002A1480" w:rsidP="002A1480">
      <w:pPr>
        <w:pStyle w:val="NormalHanging12a"/>
      </w:pPr>
      <w:r w:rsidRPr="001D67E7">
        <w:t>–</w:t>
      </w:r>
      <w:r w:rsidRPr="001D67E7">
        <w:tab/>
        <w:t>gezien de mededeling van de Commissie van 11 juli 2023 getiteld “Een EU-initiatief voor Web 4.0 en virtuele werelden: een voorsprong bij de volgende technologische transitie” (</w:t>
      </w:r>
      <w:proofErr w:type="gramStart"/>
      <w:r w:rsidRPr="001D67E7">
        <w:t>COM(</w:t>
      </w:r>
      <w:proofErr w:type="gramEnd"/>
      <w:r w:rsidRPr="001D67E7">
        <w:t>2023)0442),</w:t>
      </w:r>
    </w:p>
    <w:p w:rsidR="002A1480" w:rsidRPr="001D67E7" w:rsidRDefault="002A1480" w:rsidP="002A1480">
      <w:pPr>
        <w:pStyle w:val="NormalHanging12a"/>
      </w:pPr>
      <w:r w:rsidRPr="001D67E7">
        <w:t>–</w:t>
      </w:r>
      <w:r w:rsidRPr="001D67E7">
        <w:tab/>
        <w:t>gezien de mededeling van de Commissie van 3 december 2020 getiteld “Europese media in het digitale decennium: een actieplan ter ondersteuning van het herstel en de transformatie (</w:t>
      </w:r>
      <w:proofErr w:type="gramStart"/>
      <w:r w:rsidRPr="001D67E7">
        <w:t>COM(</w:t>
      </w:r>
      <w:proofErr w:type="gramEnd"/>
      <w:r w:rsidRPr="001D67E7">
        <w:t>2020)0784),</w:t>
      </w:r>
    </w:p>
    <w:p w:rsidR="002A1480" w:rsidRPr="001D67E7" w:rsidRDefault="002A1480" w:rsidP="002A1480">
      <w:pPr>
        <w:pStyle w:val="NormalHanging12a"/>
      </w:pPr>
      <w:r w:rsidRPr="001D67E7">
        <w:t>–</w:t>
      </w:r>
      <w:r w:rsidRPr="001D67E7">
        <w:tab/>
        <w:t>gezien de mededeling van de Commissie van 22 mei 2018 getiteld “Een nieuwe Europese agenda voor cultuur” (</w:t>
      </w:r>
      <w:proofErr w:type="gramStart"/>
      <w:r w:rsidRPr="001D67E7">
        <w:t>COM(</w:t>
      </w:r>
      <w:proofErr w:type="gramEnd"/>
      <w:r w:rsidRPr="001D67E7">
        <w:t>2018)0267),</w:t>
      </w:r>
    </w:p>
    <w:p w:rsidR="002A1480" w:rsidRPr="001D67E7" w:rsidRDefault="002A1480" w:rsidP="002A1480">
      <w:pPr>
        <w:pStyle w:val="NormalHanging12a"/>
      </w:pPr>
      <w:r w:rsidRPr="001D67E7">
        <w:t>–</w:t>
      </w:r>
      <w:r w:rsidRPr="001D67E7">
        <w:tab/>
        <w:t>gezien de resolutie van de Raad van 7 december 2022 over het EU-werkplan voor cultuur 2023-2026</w:t>
      </w:r>
      <w:r w:rsidRPr="001D67E7">
        <w:rPr>
          <w:rStyle w:val="FootnoteReference"/>
          <w:color w:val="000000"/>
          <w:szCs w:val="24"/>
        </w:rPr>
        <w:footnoteReference w:id="6"/>
      </w:r>
      <w:r w:rsidRPr="001D67E7">
        <w:t>,</w:t>
      </w:r>
    </w:p>
    <w:p w:rsidR="002A1480" w:rsidRPr="001D67E7" w:rsidRDefault="002A1480" w:rsidP="002A1480">
      <w:pPr>
        <w:pStyle w:val="NormalHanging12a"/>
      </w:pPr>
      <w:r w:rsidRPr="001D67E7">
        <w:t>–</w:t>
      </w:r>
      <w:r w:rsidRPr="001D67E7">
        <w:tab/>
        <w:t>gezien zijn resolutie van 14 september 2023 over de toekomst van de Europese boekensector</w:t>
      </w:r>
      <w:r w:rsidRPr="001D67E7">
        <w:rPr>
          <w:rStyle w:val="FootnoteReference"/>
        </w:rPr>
        <w:footnoteReference w:id="7"/>
      </w:r>
      <w:r w:rsidRPr="001D67E7">
        <w:t>,</w:t>
      </w:r>
    </w:p>
    <w:p w:rsidR="002A1480" w:rsidRPr="001D67E7" w:rsidRDefault="002A1480" w:rsidP="002A1480">
      <w:pPr>
        <w:pStyle w:val="NormalHanging12a"/>
      </w:pPr>
      <w:r w:rsidRPr="001D67E7">
        <w:t>–</w:t>
      </w:r>
      <w:r w:rsidRPr="001D67E7">
        <w:tab/>
        <w:t>gezien zijn resolutie van 14 december 2022 over de uitvoering van de nieuwe Europese agenda voor cultuur en de EU-strategie voor internationale culturele betrekkingen</w:t>
      </w:r>
      <w:r w:rsidRPr="001D67E7">
        <w:rPr>
          <w:rStyle w:val="FootnoteReference"/>
          <w:color w:val="000000"/>
          <w:szCs w:val="24"/>
        </w:rPr>
        <w:footnoteReference w:id="8"/>
      </w:r>
      <w:r w:rsidRPr="001D67E7">
        <w:t>,</w:t>
      </w:r>
    </w:p>
    <w:p w:rsidR="002A1480" w:rsidRPr="001D67E7" w:rsidRDefault="002A1480" w:rsidP="002A1480">
      <w:pPr>
        <w:pStyle w:val="NormalHanging12a"/>
      </w:pPr>
      <w:r w:rsidRPr="001D67E7">
        <w:t>–</w:t>
      </w:r>
      <w:r w:rsidRPr="001D67E7">
        <w:tab/>
        <w:t xml:space="preserve">gezien zijn resolutie van 20 oktober 2021 over de Europese media in het digitale </w:t>
      </w:r>
      <w:r w:rsidRPr="001D67E7">
        <w:lastRenderedPageBreak/>
        <w:t>decennium: een actieplan ter ondersteuning van het herstel en de transformatie</w:t>
      </w:r>
      <w:r w:rsidRPr="001D67E7">
        <w:rPr>
          <w:rStyle w:val="FootnoteReference"/>
          <w:color w:val="000000"/>
          <w:szCs w:val="24"/>
        </w:rPr>
        <w:footnoteReference w:id="9"/>
      </w:r>
      <w:r w:rsidRPr="001D67E7">
        <w:t>,</w:t>
      </w:r>
    </w:p>
    <w:p w:rsidR="002A1480" w:rsidRPr="001D67E7" w:rsidRDefault="002A1480" w:rsidP="002A1480">
      <w:pPr>
        <w:pStyle w:val="NormalHanging12a"/>
      </w:pPr>
      <w:r w:rsidRPr="001D67E7">
        <w:t>–</w:t>
      </w:r>
      <w:r w:rsidRPr="001D67E7">
        <w:tab/>
        <w:t>gezien zijn resolutie van 17 april 2020 over gecoördineerde EU-maatregelen om de COVID-19-pandemie en de gevolgen ervan te bestrijden</w:t>
      </w:r>
      <w:r w:rsidRPr="001D67E7">
        <w:rPr>
          <w:rStyle w:val="FootnoteReference"/>
          <w:color w:val="000000"/>
          <w:szCs w:val="24"/>
        </w:rPr>
        <w:footnoteReference w:id="10"/>
      </w:r>
      <w:r w:rsidRPr="001D67E7">
        <w:t>,</w:t>
      </w:r>
    </w:p>
    <w:p w:rsidR="002A1480" w:rsidRPr="001D67E7" w:rsidRDefault="002A1480" w:rsidP="002A1480">
      <w:pPr>
        <w:pStyle w:val="NormalHanging12a"/>
      </w:pPr>
      <w:r w:rsidRPr="001D67E7">
        <w:t>–</w:t>
      </w:r>
      <w:r w:rsidRPr="001D67E7">
        <w:tab/>
        <w:t>gezien zijn resolutie van 15 september 2020 over de doeltreffende maatregelen voor een “groen” Erasmus+, Creatief Europa en het Europees Solidariteitskorps</w:t>
      </w:r>
      <w:r w:rsidRPr="001D67E7">
        <w:rPr>
          <w:rStyle w:val="FootnoteReference"/>
        </w:rPr>
        <w:footnoteReference w:id="11"/>
      </w:r>
      <w:r w:rsidRPr="001D67E7">
        <w:t>,</w:t>
      </w:r>
    </w:p>
    <w:p w:rsidR="002A1480" w:rsidRPr="001D67E7" w:rsidRDefault="002A1480" w:rsidP="002A1480">
      <w:pPr>
        <w:pStyle w:val="NormalHanging12a"/>
      </w:pPr>
      <w:r w:rsidRPr="001D67E7">
        <w:t>–</w:t>
      </w:r>
      <w:r w:rsidRPr="001D67E7">
        <w:tab/>
        <w:t>gezien zijn resolutie van 17 september 2020 over het cultureel herstel van Europa</w:t>
      </w:r>
      <w:r w:rsidRPr="001D67E7">
        <w:rPr>
          <w:rStyle w:val="FootnoteReference"/>
        </w:rPr>
        <w:footnoteReference w:id="12"/>
      </w:r>
      <w:r w:rsidRPr="001D67E7">
        <w:t xml:space="preserve">, </w:t>
      </w:r>
    </w:p>
    <w:p w:rsidR="002A1480" w:rsidRPr="001D67E7" w:rsidRDefault="002A1480" w:rsidP="002A1480">
      <w:pPr>
        <w:pStyle w:val="NormalHanging12a"/>
      </w:pPr>
      <w:r w:rsidRPr="001D67E7">
        <w:t>–</w:t>
      </w:r>
      <w:r w:rsidRPr="001D67E7">
        <w:tab/>
        <w:t>gezien artikel 54 van zijn Reglement en artikel 1, lid 1, punt e), van en bijlage 3 bij het besluit van de Conferentie van voorzitters van 12 december 2002 betreffende de procedure inzake het verlenen van toestemming voor het opstellen van initiatiefverslagen,</w:t>
      </w:r>
    </w:p>
    <w:p w:rsidR="002A1480" w:rsidRPr="001D67E7" w:rsidRDefault="002A1480" w:rsidP="002A1480">
      <w:pPr>
        <w:pStyle w:val="NormalHanging12a"/>
      </w:pPr>
      <w:r w:rsidRPr="001D67E7">
        <w:t>–</w:t>
      </w:r>
      <w:r w:rsidRPr="001D67E7">
        <w:tab/>
        <w:t>gezien het verslag van de Commissie cultuur en onderwijs (A9-0425/2023),</w:t>
      </w:r>
    </w:p>
    <w:p w:rsidR="002A1480" w:rsidRPr="001D67E7" w:rsidRDefault="002A1480" w:rsidP="002A1480">
      <w:pPr>
        <w:pStyle w:val="NormalHanging12a"/>
        <w:rPr>
          <w:rFonts w:eastAsiaTheme="minorHAnsi"/>
        </w:rPr>
      </w:pPr>
      <w:r w:rsidRPr="001D67E7">
        <w:t>A.</w:t>
      </w:r>
      <w:r w:rsidRPr="001D67E7">
        <w:tab/>
        <w:t>overwegende dat de verzamelde gegevens bevestigen dat de culturele en creatieve sector aanzienlijke belangstelling voor het programma heeft; overwegende dat hogere medefinancieringspercentages voor diverse acties in het kader van de onderdelen Cultuur en Media gunstig zijn gebleken voor de ondersteuning van de culturele en creatieve ecosystemen en ook betere kansen hebben gecreëerd voor kleinere projecten, met name in de nasleep van de pandemie;</w:t>
      </w:r>
    </w:p>
    <w:p w:rsidR="002A1480" w:rsidRPr="001D67E7" w:rsidRDefault="002A1480" w:rsidP="002A1480">
      <w:pPr>
        <w:pStyle w:val="NormalHanging12a"/>
        <w:rPr>
          <w:rFonts w:eastAsiaTheme="minorHAnsi"/>
        </w:rPr>
      </w:pPr>
      <w:r w:rsidRPr="001D67E7">
        <w:t>B.</w:t>
      </w:r>
      <w:r w:rsidRPr="001D67E7">
        <w:tab/>
        <w:t>overwegende dat de totale begroting van het programma Creatief Europa 2021-2027 met ongeveer 68 % is verhoogd ten opzichte van de voorgaande editie; overwegende dat deze verhoging voor een groot deel wordt tenietgedaan door de aanhoudende inflatie</w:t>
      </w:r>
      <w:r w:rsidRPr="001D67E7">
        <w:rPr>
          <w:rStyle w:val="FootnoteReference"/>
          <w:rFonts w:eastAsiaTheme="minorHAnsi"/>
          <w:lang w:eastAsia="en-US"/>
        </w:rPr>
        <w:footnoteReference w:id="13"/>
      </w:r>
      <w:r w:rsidRPr="001D67E7">
        <w:t xml:space="preserve"> als gevolg van de energiekosten; overwegende dat een derde van de financiële toewijzing reeds in 2021 en 2022 is vastgelegd om onder meer de gevolgen van de COVID-19-pandemie aan te pakken;</w:t>
      </w:r>
    </w:p>
    <w:p w:rsidR="002A1480" w:rsidRPr="001D67E7" w:rsidRDefault="002A1480" w:rsidP="002A1480">
      <w:pPr>
        <w:pStyle w:val="NormalHanging12a"/>
        <w:rPr>
          <w:rFonts w:eastAsiaTheme="minorHAnsi"/>
        </w:rPr>
      </w:pPr>
      <w:r w:rsidRPr="001D67E7">
        <w:t>C.</w:t>
      </w:r>
      <w:r w:rsidRPr="001D67E7">
        <w:tab/>
        <w:t>overwegende dat Creatief Europa het enige programma is waarmee uitsluitend steun wordt verleend aan alle culturele en creatieve sectoren waarvan de activiteiten gebaseerd zijn op culturele en artistieke waarden, met name doordat scheppende kunstenaars en artiesten, zoals schrijvers en uitvoerende kunstenaars, worden ondersteund, naast kleinschalige projecten;</w:t>
      </w:r>
    </w:p>
    <w:p w:rsidR="002A1480" w:rsidRPr="001D67E7" w:rsidRDefault="002A1480" w:rsidP="002A1480">
      <w:pPr>
        <w:pStyle w:val="NormalHanging12a"/>
        <w:rPr>
          <w:rFonts w:eastAsiaTheme="minorHAnsi"/>
        </w:rPr>
      </w:pPr>
      <w:r w:rsidRPr="001D67E7">
        <w:t>D.</w:t>
      </w:r>
      <w:r w:rsidRPr="001D67E7">
        <w:tab/>
        <w:t>overwegende dat het programma recht doet aan de intrinsieke en artistieke waarde van cultuur, die centraal moet blijven staan, zonder echter de bredere bijdrage van het programma aan innovatie en groei te verwaarlozen; overwegende dat Creatief Europa, als een door de EU gefinancierd programma, moet helpen de beginselen van de Europese pijler van sociale rechten uit te voeren en eerlijke praktijken en arbeidsomstandigheden in de culturele en creatieve sector te bevorderen;</w:t>
      </w:r>
    </w:p>
    <w:p w:rsidR="002A1480" w:rsidRPr="001D67E7" w:rsidRDefault="002A1480" w:rsidP="002A1480">
      <w:pPr>
        <w:pStyle w:val="NormalHanging12a"/>
        <w:rPr>
          <w:rFonts w:eastAsiaTheme="minorHAnsi"/>
        </w:rPr>
      </w:pPr>
      <w:r w:rsidRPr="001D67E7">
        <w:t>E.</w:t>
      </w:r>
      <w:r w:rsidRPr="001D67E7">
        <w:tab/>
        <w:t xml:space="preserve">overwegende dat een van de belangrijkste nieuwigheden van het programma inhoudt dat de horizontale prioriteiten inclusie, diversiteit (met name genderevenwicht) en </w:t>
      </w:r>
      <w:r w:rsidRPr="001D67E7">
        <w:lastRenderedPageBreak/>
        <w:t>vergroening erin worden geïntegreerd; overwegende dat in de jaarlijkse werkprogramma’s voor 2021 en 2022 bijzondere aandacht wordt besteed aan de bevordering van sociale inclusie en gendergelijkheid; overwegende dat het programma zodanig moet worden uitgevoerd dat een zo breed mogelijke culturele participatie gewaarborgd is, onder meer van personen met een handicap en kansarmen;</w:t>
      </w:r>
    </w:p>
    <w:p w:rsidR="002A1480" w:rsidRPr="001D67E7" w:rsidRDefault="002A1480" w:rsidP="002A1480">
      <w:pPr>
        <w:pStyle w:val="NormalHanging12a"/>
        <w:rPr>
          <w:rFonts w:eastAsiaTheme="minorHAnsi"/>
        </w:rPr>
      </w:pPr>
      <w:r w:rsidRPr="001D67E7">
        <w:t>F.</w:t>
      </w:r>
      <w:r w:rsidRPr="001D67E7">
        <w:tab/>
        <w:t>overwegende dat het programma tot doel heeft de digitale transitie van de culturele en creatieve sector te ondersteunen, aangezien technologie de manier waarop deze sector inhoud creëert, produceert en verspreidt, heeft veranderd; overwegende dat digitalisering weliswaar mogelijkheden kan bieden om de culturele participatie te vergroten, maar ook uitdagingen met zich mee kan brengen die anders zijn dan die van het analoge tijdperk;</w:t>
      </w:r>
    </w:p>
    <w:p w:rsidR="002A1480" w:rsidRPr="001D67E7" w:rsidRDefault="002A1480" w:rsidP="002A1480">
      <w:pPr>
        <w:pStyle w:val="NormalHanging12a"/>
        <w:rPr>
          <w:rFonts w:eastAsiaTheme="minorHAnsi"/>
        </w:rPr>
      </w:pPr>
      <w:r w:rsidRPr="001D67E7">
        <w:t>G.</w:t>
      </w:r>
      <w:r w:rsidRPr="001D67E7">
        <w:tab/>
        <w:t>overwegende dat een aanzienlijk aantal begunstigden en potentiële begunstigden van het programma Creatief Europa de administratieve beheersprocedures (aanvraag, evaluatie en verslaglegging) nog steeds als zeer tijdrovend en omslachtig beschouwt, al is er enige vooruitgang geboekt op het gebied van vereenvoudiging;</w:t>
      </w:r>
    </w:p>
    <w:p w:rsidR="002A1480" w:rsidRPr="001D67E7" w:rsidRDefault="002A1480" w:rsidP="002A1480">
      <w:pPr>
        <w:pStyle w:val="NormalHanging12a"/>
        <w:rPr>
          <w:rFonts w:eastAsiaTheme="minorHAnsi"/>
        </w:rPr>
      </w:pPr>
      <w:r w:rsidRPr="001D67E7">
        <w:t>H.</w:t>
      </w:r>
      <w:r w:rsidRPr="001D67E7">
        <w:tab/>
        <w:t>overwegende dat de lastige administratieve beheersprocedures vaak minder ervaren aanvragers, waaronder jonge scheppende kunstenaars, en kleine organisaties, met name organisaties uit achtergestelde gebieden, ontmoedigen om deel te nemen; overwegende dat de aanvraagprocedure moet worden vereenvoudigd en verbeterd, in het bijzonder vanwege de toename van het aantal stappen in de procedure en de gebruiksonvriendelijke interface, die niet altijd compatibel is met veelgebruikte applicaties;</w:t>
      </w:r>
    </w:p>
    <w:p w:rsidR="002A1480" w:rsidRPr="001D67E7" w:rsidRDefault="002A1480" w:rsidP="002A1480">
      <w:pPr>
        <w:pStyle w:val="NormalHanging12a"/>
        <w:rPr>
          <w:rFonts w:eastAsiaTheme="minorHAnsi"/>
        </w:rPr>
      </w:pPr>
      <w:r w:rsidRPr="001D67E7">
        <w:t>I.</w:t>
      </w:r>
      <w:r w:rsidRPr="001D67E7">
        <w:tab/>
        <w:t>overwegende dat het platform voor het programma een ingewikkelde verslagleggingsprocedure omvat die moeilijk te doorgronden is en die oorspronkelijk niet was ontworpen voor het soort projecten dat door het programma wordt gefinancierd;</w:t>
      </w:r>
    </w:p>
    <w:p w:rsidR="002A1480" w:rsidRPr="001D67E7" w:rsidRDefault="002A1480" w:rsidP="002A1480">
      <w:pPr>
        <w:pStyle w:val="NormalHanging12a"/>
      </w:pPr>
      <w:r w:rsidRPr="001D67E7">
        <w:t>J.</w:t>
      </w:r>
      <w:r w:rsidRPr="001D67E7">
        <w:tab/>
        <w:t>overwegende dat met het onderdeel Cultuur de netwerkvorming van creatieve gemeenschappen en samenwerking over de grenzen heen wordt bevorderd, met bijzondere aandacht voor samenwerkingsprojecten; overwegende dat de regeling voor samenwerkingsprojecten in de eerste twee jaar van uitvoering is uitgegroeid tot de populairste in het kader van het onderdeel Cultuur, en dat met deze regeling steun wordt verleend aan 291 projecten; overwegende dat de Commissie moet bekijken of de voorlichtingsactiviteiten in het kader van het onderdeel Cultuur kunnen worden uitgebreid om de deelname in alle culturele en creatieve groepen te vergroten, ook in perifere en plattelandsgebieden;</w:t>
      </w:r>
    </w:p>
    <w:p w:rsidR="002A1480" w:rsidRPr="001D67E7" w:rsidRDefault="002A1480" w:rsidP="002A1480">
      <w:pPr>
        <w:pStyle w:val="NormalHanging12a"/>
      </w:pPr>
      <w:r w:rsidRPr="001D67E7">
        <w:t>K.</w:t>
      </w:r>
      <w:r w:rsidRPr="001D67E7">
        <w:tab/>
        <w:t>overwegende dat het onderdeel Media een belangrijke rol speelt bij het bevorderen van groei en weerbaarheid in de audiovisuele sector; overwegende dat dit onderdeel in de periode 2021-2022 2 124 aanvragers heeft aangetrokken, met een gemiddeld succespercentage van 66 %;</w:t>
      </w:r>
    </w:p>
    <w:p w:rsidR="002A1480" w:rsidRPr="001D67E7" w:rsidRDefault="002A1480" w:rsidP="002A1480">
      <w:pPr>
        <w:pStyle w:val="NormalHanging12a"/>
        <w:rPr>
          <w:rFonts w:eastAsiaTheme="minorHAnsi"/>
        </w:rPr>
      </w:pPr>
      <w:r w:rsidRPr="001D67E7">
        <w:t>L.</w:t>
      </w:r>
      <w:r w:rsidRPr="001D67E7">
        <w:tab/>
        <w:t>overwegende dat de voorbereidende actie “Europees schrijven”, die vanaf 2021 wordt ondersteund, is opgezet om scheppende kunstenaars, met name schrijvers, te ondersteunen bij het bedenken en ontwikkelen van kwaliteitsvolle series die over de grenzen heen een nieuw publiek kunnen bereiken;</w:t>
      </w:r>
    </w:p>
    <w:p w:rsidR="002A1480" w:rsidRPr="001D67E7" w:rsidRDefault="002A1480" w:rsidP="002A1480">
      <w:pPr>
        <w:pStyle w:val="NormalHanging12a"/>
        <w:rPr>
          <w:rFonts w:eastAsiaTheme="minorHAnsi"/>
        </w:rPr>
      </w:pPr>
      <w:r w:rsidRPr="001D67E7">
        <w:lastRenderedPageBreak/>
        <w:t>M.</w:t>
      </w:r>
      <w:r w:rsidRPr="001D67E7">
        <w:tab/>
        <w:t xml:space="preserve">overwegende dat het </w:t>
      </w:r>
      <w:r w:rsidR="00891B33">
        <w:t>S</w:t>
      </w:r>
      <w:r w:rsidRPr="001D67E7">
        <w:t>ectoroverschrijdende onderdeel een groter aantal nieuwigheden vertoont die de nieuwe doelstellingen weerspiegelen; overwegende dat de horizontale acties ter ondersteuning van de nieuwsmediasector een gloednieuw aandachtspunt vormen van het programma Creatief Europa;</w:t>
      </w:r>
    </w:p>
    <w:p w:rsidR="002A1480" w:rsidRPr="001D67E7" w:rsidRDefault="002A1480" w:rsidP="002A1480">
      <w:pPr>
        <w:pStyle w:val="NormalHanging12a"/>
      </w:pPr>
      <w:r w:rsidRPr="001D67E7">
        <w:t>N.</w:t>
      </w:r>
      <w:r w:rsidRPr="001D67E7">
        <w:tab/>
        <w:t>overwegende dat het vergroten van de mobiliteit in de Europese culturele en creatieve sector een specifieke doelstelling is van het programma, die wordt nagestreefd door middel van een gerichte nieuwe regeling in het kader van het onderdeel Cultuur;</w:t>
      </w:r>
    </w:p>
    <w:p w:rsidR="002A1480" w:rsidRPr="001D67E7" w:rsidRDefault="002A1480" w:rsidP="002A1480">
      <w:pPr>
        <w:pStyle w:val="NormalHanging12a"/>
        <w:rPr>
          <w:rFonts w:eastAsiaTheme="minorHAnsi"/>
        </w:rPr>
      </w:pPr>
      <w:r w:rsidRPr="001D67E7">
        <w:t>O.</w:t>
      </w:r>
      <w:r w:rsidRPr="001D67E7">
        <w:tab/>
        <w:t xml:space="preserve">overwegende dat Culture Moves Europe het grootste mobiliteitsprogramma van de EU voor de culturele en creatieve sector is en er medio 2023 ongeveer 4 660 aanvragen waren ontvangen; overwegende dat ongeveer 85 % van de aanvragen afkomstig is uit de sectoren beeldende kunsten, podiumkunsten en muziek; </w:t>
      </w:r>
    </w:p>
    <w:p w:rsidR="002A1480" w:rsidRPr="001D67E7" w:rsidRDefault="002A1480" w:rsidP="002A1480">
      <w:pPr>
        <w:pStyle w:val="NormalHanging12a"/>
      </w:pPr>
      <w:r w:rsidRPr="001D67E7">
        <w:t>P.</w:t>
      </w:r>
      <w:r w:rsidRPr="001D67E7">
        <w:tab/>
        <w:t>overwegende dat de muzieksector in het programma wordt beschouwd als een belangrijk en onmisbaar onderdeel van de culturele diversiteit van Europa, dat baat heeft bij de algemene aanpak in het kader van het onderdeel Cultuur; overwegende dat er in het kader van het initiatief Music Moves Europe in de periode 2021-2022 5 miljoen EUR is uitgetrokken om het concurrentievermogen, de innovatie en de diversiteit van de Europese muzieksector te versterken;</w:t>
      </w:r>
    </w:p>
    <w:p w:rsidR="002A1480" w:rsidRPr="001D67E7" w:rsidRDefault="002A1480" w:rsidP="002A1480">
      <w:pPr>
        <w:pStyle w:val="NormalHanging12a"/>
      </w:pPr>
      <w:r w:rsidRPr="001D67E7">
        <w:t>Q.</w:t>
      </w:r>
      <w:r w:rsidRPr="001D67E7">
        <w:tab/>
        <w:t>overwegende dat de actie literaire vertaling een unieke rol vervult bij het promoten van schrijvers over de grenzen heen, helpt om een nieuw publiek te bereiken en een bijdrage levert aan een in cultureel en taalkundig opzicht diverser Europa;</w:t>
      </w:r>
    </w:p>
    <w:p w:rsidR="002A1480" w:rsidRPr="001D67E7" w:rsidRDefault="002A1480" w:rsidP="002A1480">
      <w:pPr>
        <w:pStyle w:val="NormalHanging12a"/>
      </w:pPr>
      <w:r w:rsidRPr="001D67E7">
        <w:t>R.</w:t>
      </w:r>
      <w:r w:rsidRPr="001D67E7">
        <w:tab/>
        <w:t>overwegende dat de overheidssteun voor het audiovisuele ecosysteem in Europa voornamelijk afkomstig is van de lidstaten, waarbij het onderdeel Media de nationale systemen aanvult door projecten met een langdurig effect te ondersteunen;</w:t>
      </w:r>
    </w:p>
    <w:p w:rsidR="002A1480" w:rsidRPr="001D67E7" w:rsidRDefault="002A1480" w:rsidP="002A1480">
      <w:pPr>
        <w:pStyle w:val="NormalHanging12a"/>
        <w:rPr>
          <w:rFonts w:eastAsiaTheme="minorHAnsi"/>
        </w:rPr>
      </w:pPr>
      <w:r w:rsidRPr="001D67E7">
        <w:t>S.</w:t>
      </w:r>
      <w:r w:rsidRPr="001D67E7">
        <w:tab/>
        <w:t>overwegende dat de Creatief Europa-desks een sleutelrol spelen als intermediair tussen de Commissie, het Europees Uitvoerend Agentschap onderwijs en cultuur (EACEA), aanvragers en begunstigden; overwegende dat meer dan 60 % van alle aanvragers in de periode 2021-2022 contact heeft opgenomen met hun plaatselijke desk alvorens een aanvraag in te dienen;</w:t>
      </w:r>
    </w:p>
    <w:p w:rsidR="002A1480" w:rsidRPr="001D67E7" w:rsidRDefault="002A1480" w:rsidP="002A1480">
      <w:pPr>
        <w:pStyle w:val="NormalHanging12a"/>
      </w:pPr>
      <w:r w:rsidRPr="001D67E7">
        <w:t>T.</w:t>
      </w:r>
      <w:r w:rsidRPr="001D67E7">
        <w:tab/>
        <w:t>overwegende dat, gezien de cruciale rol van de Creatief Europa-desks bij het promoten van alle aspecten van het programma en het daarover informeren van de culturele en creatieve sector, de samenwerking en uitwisselingen tussen de Commissie (waaronder het EACEA) en de Creatief Europa-desks moeten worden versterkt en moeten inhouden dat belangrijke informatie over toekomstige oproepen tot het indienen van voorstellen wordt gedeeld;</w:t>
      </w:r>
    </w:p>
    <w:p w:rsidR="002A1480" w:rsidRPr="001D67E7" w:rsidRDefault="002A1480" w:rsidP="002A1480">
      <w:pPr>
        <w:pStyle w:val="NormalHanging12a"/>
      </w:pPr>
      <w:r w:rsidRPr="001D67E7">
        <w:t>U.</w:t>
      </w:r>
      <w:r w:rsidRPr="001D67E7">
        <w:tab/>
        <w:t>overwegende dat met Creatief Europa partnerschappen tussen verschillende actoren uit de culturele en creatieve sector worden bevorderd, gebruik wordt gemaakt van een persoonlijke benadering en culturele diversiteit binnen en buiten Europa wordt gestimuleerd, en het programma dus van strategisch belang is om de externe aspecten van de culturele betrekkingen van de Europese Unie te versterken;</w:t>
      </w:r>
    </w:p>
    <w:p w:rsidR="002A1480" w:rsidRPr="001D67E7" w:rsidRDefault="002A1480" w:rsidP="002A1480">
      <w:pPr>
        <w:pStyle w:val="NormalHanging12a"/>
      </w:pPr>
      <w:r w:rsidRPr="001D67E7">
        <w:t>V.</w:t>
      </w:r>
      <w:r w:rsidRPr="001D67E7">
        <w:tab/>
        <w:t xml:space="preserve">overwegende dat in het programma wordt erkend dat het belangrijk is de artistieke en ambachtelijke sector te beschermen en te bevorderen, met name op het gebied van cultureel erfgoed, en dat deze een cruciale rol speelt bij de ondersteuning van zowel </w:t>
      </w:r>
      <w:r w:rsidRPr="001D67E7">
        <w:lastRenderedPageBreak/>
        <w:t>stedelijke als plattelandseconomieën in heel Europa en bij het vergroten van de culturele diversiteit;</w:t>
      </w:r>
    </w:p>
    <w:p w:rsidR="002A1480" w:rsidRPr="001D67E7" w:rsidRDefault="002A1480" w:rsidP="002A1480">
      <w:pPr>
        <w:pStyle w:val="NormalHanging12a"/>
      </w:pPr>
      <w:r w:rsidRPr="001D67E7">
        <w:t>W.</w:t>
      </w:r>
      <w:r w:rsidRPr="001D67E7">
        <w:tab/>
        <w:t xml:space="preserve">overwegende dat het excellentiekeurmerk een novum vormt in het programma Creatief Europa 2021-2027, dat is ingevoerd om synergieën te versterken en het eenvoudiger te maken om te zoeken naar alternatieve financiering in het geval van beperkte budgettaire middelen; </w:t>
      </w:r>
    </w:p>
    <w:p w:rsidR="002A1480" w:rsidRPr="001D67E7" w:rsidRDefault="002A1480" w:rsidP="002A1480">
      <w:pPr>
        <w:pStyle w:val="NormalHanging12a"/>
      </w:pPr>
      <w:r w:rsidRPr="001D67E7">
        <w:t>X.</w:t>
      </w:r>
      <w:r w:rsidRPr="001D67E7">
        <w:tab/>
        <w:t>overwegende dat het prestigieuze initiatief Culturele Hoofdstad van Europa, als speciale actie, inmiddels een vaste waarde is op de wereldwijde culturele agenda en, sinds de introductie in 1985, de rijkdom en eigenheid van de diversiteit van culturen en steden in de schijnwerpers zet;</w:t>
      </w:r>
    </w:p>
    <w:p w:rsidR="002A1480" w:rsidRPr="001D67E7" w:rsidRDefault="002A1480" w:rsidP="002A1480">
      <w:pPr>
        <w:pStyle w:val="NormalHanging12a"/>
        <w:rPr>
          <w:rFonts w:eastAsiaTheme="minorHAnsi"/>
        </w:rPr>
      </w:pPr>
      <w:r w:rsidRPr="001D67E7">
        <w:t>1.</w:t>
      </w:r>
      <w:r w:rsidRPr="001D67E7">
        <w:tab/>
        <w:t>benadrukt dat de nieuwe versie van het programma Creatief Europa in de culturele, creatieve en audiovisuele sector, alsook de nieuwsmedia, op aanzienlijke interesse kan blijven rekenen, en dat het aantal aanvragen in het kader van de drie onderdelen is toegenomen, met een evenredige daling van het succespercentage van de aanvragen tot gevolg, hetgeen in deze sectoren tot een gevoel van ontgoocheling kan leiden over het programma;</w:t>
      </w:r>
    </w:p>
    <w:p w:rsidR="002A1480" w:rsidRPr="001D67E7" w:rsidRDefault="002A1480" w:rsidP="002A1480">
      <w:pPr>
        <w:pStyle w:val="NormalHanging12a"/>
        <w:rPr>
          <w:rFonts w:eastAsiaTheme="minorHAnsi"/>
        </w:rPr>
      </w:pPr>
      <w:r w:rsidRPr="001D67E7">
        <w:t>2.</w:t>
      </w:r>
      <w:r w:rsidRPr="001D67E7">
        <w:tab/>
        <w:t>is ingenomen met de respons van het programma ter beperking van de gevolgen van de COVID-19-pandemie, die de culturele en creatieve sector nog vóór de start van het huidige programma ernstig heeft ontwricht; herhaalt echter zijn oproep aan de Commissie en de lidstaten om meer inspanningen te leveren teneinde de langetermijngevolgen van de pandemie voor scheppende kunstenaars en professionals uit de culturele sector aan te pakken, met name de gevolgen die verband houden met hun bij- en omscholing, om tegemoet te komen aan de behoeften die voortvloeien uit ontwikkelingen en uitdagingen waarmee de sector te maken heeft;</w:t>
      </w:r>
    </w:p>
    <w:p w:rsidR="002A1480" w:rsidRPr="001D67E7" w:rsidRDefault="002A1480" w:rsidP="002A1480">
      <w:pPr>
        <w:pStyle w:val="NormalHanging12a"/>
        <w:rPr>
          <w:rFonts w:eastAsiaTheme="minorHAnsi"/>
        </w:rPr>
      </w:pPr>
      <w:r w:rsidRPr="001D67E7">
        <w:t>3.</w:t>
      </w:r>
      <w:r w:rsidRPr="001D67E7">
        <w:tab/>
        <w:t>betreurt het dat niet alle lidstaten ten minste 2 % van de herstel- en veerkrachtfaciliteit hebben voorbehouden om de veerkracht van deze sectoren te waarborgen, zoals verzocht door het Parlement; verzoekt alle lidstaten daarom hun synergieën te versterken en te zorgen voor voldoende gerichte investeringen in deze sectoren via andere EU-programma’s;</w:t>
      </w:r>
    </w:p>
    <w:p w:rsidR="002A1480" w:rsidRPr="001D67E7" w:rsidRDefault="002A1480" w:rsidP="002A1480">
      <w:pPr>
        <w:pStyle w:val="NormalHanging12a"/>
        <w:rPr>
          <w:rFonts w:eastAsiaTheme="minorHAnsi"/>
        </w:rPr>
      </w:pPr>
      <w:r w:rsidRPr="001D67E7">
        <w:t>4.</w:t>
      </w:r>
      <w:r w:rsidRPr="001D67E7">
        <w:tab/>
        <w:t>is de Commissie en het EACEA erkentelijk voor hun flexibiliteit bij de uitvoering van het programma, dat werd aangepast om rekening te houden met de gevolgen van de COVID-19-pandemie; benadrukt evenwel dat er een evenwicht moet worden gevonden tussen geharmoniseerde administratieve beheersystemen voor alle EU-programma’s enerzijds, en de specifieke behoeften van de verschillende begunstigden van de programma’s anderzijds; dringt daarom bij de Commissie en het EACEA aan op meer inspanningen om de administratieve beheersprocedures van het programma Creatief Europa 2021-2027 te vereenvoudigen; beklemtoont echter dat stroomlijning en vereenvoudiging er niet toe mogen leiden dat minder financiële en personele middelen worden ingezet voor projectmonitoring en -evaluatie;</w:t>
      </w:r>
    </w:p>
    <w:p w:rsidR="002A1480" w:rsidRPr="001D67E7" w:rsidRDefault="002A1480" w:rsidP="002A1480">
      <w:pPr>
        <w:pStyle w:val="NormalHanging12a"/>
        <w:rPr>
          <w:rFonts w:eastAsiaTheme="minorHAnsi"/>
        </w:rPr>
      </w:pPr>
      <w:r w:rsidRPr="001D67E7">
        <w:t>5.</w:t>
      </w:r>
      <w:r w:rsidRPr="001D67E7">
        <w:tab/>
        <w:t xml:space="preserve">geeft toe dat het aanvraagproces vaak complex is, in het bijzonder voor personen en kleine en micro-organisaties met beperkte financiële en personele middelen; verzoekt de Commissie en het EACEA dan ook toe te staan dat de kosten die met het aanvraagproces gemoeid zijn, worden opgenomen in de algehele geraamde begrotingskosten; dringt er bovendien bij de Creatief Europa-desks op aan de steun aan </w:t>
      </w:r>
      <w:r w:rsidRPr="001D67E7">
        <w:lastRenderedPageBreak/>
        <w:t>alle aanvragers verder uit te breiden;</w:t>
      </w:r>
    </w:p>
    <w:p w:rsidR="002A1480" w:rsidRPr="001D67E7" w:rsidRDefault="002A1480" w:rsidP="002A1480">
      <w:pPr>
        <w:pStyle w:val="NormalHanging12a"/>
        <w:rPr>
          <w:rFonts w:eastAsiaTheme="minorHAnsi"/>
        </w:rPr>
      </w:pPr>
      <w:r w:rsidRPr="001D67E7">
        <w:t>6.</w:t>
      </w:r>
      <w:r w:rsidRPr="001D67E7">
        <w:tab/>
        <w:t>verzoekt de Commissie regelmatig uitwisselingen voor capaciteitsopbouw met begunstigden te plannen om toelichting te geven bij nieuwigheden, zoals nieuwe vereisten in het kader van het verslagleggingssysteem, bijvoorbeeld met betrekking tot resultaten die in overeenstemming zijn met de algemene verordening gegevensbescherming</w:t>
      </w:r>
      <w:r w:rsidRPr="001D67E7">
        <w:rPr>
          <w:rStyle w:val="FootnoteReference"/>
          <w:rFonts w:eastAsiaTheme="minorHAnsi"/>
          <w:lang w:eastAsia="en-US"/>
        </w:rPr>
        <w:footnoteReference w:id="14"/>
      </w:r>
      <w:r w:rsidRPr="001D67E7">
        <w:t>; benadrukt dat het verslagleggingssysteem, als onderdeel van de doelstelling van het programma om diversiteit, inclusie en gendergelijkheid te bevorderen, dringend moet worden verbeterd om de toegankelijkheid en het gebruiksgemak voor alle begunstigden, met inbegrip van personen met een handicap, te waarborgen;</w:t>
      </w:r>
    </w:p>
    <w:p w:rsidR="002A1480" w:rsidRPr="001D67E7" w:rsidRDefault="002A1480" w:rsidP="002A1480">
      <w:pPr>
        <w:pStyle w:val="NormalHanging12a"/>
        <w:rPr>
          <w:rFonts w:eastAsiaTheme="minorHAnsi"/>
        </w:rPr>
      </w:pPr>
      <w:r w:rsidRPr="001D67E7">
        <w:t>7.</w:t>
      </w:r>
      <w:r w:rsidRPr="001D67E7">
        <w:tab/>
        <w:t>spreekt zijn waardering uit voor de geleidelijke invoering van stimulansen voor inclusie in alle onderdelen gedurende de eerste twee uitvoeringsjaren van het programma; stelt evenwel vast dat het ontbreekt aan uitgebreide gegevens over de manier waarop de doelstellingen van het programma worden nagestreefd zodat deze bijdragen aan inclusie, gelijkheid, diversiteit en participatie; verzoekt de Commissie met klem hierover in haar tussentijdse evaluatie uitvoerig verslag uit te brengen;</w:t>
      </w:r>
    </w:p>
    <w:p w:rsidR="002A1480" w:rsidRPr="001D67E7" w:rsidRDefault="002A1480" w:rsidP="002A1480">
      <w:pPr>
        <w:pStyle w:val="NormalHanging12a"/>
        <w:rPr>
          <w:rFonts w:eastAsiaTheme="minorHAnsi"/>
        </w:rPr>
      </w:pPr>
      <w:r w:rsidRPr="001D67E7">
        <w:t>8.</w:t>
      </w:r>
      <w:r w:rsidRPr="001D67E7">
        <w:tab/>
        <w:t>erkent dat het programma door middel van de bijbehorende acties een bijdrage levert aan de doelstelling van klimaat- en milieuduurzaamheid; stelt evenwel vast dat de vergroeningsprioriteiten in de drie programmaonderdelen op verschillende manieren zijn ingevoerd; verzoekt de Commissie de uitvoering van vergroeningsprioriteiten en hun impact op de sectoren nauwlettend te volgen en regelmatig verslag uit te brengen over de beoordeling ervan; wijst erop dat het belangrijk is opleidings- en bewustmakingsactiviteiten te ontwikkelen om de invoering van duurzamere praktijken door de culturele en creatieve sector te bevorderen;</w:t>
      </w:r>
    </w:p>
    <w:p w:rsidR="002A1480" w:rsidRPr="001D67E7" w:rsidRDefault="002A1480" w:rsidP="002A1480">
      <w:pPr>
        <w:pStyle w:val="NormalHanging12a"/>
        <w:rPr>
          <w:rFonts w:eastAsiaTheme="minorHAnsi"/>
        </w:rPr>
      </w:pPr>
      <w:r w:rsidRPr="001D67E7">
        <w:t>9.</w:t>
      </w:r>
      <w:r w:rsidRPr="001D67E7">
        <w:tab/>
        <w:t>benadrukt dat de culturele en creatieve actoren moeten worden geholpen om de kansen te benutten die op EU-niveau worden geboden; is in dat verband ingenomen met het CulturEU-initiatief, een meertalige interactieve gids die een overzicht biedt van alle financieringsmogelijkheden; benadrukt dat het van cruciaal belang is regelmatige en eventueel gerichte uitwisselingen met de culturele, creatieve en audiovisuele sector, alsook de nieuwsmedia, te blijven organiseren, met het oog op voordelige samenwerking; herinnert de Commissie eraan dat het belangrijk is ervoor te zorgen dat belanghebbenden op passende wijze worden betrokken bij de voorbereiding van de komende jaarlijkse werkprogramma’s; stelt voor dat de Commissie beoordeelt of Creatief Europa 2028-2034 beter kan worden uitgevoerd door middel van jaarlijkse of tweejaarlijkse werkprogramma’s;</w:t>
      </w:r>
    </w:p>
    <w:p w:rsidR="002A1480" w:rsidRPr="001D67E7" w:rsidRDefault="002A1480" w:rsidP="002A1480">
      <w:pPr>
        <w:pStyle w:val="NormalHanging12a"/>
        <w:rPr>
          <w:rFonts w:eastAsiaTheme="minorHAnsi"/>
        </w:rPr>
      </w:pPr>
      <w:r w:rsidRPr="001D67E7">
        <w:t>10.</w:t>
      </w:r>
      <w:r w:rsidRPr="001D67E7">
        <w:tab/>
        <w:t xml:space="preserve">dringt erop aan de communicatie en uitwisselingen tussen de Commissie, het EACEA en de Creatief Europa-desks te versterken om ervoor te zorgen dat die laatste toegang hebben tot alle relevante informatie om kwalitatief hoogwaardige ondersteuning en begeleiding voor aanvragers en begunstigden mogelijk te maken; herinnert er in dat verband tevens aan dat transparantie bij het verspreiden van de resultaten van oproepen belangrijk is; verzoekt de Commissie dan ook de lijst van alle ontvangers van subsidies, </w:t>
      </w:r>
      <w:r w:rsidRPr="001D67E7">
        <w:lastRenderedPageBreak/>
        <w:t>tezamen met het toegekende bedrag, tijdig te blijven publiceren;</w:t>
      </w:r>
    </w:p>
    <w:p w:rsidR="002A1480" w:rsidRPr="001D67E7" w:rsidRDefault="002A1480" w:rsidP="002A1480">
      <w:pPr>
        <w:pStyle w:val="NormalHanging12a"/>
        <w:rPr>
          <w:rFonts w:eastAsiaTheme="minorHAnsi"/>
        </w:rPr>
      </w:pPr>
      <w:r w:rsidRPr="001D67E7">
        <w:t>11.</w:t>
      </w:r>
      <w:r w:rsidRPr="001D67E7">
        <w:tab/>
        <w:t>onderstreept dat het belangrijk is het programma te benoemen en de zichtbaarheid ervan te vergroten; verzoekt de Commissie dan ook aan het Parlement verslag uit te brengen over de tenuitvoerlegging van de communicatiestrategie van het programma, met inbegrip van het gebruik van officiële logo’s;</w:t>
      </w:r>
    </w:p>
    <w:p w:rsidR="002A1480" w:rsidRPr="001D67E7" w:rsidRDefault="002A1480" w:rsidP="002A1480">
      <w:pPr>
        <w:pStyle w:val="NormalHanging12a"/>
        <w:rPr>
          <w:rFonts w:eastAsiaTheme="minorHAnsi"/>
        </w:rPr>
      </w:pPr>
      <w:r w:rsidRPr="001D67E7">
        <w:t>12.</w:t>
      </w:r>
      <w:r w:rsidRPr="001D67E7">
        <w:tab/>
        <w:t>benadrukt dat een aanzienlijk aantal begunstigden bereid is om hun verwezenlijkingen en resultaten te delen met de rest van de culturele, creatieve en audiovisuele sector en met de Europese burgers; wijst er in dat verband op dat het voor dit doel ter beschikking gestelde platform onbevredigend wordt geacht, en verzoekt de Commissie dan ook de begunstigden te betrekken bij de ontwikkeling van een geschikter platform;</w:t>
      </w:r>
    </w:p>
    <w:p w:rsidR="002A1480" w:rsidRPr="001D67E7" w:rsidRDefault="002A1480" w:rsidP="002A1480">
      <w:pPr>
        <w:pStyle w:val="NormalHanging12a"/>
      </w:pPr>
      <w:r w:rsidRPr="001D67E7">
        <w:t>13.</w:t>
      </w:r>
      <w:r w:rsidRPr="001D67E7">
        <w:tab/>
        <w:t>merkt op dat sommige lidstaten geen nationale schadeloosstellingsregelingen of verzekeringsdekking bieden om de mobiliteit van cultuurgoederen te vergemakkelijken; ziet in dat de kosten van commerciële verzekeringen voor veel culturele actoren aanzienlijk kunnen zijn; stelt daarom voor dat de Commissie een haalbaarheidsstudie uitvoert inzake een pan-Europese garantieregeling ter dekking van de schadeloosstellingskosten als eerste stap om deze kwestie aan te pakken;</w:t>
      </w:r>
    </w:p>
    <w:p w:rsidR="002A1480" w:rsidRPr="001D67E7" w:rsidRDefault="002A1480" w:rsidP="002A1480">
      <w:pPr>
        <w:pStyle w:val="NormalHanging12a"/>
      </w:pPr>
      <w:r w:rsidRPr="001D67E7">
        <w:t>14.</w:t>
      </w:r>
      <w:r w:rsidRPr="001D67E7">
        <w:tab/>
        <w:t>dringt er bij de Commissie op aan passende ethische normen voor het gebruik van AI te ontwikkelen en zo het mensgerichte en transparante gebruik van AI in het artistieke en creatieve proces te bevorderen; verzoekt de Commissie in dat verband ervoor te zorgen dat zowel aanvragers als begunstigden informatie verstrekken over het gebruik van AI in projecten, onder meer bij de productie, distributie en promotie van creatieve werken, met als doel deze opkomende trend in de culturele en creatieve sector en de impact ervan op het programma te beoordelen;</w:t>
      </w:r>
    </w:p>
    <w:p w:rsidR="002A1480" w:rsidRPr="001D67E7" w:rsidRDefault="002A1480" w:rsidP="002A1480">
      <w:pPr>
        <w:pStyle w:val="NormalHanging12a"/>
      </w:pPr>
      <w:r w:rsidRPr="001D67E7">
        <w:t>15.</w:t>
      </w:r>
      <w:r w:rsidRPr="001D67E7">
        <w:tab/>
        <w:t>wijst erop dat het programma Creatief Europa een aanzienlijk potentieel heeft om transnationale partnerschappen te ontwikkelen en te versterken, waarmee het tevens een bijdrage levert aan de internationale betrekkingen van de EU door middel van cultuur;</w:t>
      </w:r>
    </w:p>
    <w:p w:rsidR="002A1480" w:rsidRPr="001D67E7" w:rsidRDefault="002A1480" w:rsidP="002A1480">
      <w:pPr>
        <w:pStyle w:val="NormalHanging12a"/>
      </w:pPr>
      <w:r w:rsidRPr="001D67E7">
        <w:t>16.</w:t>
      </w:r>
      <w:r w:rsidRPr="001D67E7">
        <w:tab/>
        <w:t>verzoekt de Commissie passende middelen te investeren in de externe dimensie van het programma en verdere samenwerking aan te moedigen tussen culturele instellingen en organisaties in de lidstaten en clusters van nationale instituten voor cultuur van de EU in derde landen; verzoekt de Commissie voorts om derde landen waar mogelijk te helpen aan het programma deel te nemen en die deelname te vergemakkelijken;</w:t>
      </w:r>
    </w:p>
    <w:p w:rsidR="002A1480" w:rsidRPr="001D67E7" w:rsidRDefault="002A1480" w:rsidP="002A1480">
      <w:pPr>
        <w:pStyle w:val="NormalHanging12a"/>
        <w:rPr>
          <w:rFonts w:eastAsiaTheme="minorHAnsi"/>
          <w:b/>
          <w:i/>
        </w:rPr>
      </w:pPr>
      <w:r w:rsidRPr="001D67E7">
        <w:rPr>
          <w:b/>
          <w:i/>
        </w:rPr>
        <w:t>Begroting</w:t>
      </w:r>
    </w:p>
    <w:p w:rsidR="002A1480" w:rsidRPr="001D67E7" w:rsidRDefault="002A1480" w:rsidP="002A1480">
      <w:pPr>
        <w:pStyle w:val="NormalHanging12a"/>
        <w:rPr>
          <w:rFonts w:eastAsiaTheme="minorHAnsi"/>
        </w:rPr>
      </w:pPr>
      <w:r w:rsidRPr="001D67E7">
        <w:t>17.</w:t>
      </w:r>
      <w:r w:rsidRPr="001D67E7">
        <w:tab/>
        <w:t>benadrukt dat het huidige programma Creatief Europa, ondanks de opmerkelijk verhoogde middelen voor de periode 2021-2027, nog steeds overtekend is; verzoekt de Commissie en de lidstaten daarom de financiële toewijzing van het programma Creatief Europa voor 2028-2034 aanzienlijk te verhogen;</w:t>
      </w:r>
    </w:p>
    <w:p w:rsidR="002A1480" w:rsidRPr="001D67E7" w:rsidRDefault="002A1480" w:rsidP="002A1480">
      <w:pPr>
        <w:pStyle w:val="NormalHanging12a"/>
        <w:rPr>
          <w:rFonts w:eastAsiaTheme="minorHAnsi"/>
        </w:rPr>
      </w:pPr>
      <w:r w:rsidRPr="001D67E7">
        <w:t>18.</w:t>
      </w:r>
      <w:r w:rsidRPr="001D67E7">
        <w:tab/>
        <w:t>erkent dat er in 2021 en 2022 dringend uitgaven nodig waren om de gevolgen van de COVID-19-pandemie en van de Russische aanvalsoorlog tegen Oekraïne te verzachten; onderstreept echter dat deze aanpak een negatieve impact zal hebben in de tweede helft van de financiële cyclus;</w:t>
      </w:r>
    </w:p>
    <w:p w:rsidR="002A1480" w:rsidRPr="001D67E7" w:rsidRDefault="002A1480" w:rsidP="002A1480">
      <w:pPr>
        <w:pStyle w:val="NormalHanging12a"/>
        <w:rPr>
          <w:rFonts w:eastAsiaTheme="minorHAnsi"/>
        </w:rPr>
      </w:pPr>
      <w:r w:rsidRPr="001D67E7">
        <w:t>19.</w:t>
      </w:r>
      <w:r w:rsidRPr="001D67E7">
        <w:tab/>
        <w:t xml:space="preserve">dringt er bij de lidstaten en de Commissie op aan om ervoor te zorgen dat de toewijzing aan het programma de komende begrotingsjaren niet wordt verlaagd, gezien de </w:t>
      </w:r>
      <w:r w:rsidRPr="001D67E7">
        <w:lastRenderedPageBreak/>
        <w:t>uitdagingen als gevolg van de digitalisering, de vergroening, de hoge inschrijvingspercentages, de hollende inflatie en de daarmee verbonden hoge energiekosten, die alle ernstige gevolgen hebben voor de operationele capaciteit van de begunstigden;</w:t>
      </w:r>
    </w:p>
    <w:p w:rsidR="002A1480" w:rsidRPr="001D67E7" w:rsidRDefault="002A1480" w:rsidP="002A1480">
      <w:pPr>
        <w:pStyle w:val="NormalHanging12a"/>
        <w:rPr>
          <w:rFonts w:eastAsiaTheme="minorHAnsi"/>
        </w:rPr>
      </w:pPr>
      <w:r w:rsidRPr="001D67E7">
        <w:t>20.</w:t>
      </w:r>
      <w:r w:rsidRPr="001D67E7">
        <w:tab/>
        <w:t>betreurt het dat het excellentiekeurmerk nog niet is ingevoerd; verzoekt de Commissie dit keurmerk onmiddellijk uit te rollen, zodat projecten nog in deze programmeringscyclus gebruik kunnen maken van de mogelijkheden die de cumulatieve en alternatieve financiering biedt;</w:t>
      </w:r>
    </w:p>
    <w:p w:rsidR="002A1480" w:rsidRPr="001D67E7" w:rsidRDefault="002A1480" w:rsidP="002A1480">
      <w:pPr>
        <w:pStyle w:val="NormalHanging12a"/>
        <w:rPr>
          <w:rFonts w:eastAsiaTheme="minorHAnsi"/>
        </w:rPr>
      </w:pPr>
      <w:r w:rsidRPr="001D67E7">
        <w:t>21.</w:t>
      </w:r>
      <w:r w:rsidRPr="001D67E7">
        <w:tab/>
        <w:t>betreurt het dat er in het meerjarig financieel kader (MFK) 2021-2027 geen ruimte is voor extra steun voor het programma Creatief Europa en waarschuwt dat dit de financiering van nieuwe initiatieven, waardevolle proefprojecten en voorbereidende acties in de weg staat; herinnert er in dat verband aan dat proefprojecten en voorbereidende acties belangrijke instrumenten zijn om nieuwe initiatieven te testen die kunnen uitgroeien tot permanente financieringsprogramma’s van de EU of kunnen worden ondergebracht in bestaande financieringsprogramma’s;</w:t>
      </w:r>
    </w:p>
    <w:p w:rsidR="002A1480" w:rsidRPr="001D67E7" w:rsidRDefault="002A1480" w:rsidP="002A1480">
      <w:pPr>
        <w:pStyle w:val="NormalHanging12a"/>
        <w:rPr>
          <w:rFonts w:eastAsiaTheme="minorHAnsi"/>
        </w:rPr>
      </w:pPr>
      <w:r w:rsidRPr="001D67E7">
        <w:t>22.</w:t>
      </w:r>
      <w:r w:rsidRPr="001D67E7">
        <w:tab/>
        <w:t>betreurt de financieringskloof tussen de twee MFK-cycli, waar met name de netwerkregeling door werd getroffen; verzoekt de Commissie ervoor te zorgen dat dit zich in de toekomst niet meer voordoet; verzoekt de Commissie voldoende financiering te verstrekken en daarnaast te overwegen om operationele subsidies voor deze regeling in te voeren, aangezien deze van essentieel belang is om de culturele en creatieve sector te helpen transnationaal en internationaal actief te zijn;</w:t>
      </w:r>
    </w:p>
    <w:p w:rsidR="002A1480" w:rsidRPr="001D67E7" w:rsidRDefault="002A1480" w:rsidP="002A1480">
      <w:pPr>
        <w:pStyle w:val="NormalHanging12a"/>
        <w:rPr>
          <w:rFonts w:eastAsiaTheme="minorHAnsi"/>
          <w:b/>
          <w:i/>
        </w:rPr>
      </w:pPr>
      <w:r w:rsidRPr="001D67E7">
        <w:rPr>
          <w:b/>
          <w:i/>
        </w:rPr>
        <w:t>Onderdeel Cultuur</w:t>
      </w:r>
    </w:p>
    <w:p w:rsidR="002A1480" w:rsidRPr="001D67E7" w:rsidRDefault="002A1480" w:rsidP="002A1480">
      <w:pPr>
        <w:pStyle w:val="NormalHanging12a"/>
        <w:rPr>
          <w:rFonts w:eastAsiaTheme="minorHAnsi"/>
        </w:rPr>
      </w:pPr>
      <w:r w:rsidRPr="001D67E7">
        <w:t>23.</w:t>
      </w:r>
      <w:r w:rsidRPr="001D67E7">
        <w:tab/>
        <w:t>is ingenomen met de invoering van de sectorale aanpak als een nieuw onderdeel van het onderdeel Cultuur ter aanvulling van de algemene acties; dringt erop aan deze aanpak te versterken door middel van een adequate begrotingstoewijzing zodat geen enkele sector aan zijn lot wordt overgelaten en de toewijzing voor algemene acties niet wordt verlaagd;</w:t>
      </w:r>
    </w:p>
    <w:p w:rsidR="002A1480" w:rsidRPr="001D67E7" w:rsidRDefault="002A1480" w:rsidP="002A1480">
      <w:pPr>
        <w:pStyle w:val="NormalHanging12a"/>
        <w:rPr>
          <w:rFonts w:eastAsiaTheme="minorHAnsi"/>
        </w:rPr>
      </w:pPr>
      <w:r w:rsidRPr="001D67E7">
        <w:t>24.</w:t>
      </w:r>
      <w:r w:rsidRPr="001D67E7">
        <w:tab/>
        <w:t>herinnert eraan dat het belangrijk is de vrijheid van artistieke expressie verder te waarborgen en te bevorderen, met name op het gebied van de financieringsmogelijkheden die het programma biedt in het kader van de actie voor culturele samenwerkingsprojecten en de regeling voor Europese netwerken;</w:t>
      </w:r>
    </w:p>
    <w:p w:rsidR="002A1480" w:rsidRPr="001D67E7" w:rsidRDefault="002A1480" w:rsidP="002A1480">
      <w:pPr>
        <w:pStyle w:val="NormalHanging12a"/>
      </w:pPr>
      <w:r w:rsidRPr="001D67E7">
        <w:t>25.</w:t>
      </w:r>
      <w:r w:rsidRPr="001D67E7">
        <w:tab/>
        <w:t>ziet in dat de hogere medefinancieringspercentages, met name voor kleinschalige samenwerkingsprojecten, voordelen hebben en het voor kleine organisaties makkelijker maken om deel te nemen; verzoekt de Commissie en het EACEA in dat verband toe te staan dat projectconsortia zelf bepalen hoe de financiering over hun partners wordt verdeeld, mits het totale medefinancieringspercentage op projectniveau van toepassing is;</w:t>
      </w:r>
    </w:p>
    <w:p w:rsidR="002A1480" w:rsidRPr="001D67E7" w:rsidRDefault="002A1480" w:rsidP="002A1480">
      <w:pPr>
        <w:pStyle w:val="NormalHanging12a"/>
      </w:pPr>
      <w:r w:rsidRPr="001D67E7">
        <w:t>26.</w:t>
      </w:r>
      <w:r w:rsidRPr="001D67E7">
        <w:tab/>
        <w:t>onderstreept het belang van grensoverschrijdende mobiliteit voor alle scheppende kunstenaars, aangezien zij hierdoor meer professionele kansen in het buitenland krijgen, wat bevorderlijk is voor het creatieve proces; is derhalve ingenomen met Culture Moves Europe, dat een nieuwe mobiliteitsactie in het kader van het programma Creatief Europa vormt;</w:t>
      </w:r>
    </w:p>
    <w:p w:rsidR="002A1480" w:rsidRPr="001D67E7" w:rsidRDefault="002A1480" w:rsidP="002A1480">
      <w:pPr>
        <w:pStyle w:val="NormalHanging12a"/>
      </w:pPr>
      <w:r w:rsidRPr="001D67E7">
        <w:lastRenderedPageBreak/>
        <w:t>27.</w:t>
      </w:r>
      <w:r w:rsidRPr="001D67E7">
        <w:tab/>
        <w:t>geeft toe dat de in het kader van de mobiliteitsregeling ontvangen aanvragen van hoge kwaliteit zijn; verzoekt de Commissie evenwel om Culture Moves Europe bij een breder publiek te promoten, met de hulp en steun van alle Creatief Europa-desks, door middel van communicatie- en voorlichtingsactiviteiten; is van mening dat die activiteiten specifiek gericht moeten zijn op afzonderlijke sectoren, met inbegrip van scheppende kunstenaars uit alle gemarginaliseerde groepen en minder vertegenwoordigde landen en regio’s, teneinde een geografisch evenwicht te waarborgen;</w:t>
      </w:r>
    </w:p>
    <w:p w:rsidR="002A1480" w:rsidRPr="001D67E7" w:rsidRDefault="002A1480" w:rsidP="002A1480">
      <w:pPr>
        <w:pStyle w:val="NormalHanging12a"/>
      </w:pPr>
      <w:r w:rsidRPr="001D67E7">
        <w:t>28.</w:t>
      </w:r>
      <w:r w:rsidRPr="001D67E7">
        <w:tab/>
        <w:t>wijst erop dat de nieuwe mobiliteitsactie weliswaar een doorslaand succes is, maar dat er vóór het eind van 2024 dringend een analyse moet worden uitgevoerd van de voornaamste opkomende trends om te onderzoeken of deze actie naar nieuwe actoren kan worden uitgebreid, zoals vertegenwoordigers uit de boekensector; verzoekt de Commissie daarom de aan deze actie toegewezen begroting met ingang van 2025 te verhogen;</w:t>
      </w:r>
    </w:p>
    <w:p w:rsidR="002A1480" w:rsidRPr="001D67E7" w:rsidRDefault="002A1480" w:rsidP="002A1480">
      <w:pPr>
        <w:pStyle w:val="NormalHanging12a"/>
      </w:pPr>
      <w:r w:rsidRPr="001D67E7">
        <w:t>29.</w:t>
      </w:r>
      <w:r w:rsidRPr="001D67E7">
        <w:tab/>
        <w:t>wijst op het positieve effect van de extra middelen voor vergroening en gezinnen in het kader van de mobiliteitsregeling, die een concreet voorbeeld vormen van de manier waarop het programma inclusiever kan zijn; verzoekt de Commissie daarom te overwegen deze aanpak over te nemen in andere acties van het programma Creatief Europa;</w:t>
      </w:r>
    </w:p>
    <w:p w:rsidR="002A1480" w:rsidRPr="001D67E7" w:rsidRDefault="002A1480" w:rsidP="002A1480">
      <w:pPr>
        <w:pStyle w:val="NormalHanging12a"/>
      </w:pPr>
      <w:r w:rsidRPr="001D67E7">
        <w:t>30.</w:t>
      </w:r>
      <w:r w:rsidRPr="001D67E7">
        <w:tab/>
        <w:t>is ingenomen met de verhoging van de financiering voor de Europese platforms ter promotie van opkomende kunstenaars in het kader van het onderdeel Cultuur en wijst erop dat deze platforms de zichtbaarheid van kunstenaars en hun werken op internationale schaal vergroten en aldus bevorderlijk zijn voor de diversiteit; verzoekt de Commissie daarom deze actie verder uit te breiden door te zorgen voor voldoende financiering en promotie;</w:t>
      </w:r>
    </w:p>
    <w:p w:rsidR="002A1480" w:rsidRPr="001D67E7" w:rsidRDefault="002A1480" w:rsidP="002A1480">
      <w:pPr>
        <w:pStyle w:val="NormalHanging12a"/>
      </w:pPr>
      <w:r w:rsidRPr="001D67E7">
        <w:t>31.</w:t>
      </w:r>
      <w:r w:rsidRPr="001D67E7">
        <w:tab/>
        <w:t>onderstreept dat de netwerkregeling belangrijk is omdat ze mogelijkheden voor netwerken en capaciteitsopbouw biedt, waardoor de diversiteit en het concurrentievermogen van de Europese culturele en creatieve sector worden versterkt; verzoekt de Commissie dan ook voldoende financiering voor deze actie ter beschikking te stellen om de huidige begunstigden en nieuwe netwerken te ondersteunen;</w:t>
      </w:r>
    </w:p>
    <w:p w:rsidR="002A1480" w:rsidRPr="001D67E7" w:rsidRDefault="002A1480" w:rsidP="002A1480">
      <w:pPr>
        <w:pStyle w:val="NormalHanging12a"/>
      </w:pPr>
      <w:r w:rsidRPr="001D67E7">
        <w:t>32.</w:t>
      </w:r>
      <w:r w:rsidRPr="001D67E7">
        <w:tab/>
        <w:t>benadrukt dat de sectorale aanpak een uitgelezen instrument is om de boeken- en uitgeverijsector te versterken, aangezien deze gecoördineerde acties mogelijk maakt om de markttoegang en de ruimere verspreiding van Europese werken te ondersteunen en te stimuleren;</w:t>
      </w:r>
    </w:p>
    <w:p w:rsidR="002A1480" w:rsidRPr="001D67E7" w:rsidRDefault="002A1480" w:rsidP="002A1480">
      <w:pPr>
        <w:pStyle w:val="NormalHanging12a"/>
      </w:pPr>
      <w:r w:rsidRPr="001D67E7">
        <w:t>33.</w:t>
      </w:r>
      <w:r w:rsidRPr="001D67E7">
        <w:tab/>
        <w:t>herinnert eraan dat literaire vertaling de belangrijkste steunregeling voor de boekensector is; benadrukt echter dat deze regeling moet worden uitgebreid tot de vertaling van Europese non-fictieboeken; verzoekt de Commissie om met het oog op haar tussentijdse evaluatie van het programma meetbare doelstellingen in te voeren met betrekking tot de toewijzing van de financiering om boeken voor personen met een handicap toegankelijker te maken;</w:t>
      </w:r>
    </w:p>
    <w:p w:rsidR="002A1480" w:rsidRPr="001D67E7" w:rsidRDefault="002A1480" w:rsidP="002A1480">
      <w:pPr>
        <w:pStyle w:val="NormalHanging12a"/>
      </w:pPr>
      <w:r w:rsidRPr="001D67E7">
        <w:t>34.</w:t>
      </w:r>
      <w:r w:rsidRPr="001D67E7">
        <w:tab/>
        <w:t xml:space="preserve">is ingenomen met de toename van het aantal acties ter ondersteuning van de muzieksector in het kader van het onderdeel Cultuur, waardoor er meer muziekgerelateerde projecten worden ingediend in het kader van het huidige programma; verzoekt de Commissie evenwel een strategischere en sectorgerichtere aanpak voor de muzieksector te ontwikkelen om nieuwe en opkomende uitdagingen het </w:t>
      </w:r>
      <w:r w:rsidRPr="001D67E7">
        <w:lastRenderedPageBreak/>
        <w:t>hoofd te bieden, waarbij wordt voortgebouwd op de resultaten van de voorbereidende actie Music Moves Europe; wijst in dat verband op het belang van een regelmatige gestructureerde dialoog tussen de muzieksector en de Commissie; verzoekt de Commissie voorts in samenwerking met de sector gegevens te verzamelen over de muziekmarkten van de lidstaten en verslag uit te brengen over alle opkomende uitdagingen waar het hele ecosysteem mee wordt geconfronteerd;</w:t>
      </w:r>
    </w:p>
    <w:p w:rsidR="002A1480" w:rsidRPr="001D67E7" w:rsidRDefault="002A1480" w:rsidP="002A1480">
      <w:pPr>
        <w:pStyle w:val="NormalHanging12a"/>
      </w:pPr>
      <w:r w:rsidRPr="001D67E7">
        <w:t>35.</w:t>
      </w:r>
      <w:r w:rsidRPr="001D67E7">
        <w:tab/>
        <w:t>benadrukt het belang van de speciale actie Culturele Hoofdstad van Europa als katalysator voor de culturele en economische heropleving van steden en regio’s; benadrukt dat deze speciale actie al lang aanvullende financiering had moeten krijgen ter dekking van de extra kosten die het gevolg zijn van de langetermijnimpact van de COVID-19-pandemie en de hollende inflatie; verzoekt de Commissie daarom de financiering van de Melina Mercouriprijs, die al meerdere jaren slechts 1,5 miljoen EUR bedraagt, te verhogen; verzoekt de lidstaten voorts om ervoor te zorgen dat het initiatief een blijvende indruk nalaat en om het bereik ervan te vergroten zodat de culturele activiteiten die in het kader van het initiatief zijn ontwikkeld een grotere opkomst kennen;</w:t>
      </w:r>
    </w:p>
    <w:p w:rsidR="002A1480" w:rsidRPr="001D67E7" w:rsidRDefault="002A1480" w:rsidP="002A1480">
      <w:pPr>
        <w:pStyle w:val="NormalHanging12a"/>
      </w:pPr>
      <w:r w:rsidRPr="001D67E7">
        <w:t>36.</w:t>
      </w:r>
      <w:r w:rsidRPr="001D67E7">
        <w:tab/>
        <w:t>erkent dat het Europees erfgoedlabel een waardevol initiatief is om de belangrijke rol te promoten die dit erfgoed speelt in de geschiedenis en cultuur van Europa en stelt vast dat tussen 2013 en 2021 zestig erfgoedsites dit label hebben ontvangen; verzoekt de Commissie echter de zichtbaarheid van het Europees erfgoedlabel te vergroten door synergieën te ontwikkelen met andere relevante financiële instrumenten van de EU;</w:t>
      </w:r>
    </w:p>
    <w:p w:rsidR="002A1480" w:rsidRPr="001D67E7" w:rsidRDefault="002A1480" w:rsidP="002A1480">
      <w:pPr>
        <w:pStyle w:val="NormalHanging12a"/>
      </w:pPr>
      <w:r w:rsidRPr="001D67E7">
        <w:t>37.</w:t>
      </w:r>
      <w:r w:rsidRPr="001D67E7">
        <w:tab/>
        <w:t>benadrukt het belang van de door het programma Creatief Europa ondersteunde prijzen op het gebied van literatuur, architectuur en erfgoed, muziek (hedendaags, rock en pop) en audiovisuele media; beklemtoont dat deze reeds lang bestaande initiatieven grote bekendheid genieten in die sectoren en de zichtbaarheid van de Europese culturele en creatieve sector vergroten door prestaties op verschillende gebieden te belonen;</w:t>
      </w:r>
    </w:p>
    <w:p w:rsidR="002A1480" w:rsidRPr="001D67E7" w:rsidRDefault="002A1480" w:rsidP="002A1480">
      <w:pPr>
        <w:pStyle w:val="NormalHanging12a"/>
        <w:rPr>
          <w:rFonts w:eastAsiaTheme="minorHAnsi"/>
          <w:b/>
          <w:i/>
        </w:rPr>
      </w:pPr>
      <w:r w:rsidRPr="001D67E7">
        <w:rPr>
          <w:b/>
          <w:i/>
        </w:rPr>
        <w:t>Onderdeel Media</w:t>
      </w:r>
    </w:p>
    <w:p w:rsidR="002A1480" w:rsidRPr="001D67E7" w:rsidRDefault="002A1480" w:rsidP="002A1480">
      <w:pPr>
        <w:pStyle w:val="NormalHanging12a"/>
      </w:pPr>
      <w:r w:rsidRPr="001D67E7">
        <w:t>38.</w:t>
      </w:r>
      <w:r w:rsidRPr="001D67E7">
        <w:tab/>
        <w:t>erkent dat het onderdeel Media nog steeds het Europese instrument is dat de meeste strategische ondersteuning biedt aan de onafhankelijke audiovisuele sector, die voornamelijk kleine en middelgrote ondernemingen omvat; wijst op de stevige internationale concurrentie die de Europese audiovisuele, film- en videogamesector ondervindt en op de cruciale steun die dit onderdeel biedt voor het herstel en de transformatie van deze sectoren en om de strategische autonomie van de EU te versterken; benadrukt in dat verband dat het belangrijk is te zorgen voor een adequate begrotingstoewijzing voor het onderdeel Media en dat er uitgebreide gegevens nodig zijn om te beoordelen en te monitoren of en hoe het programma het economische en culturele potentieel van deze sectoren daadwerkelijk kan vergroten;</w:t>
      </w:r>
    </w:p>
    <w:p w:rsidR="002A1480" w:rsidRPr="001D67E7" w:rsidRDefault="002A1480" w:rsidP="002A1480">
      <w:pPr>
        <w:pStyle w:val="NormalHanging12a"/>
      </w:pPr>
      <w:r w:rsidRPr="001D67E7">
        <w:t>39.</w:t>
      </w:r>
      <w:r w:rsidRPr="001D67E7">
        <w:tab/>
        <w:t>erkent het positieve effect van de gerichte maatregelen die in het kader van het onderdeel Media zijn ingevoerd om de deelname van landen met verschillende audiovisuele capaciteiten te vergroten en de samenwerking over de grenzen heen te versterken;</w:t>
      </w:r>
    </w:p>
    <w:p w:rsidR="002A1480" w:rsidRPr="001D67E7" w:rsidRDefault="002A1480" w:rsidP="002A1480">
      <w:pPr>
        <w:pStyle w:val="NormalHanging12a"/>
        <w:rPr>
          <w:rFonts w:eastAsiaTheme="minorHAnsi"/>
        </w:rPr>
      </w:pPr>
      <w:r w:rsidRPr="001D67E7">
        <w:t>40.</w:t>
      </w:r>
      <w:r w:rsidRPr="001D67E7">
        <w:tab/>
        <w:t xml:space="preserve">benadrukt dat in 2021-2022 een groot aantal projecten van hoge kwaliteit in het kader van co-ontwikkelings- en “mini-slate”-regelingen werd afgewezen vanwege beperkte budgettaire middelen; verzoekt de Commissie derhalve in de begroting meer middelen </w:t>
      </w:r>
      <w:r w:rsidRPr="001D67E7">
        <w:lastRenderedPageBreak/>
        <w:t>uit te trekken voor de toekomstige uitvoering van deze regelingen;</w:t>
      </w:r>
    </w:p>
    <w:p w:rsidR="002A1480" w:rsidRPr="001D67E7" w:rsidRDefault="002A1480" w:rsidP="002A1480">
      <w:pPr>
        <w:pStyle w:val="NormalHanging12a"/>
        <w:rPr>
          <w:rFonts w:eastAsiaTheme="minorHAnsi"/>
        </w:rPr>
      </w:pPr>
      <w:r w:rsidRPr="001D67E7">
        <w:t>41.</w:t>
      </w:r>
      <w:r w:rsidRPr="001D67E7">
        <w:tab/>
        <w:t>onderstreept de cruciale rol van de steunregelingen voor de Europese filmdistributie (European Film Distribution) en de Europese filmverkoop (European Film Sales) voor wat betreft de bevordering van de culturele diversiteit van de Europese audiovisuele sector middels de internationale verspreiding van Europese films en de compensatie van een aantal van de risico’s die distributeurs nemen bij investeringen in de productie, verspreiding en promotie van niet-nationale Europese films; benadrukt daarom dat het van cruciaal belang is dat de financiering voor beide regelingen wordt verhoogd en dat meer gedaan wordt om Europese werken verder te verspreiden en online beschikbaar te stellen;</w:t>
      </w:r>
    </w:p>
    <w:p w:rsidR="002A1480" w:rsidRPr="001D67E7" w:rsidRDefault="002A1480" w:rsidP="002A1480">
      <w:pPr>
        <w:pStyle w:val="NormalHanging12a"/>
        <w:rPr>
          <w:rFonts w:eastAsiaTheme="minorHAnsi"/>
        </w:rPr>
      </w:pPr>
      <w:r w:rsidRPr="001D67E7">
        <w:t>42.</w:t>
      </w:r>
      <w:r w:rsidRPr="001D67E7">
        <w:tab/>
        <w:t>benadrukt dat het in veel Europese landen ontbreekt aan steunregelingen voor het vertonen van cinematografische werken in bioscopen; beklemtoont derhalve dat de financiering voor het Europa Cinemas Network, een vlaggenschipinitiatief van het onderdeel Media waarmee de verspreiding van Europese films in bioscopen wordt bevorderd, op peil moet worden gehouden;</w:t>
      </w:r>
    </w:p>
    <w:p w:rsidR="002A1480" w:rsidRPr="001D67E7" w:rsidRDefault="002A1480" w:rsidP="002A1480">
      <w:pPr>
        <w:pStyle w:val="NormalHanging12a"/>
      </w:pPr>
      <w:r w:rsidRPr="001D67E7">
        <w:t>43.</w:t>
      </w:r>
      <w:r w:rsidRPr="001D67E7">
        <w:tab/>
        <w:t>onderstreept dat met de verordening Creatief Europa 2021-2027 meer steun wordt verleend aan netwerkactiviteiten voor professionals uit de audiovisuele sector, onder wie scheppende kunstenaars; wijst erop dat deze actie nog niet ten uitvoer is gelegd; verzoekt de Commissie daarom snel een specifieke actie uit te voeren om activiteiten en samenwerking op het gebied van netwerken tussen Europese culturele en beroepsorganisaties binnen de audiovisuele waardeketen te ondersteunen;</w:t>
      </w:r>
    </w:p>
    <w:p w:rsidR="002A1480" w:rsidRPr="001D67E7" w:rsidRDefault="002A1480" w:rsidP="002A1480">
      <w:pPr>
        <w:pStyle w:val="NormalHanging12a"/>
      </w:pPr>
      <w:r w:rsidRPr="001D67E7">
        <w:t>44.</w:t>
      </w:r>
      <w:r w:rsidRPr="001D67E7">
        <w:tab/>
        <w:t>herinnert aan het succes van de voorbereidende actie Europees schrijven en stelt voor dat de Commissie de doelstellingen van deze actie opneemt in het programma Creatief Europa;</w:t>
      </w:r>
    </w:p>
    <w:p w:rsidR="002A1480" w:rsidRPr="001D67E7" w:rsidRDefault="002A1480" w:rsidP="002A1480">
      <w:pPr>
        <w:pStyle w:val="NormalHanging12a"/>
        <w:rPr>
          <w:rFonts w:eastAsiaTheme="minorHAnsi"/>
        </w:rPr>
      </w:pPr>
      <w:r w:rsidRPr="001D67E7">
        <w:t>45.</w:t>
      </w:r>
      <w:r w:rsidRPr="001D67E7">
        <w:tab/>
        <w:t>is ingenomen met de invoering van een specifieke actie ter ondersteuning van de ontwikkeling van videogames en immersieve inhoud, die aanzienlijke belangstelling binnen de sector heeft gewekt; verzoekt de Commissie de culturele en creatieve dimensie van deze sector te ondersteunen door bij het opstellen van de desbetreffende oproepen tot het indienen van voorstellen rekening te houden met de specifieke kenmerken en behoeften ervan, met inbegrip van de noodzaak om nieuwe bedrijfsmodellen in de virtuele wereld te beproeven teneinde de ontwikkeling van vaardigheden op dit gebied mogelijk te maken, met bijzondere nadruk op de participatie van vrouwen; stelt echter vast dat de huidige begroting hiervoor mogelijk onvoldoende is en dringt aan op aanvullende financiering om de groei van het Europese ecosysteem voor videogames te ondersteunen en de ontwikkeling en het behoud van Europees talent aan te moedigen;</w:t>
      </w:r>
    </w:p>
    <w:p w:rsidR="002A1480" w:rsidRPr="001D67E7" w:rsidRDefault="002A1480" w:rsidP="002A1480">
      <w:pPr>
        <w:pStyle w:val="NormalHanging12a"/>
        <w:rPr>
          <w:rFonts w:eastAsiaTheme="minorHAnsi"/>
        </w:rPr>
      </w:pPr>
      <w:r w:rsidRPr="001D67E7">
        <w:t>46.</w:t>
      </w:r>
      <w:r w:rsidRPr="001D67E7">
        <w:tab/>
        <w:t>beklemtoont dat de stijgende inflatie in combinatie met de uitermate grote competitiviteit van de audiovisuele markt van invloed is op de productiekosten; verzoekt de Commissie daarom de financieringsplafonds naar boven aan te passen en ervoor te zorgen dat de audiovisuele industrie via het onderdeel Media effectief wordt ondersteund;</w:t>
      </w:r>
    </w:p>
    <w:p w:rsidR="002A1480" w:rsidRPr="001D67E7" w:rsidRDefault="002A1480" w:rsidP="002A1480">
      <w:pPr>
        <w:pStyle w:val="NormalHanging12a"/>
        <w:rPr>
          <w:rFonts w:eastAsiaTheme="minorHAnsi"/>
        </w:rPr>
      </w:pPr>
      <w:r w:rsidRPr="001D67E7">
        <w:t>47.</w:t>
      </w:r>
      <w:r w:rsidRPr="001D67E7">
        <w:tab/>
        <w:t xml:space="preserve">neemt kennis van het succes van de oproep voor netwerken van Europese festivals, waarmee 71 festivals in twaalf netwerken zijn ondersteund en waarbij onder andere werd samengewerkt om de publieksbetrokkenheid te bevorderen; verzoekt de </w:t>
      </w:r>
      <w:r w:rsidRPr="001D67E7">
        <w:lastRenderedPageBreak/>
        <w:t>Commissie derhalve de twee complementaire acties, de Europese festivals en het netwerk van Europese festivals, jaarlijks om en om te blijven financieren;</w:t>
      </w:r>
    </w:p>
    <w:p w:rsidR="002A1480" w:rsidRPr="001D67E7" w:rsidRDefault="002A1480" w:rsidP="002A1480">
      <w:pPr>
        <w:pStyle w:val="NormalHanging12a"/>
        <w:rPr>
          <w:rFonts w:eastAsiaTheme="minorHAnsi"/>
        </w:rPr>
      </w:pPr>
      <w:r w:rsidRPr="001D67E7">
        <w:t>48.</w:t>
      </w:r>
      <w:r w:rsidRPr="001D67E7">
        <w:tab/>
        <w:t>stelt vast dat de MediaInvest-faciliteit een groot aantal aanvragen heeft opgeleverd en dat er derhalve meer begrotingssynergieën met het InvestEU-programma moeten worden gewaarborgd om de faciliteit in de toekomst uit te voeren; verzoekt de Commissie ervoor te zorgen dat er meer ruchtbaarheid aan deze faciliteit wordt gegeven in de audiovisuele sector;</w:t>
      </w:r>
    </w:p>
    <w:p w:rsidR="002A1480" w:rsidRPr="001D67E7" w:rsidRDefault="002A1480" w:rsidP="002A1480">
      <w:pPr>
        <w:pStyle w:val="NormalHanging12a"/>
        <w:rPr>
          <w:rFonts w:eastAsiaTheme="minorHAnsi"/>
        </w:rPr>
      </w:pPr>
      <w:r w:rsidRPr="001D67E7">
        <w:t>49.</w:t>
      </w:r>
      <w:r w:rsidRPr="001D67E7">
        <w:tab/>
        <w:t>herinnert eraan dat ingevolge het voorstel van de Commissie voor een verordening mediavrijheid van september 2022 een nieuwe Europese Raad voor mediadiensten wordt opgericht ter vervanging van de Europese Groep van regulerende instanties voor audiovisuele mediadiensten (ERGA) die bij Richtlijn 2010/13/EU is ingesteld</w:t>
      </w:r>
      <w:r w:rsidRPr="001D67E7">
        <w:rPr>
          <w:rStyle w:val="FootnoteReference"/>
          <w:rFonts w:eastAsiaTheme="minorHAnsi"/>
        </w:rPr>
        <w:footnoteReference w:id="15"/>
      </w:r>
      <w:r w:rsidRPr="001D67E7">
        <w:t>; benadrukt in het licht van de beperkte financiële middelen die beschikbaar zijn voor de uitvoering van de doelstellingen van het programma dat de begroting voor het onderdeel Media en andere begrotingslijnen van het programma niet mogen worden gebruikt voor de financiering van de raad;</w:t>
      </w:r>
    </w:p>
    <w:p w:rsidR="002A1480" w:rsidRPr="001D67E7" w:rsidRDefault="002A1480" w:rsidP="002A1480">
      <w:pPr>
        <w:pStyle w:val="NormalHanging12a"/>
        <w:rPr>
          <w:rFonts w:eastAsiaTheme="minorHAnsi"/>
          <w:b/>
          <w:i/>
        </w:rPr>
      </w:pPr>
      <w:r w:rsidRPr="001D67E7">
        <w:rPr>
          <w:b/>
          <w:i/>
        </w:rPr>
        <w:t>Sectoroverschrijdend onderdeel</w:t>
      </w:r>
    </w:p>
    <w:p w:rsidR="002A1480" w:rsidRPr="001D67E7" w:rsidRDefault="002A1480" w:rsidP="002A1480">
      <w:pPr>
        <w:pStyle w:val="NormalHanging12a"/>
        <w:rPr>
          <w:rFonts w:eastAsiaTheme="minorHAnsi"/>
        </w:rPr>
      </w:pPr>
      <w:r w:rsidRPr="001D67E7">
        <w:t>50.</w:t>
      </w:r>
      <w:r w:rsidRPr="001D67E7">
        <w:tab/>
        <w:t>betreurt het dat de in het kader van het Sectoroverschrijdende onderdeel geprogrammeerde acties de grootste vertraging hebben opgelopen bij de uitvoering ervan, in het bijzonder in 2021, als gevolg van de nieuwigheden die in het onderdeel zijn opgenomen;</w:t>
      </w:r>
    </w:p>
    <w:p w:rsidR="002A1480" w:rsidRPr="001D67E7" w:rsidRDefault="002A1480" w:rsidP="002A1480">
      <w:pPr>
        <w:pStyle w:val="NormalHanging12a"/>
        <w:rPr>
          <w:rFonts w:eastAsiaTheme="minorHAnsi"/>
        </w:rPr>
      </w:pPr>
      <w:r w:rsidRPr="001D67E7">
        <w:t>51.</w:t>
      </w:r>
      <w:r w:rsidRPr="001D67E7">
        <w:tab/>
        <w:t>merkt op dat de oproepen tot het indienen van voorstellen voor partnerschappen voor journalistiek en mediageletterdheid in de periode 2021-2022 het grootste aantal aanvragen hebben opgeleverd, waaruit blijkt dat de Europese mediasector dringend meer financiële steun nodig heeft;</w:t>
      </w:r>
    </w:p>
    <w:p w:rsidR="002A1480" w:rsidRPr="001D67E7" w:rsidRDefault="002A1480" w:rsidP="002A1480">
      <w:pPr>
        <w:pStyle w:val="NormalHanging12a"/>
        <w:rPr>
          <w:rFonts w:eastAsiaTheme="minorHAnsi"/>
        </w:rPr>
      </w:pPr>
      <w:r w:rsidRPr="001D67E7">
        <w:t>52.</w:t>
      </w:r>
      <w:r w:rsidRPr="001D67E7">
        <w:tab/>
        <w:t>merkt op dat het lage succespercentage van aanvragen in het kader van het Sectoroverschrijdende onderdeel, ondanks de over het algemeen hoge kwaliteit van de ingediende aanvragen, wijst op een grote vraag naar financiële steun, waaraan helaas niet kan worden voldaan met de huidige financiële toewijzing;</w:t>
      </w:r>
    </w:p>
    <w:p w:rsidR="002A1480" w:rsidRPr="001D67E7" w:rsidRDefault="002A1480" w:rsidP="002A1480">
      <w:pPr>
        <w:pStyle w:val="NormalHanging12a"/>
        <w:rPr>
          <w:rFonts w:eastAsiaTheme="minorHAnsi"/>
        </w:rPr>
      </w:pPr>
      <w:r w:rsidRPr="001D67E7">
        <w:t>53.</w:t>
      </w:r>
      <w:r w:rsidRPr="001D67E7">
        <w:tab/>
        <w:t>verzoekt de Commissie erop toe te zien dat in de rest van de programmeringsperiode ten minste 9 %</w:t>
      </w:r>
      <w:r w:rsidRPr="001D67E7">
        <w:rPr>
          <w:rStyle w:val="FootnoteReference"/>
        </w:rPr>
        <w:footnoteReference w:id="16"/>
      </w:r>
      <w:r w:rsidRPr="001D67E7">
        <w:t xml:space="preserve"> van totale begroting voor 2021-2027 wordt aangewend om de doelstellingen van het Sectoroverschrijdend onderdeel te ondersteunen;</w:t>
      </w:r>
    </w:p>
    <w:p w:rsidR="002A1480" w:rsidRPr="001D67E7" w:rsidRDefault="002A1480" w:rsidP="002A1480">
      <w:pPr>
        <w:pStyle w:val="NormalHanging12a"/>
        <w:jc w:val="center"/>
        <w:rPr>
          <w:rFonts w:eastAsiaTheme="minorHAnsi"/>
        </w:rPr>
      </w:pPr>
      <w:r w:rsidRPr="001D67E7">
        <w:t>°</w:t>
      </w:r>
    </w:p>
    <w:p w:rsidR="002A1480" w:rsidRPr="001D67E7" w:rsidRDefault="002A1480" w:rsidP="002A1480">
      <w:pPr>
        <w:pStyle w:val="NormalHanging12a"/>
        <w:jc w:val="center"/>
        <w:rPr>
          <w:rFonts w:eastAsiaTheme="minorHAnsi"/>
        </w:rPr>
      </w:pPr>
      <w:r w:rsidRPr="001D67E7">
        <w:t>°</w:t>
      </w:r>
      <w:r w:rsidRPr="001D67E7">
        <w:tab/>
        <w:t>°</w:t>
      </w:r>
    </w:p>
    <w:p w:rsidR="002A1480" w:rsidRPr="001D67E7" w:rsidRDefault="002A1480" w:rsidP="002A1480">
      <w:pPr>
        <w:pStyle w:val="NormalHanging12a"/>
      </w:pPr>
      <w:r w:rsidRPr="001D67E7">
        <w:t>54.</w:t>
      </w:r>
      <w:r w:rsidRPr="001D67E7">
        <w:tab/>
        <w:t>verzoekt zijn Voorzitter deze resolutie te doen toekomen aan de Raad en de Commissie</w:t>
      </w:r>
      <w:r w:rsidRPr="001D67E7">
        <w:rPr>
          <w:snapToGrid w:val="0"/>
        </w:rPr>
        <w:t xml:space="preserve">, </w:t>
      </w:r>
      <w:r w:rsidRPr="001D67E7">
        <w:rPr>
          <w:snapToGrid w:val="0"/>
        </w:rPr>
        <w:lastRenderedPageBreak/>
        <w:t>alsmede aan de nationale Creatief Europa-desks.</w:t>
      </w:r>
    </w:p>
    <w:p w:rsidR="002A1480" w:rsidRPr="001D67E7" w:rsidRDefault="002A1480" w:rsidP="002A1480"/>
    <w:sectPr w:rsidR="002A1480" w:rsidRPr="001D67E7" w:rsidSect="001D67E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5FB5" w:rsidRPr="001D67E7" w:rsidRDefault="00BC5FB5">
      <w:r w:rsidRPr="001D67E7">
        <w:separator/>
      </w:r>
    </w:p>
  </w:endnote>
  <w:endnote w:type="continuationSeparator" w:id="0">
    <w:p w:rsidR="00BC5FB5" w:rsidRPr="001D67E7" w:rsidRDefault="00BC5FB5">
      <w:r w:rsidRPr="001D67E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D67E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D67E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D67E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5FB5" w:rsidRPr="001D67E7" w:rsidRDefault="00BC5FB5">
      <w:r w:rsidRPr="001D67E7">
        <w:separator/>
      </w:r>
    </w:p>
  </w:footnote>
  <w:footnote w:type="continuationSeparator" w:id="0">
    <w:p w:rsidR="00BC5FB5" w:rsidRPr="001D67E7" w:rsidRDefault="00BC5FB5">
      <w:r w:rsidRPr="001D67E7">
        <w:continuationSeparator/>
      </w:r>
    </w:p>
  </w:footnote>
  <w:footnote w:id="1">
    <w:p w:rsidR="002A1480" w:rsidRPr="001D67E7" w:rsidRDefault="002A1480" w:rsidP="001D67E7">
      <w:pPr>
        <w:pStyle w:val="FootnoteText"/>
        <w:ind w:left="567" w:hanging="567"/>
        <w:rPr>
          <w:sz w:val="24"/>
          <w:lang w:val="nl-NL"/>
        </w:rPr>
      </w:pPr>
      <w:r w:rsidRPr="001D67E7">
        <w:rPr>
          <w:rStyle w:val="FootnoteReference"/>
          <w:sz w:val="24"/>
          <w:lang w:val="nl-NL"/>
        </w:rPr>
        <w:footnoteRef/>
      </w:r>
      <w:r w:rsidR="001D67E7" w:rsidRPr="001D67E7">
        <w:rPr>
          <w:sz w:val="24"/>
          <w:lang w:val="nl-NL"/>
        </w:rPr>
        <w:t xml:space="preserve"> </w:t>
      </w:r>
      <w:r w:rsidR="001D67E7" w:rsidRPr="001D67E7">
        <w:rPr>
          <w:sz w:val="24"/>
          <w:lang w:val="nl-NL"/>
        </w:rPr>
        <w:tab/>
      </w:r>
      <w:r w:rsidRPr="001D67E7">
        <w:rPr>
          <w:sz w:val="24"/>
          <w:lang w:val="nl-NL"/>
        </w:rPr>
        <w:t>PB L 189 van 28.5.2021, blz. 34.</w:t>
      </w:r>
    </w:p>
  </w:footnote>
  <w:footnote w:id="2">
    <w:p w:rsidR="002A1480" w:rsidRPr="001D67E7" w:rsidRDefault="002A1480" w:rsidP="001D67E7">
      <w:pPr>
        <w:pStyle w:val="FootnoteText"/>
        <w:ind w:left="567" w:hanging="567"/>
        <w:rPr>
          <w:sz w:val="24"/>
          <w:lang w:val="nl-NL"/>
        </w:rPr>
      </w:pPr>
      <w:r w:rsidRPr="001D67E7">
        <w:rPr>
          <w:rStyle w:val="FootnoteReference"/>
          <w:sz w:val="24"/>
          <w:lang w:val="nl-NL"/>
        </w:rPr>
        <w:footnoteRef/>
      </w:r>
      <w:r w:rsidR="001D67E7" w:rsidRPr="001D67E7">
        <w:rPr>
          <w:sz w:val="24"/>
          <w:lang w:val="nl-NL"/>
        </w:rPr>
        <w:t xml:space="preserve"> </w:t>
      </w:r>
      <w:r w:rsidR="001D67E7" w:rsidRPr="001D67E7">
        <w:rPr>
          <w:sz w:val="24"/>
          <w:lang w:val="nl-NL"/>
        </w:rPr>
        <w:tab/>
      </w:r>
      <w:r w:rsidRPr="001D67E7">
        <w:rPr>
          <w:sz w:val="24"/>
          <w:lang w:val="nl-NL"/>
        </w:rPr>
        <w:t>PB L 347 van 20.12.2013, blz. 221.</w:t>
      </w:r>
    </w:p>
  </w:footnote>
  <w:footnote w:id="3">
    <w:p w:rsidR="002A1480" w:rsidRPr="001D67E7" w:rsidRDefault="002A1480" w:rsidP="001D67E7">
      <w:pPr>
        <w:pStyle w:val="FootnoteText"/>
        <w:ind w:left="567" w:hanging="567"/>
        <w:rPr>
          <w:sz w:val="24"/>
          <w:lang w:val="nl-NL"/>
        </w:rPr>
      </w:pPr>
      <w:r w:rsidRPr="001D67E7">
        <w:rPr>
          <w:rStyle w:val="FootnoteReference"/>
          <w:sz w:val="24"/>
          <w:lang w:val="nl-NL"/>
        </w:rPr>
        <w:footnoteRef/>
      </w:r>
      <w:r w:rsidR="001D67E7" w:rsidRPr="001D67E7">
        <w:rPr>
          <w:sz w:val="24"/>
          <w:lang w:val="nl-NL"/>
        </w:rPr>
        <w:t xml:space="preserve"> </w:t>
      </w:r>
      <w:r w:rsidR="001D67E7" w:rsidRPr="001D67E7">
        <w:rPr>
          <w:sz w:val="24"/>
          <w:lang w:val="nl-NL"/>
        </w:rPr>
        <w:tab/>
      </w:r>
      <w:r w:rsidRPr="001D67E7">
        <w:rPr>
          <w:sz w:val="24"/>
          <w:lang w:val="nl-NL"/>
        </w:rPr>
        <w:t>PB C 108 van 26.3.2021, blz. 934.</w:t>
      </w:r>
    </w:p>
  </w:footnote>
  <w:footnote w:id="4">
    <w:p w:rsidR="002A1480" w:rsidRPr="001D67E7" w:rsidRDefault="002A1480" w:rsidP="001D67E7">
      <w:pPr>
        <w:pStyle w:val="FootnoteText"/>
        <w:ind w:left="567" w:hanging="567"/>
        <w:rPr>
          <w:sz w:val="24"/>
          <w:lang w:val="nl-NL"/>
        </w:rPr>
      </w:pPr>
      <w:r w:rsidRPr="001D67E7">
        <w:rPr>
          <w:rStyle w:val="FootnoteReference"/>
          <w:sz w:val="24"/>
          <w:lang w:val="nl-NL"/>
        </w:rPr>
        <w:footnoteRef/>
      </w:r>
      <w:r w:rsidR="001D67E7" w:rsidRPr="001D67E7">
        <w:rPr>
          <w:sz w:val="24"/>
          <w:lang w:val="nl-NL"/>
        </w:rPr>
        <w:t xml:space="preserve"> </w:t>
      </w:r>
      <w:r w:rsidR="001D67E7" w:rsidRPr="001D67E7">
        <w:rPr>
          <w:sz w:val="24"/>
          <w:lang w:val="nl-NL"/>
        </w:rPr>
        <w:tab/>
      </w:r>
      <w:r w:rsidRPr="001D67E7">
        <w:rPr>
          <w:sz w:val="24"/>
          <w:lang w:val="nl-NL"/>
        </w:rPr>
        <w:t>PB C 110 van 22.3.2019, blz. 87.</w:t>
      </w:r>
    </w:p>
  </w:footnote>
  <w:footnote w:id="5">
    <w:p w:rsidR="002A1480" w:rsidRPr="001D67E7" w:rsidRDefault="002A1480" w:rsidP="001D67E7">
      <w:pPr>
        <w:pStyle w:val="FootnoteText"/>
        <w:ind w:left="567" w:hanging="567"/>
        <w:rPr>
          <w:sz w:val="24"/>
          <w:lang w:val="nl-NL"/>
        </w:rPr>
      </w:pPr>
      <w:r w:rsidRPr="001D67E7">
        <w:rPr>
          <w:rStyle w:val="FootnoteReference"/>
          <w:sz w:val="24"/>
          <w:lang w:val="nl-NL"/>
        </w:rPr>
        <w:footnoteRef/>
      </w:r>
      <w:r w:rsidR="001D67E7" w:rsidRPr="001D67E7">
        <w:rPr>
          <w:sz w:val="24"/>
          <w:lang w:val="nl-NL"/>
        </w:rPr>
        <w:t xml:space="preserve"> </w:t>
      </w:r>
      <w:r w:rsidR="001D67E7" w:rsidRPr="001D67E7">
        <w:rPr>
          <w:sz w:val="24"/>
          <w:lang w:val="nl-NL"/>
        </w:rPr>
        <w:tab/>
      </w:r>
      <w:r w:rsidRPr="001D67E7">
        <w:rPr>
          <w:sz w:val="24"/>
          <w:lang w:val="nl-NL"/>
        </w:rPr>
        <w:t>PB C 168 van 16.5.2019, blz. 37.</w:t>
      </w:r>
    </w:p>
  </w:footnote>
  <w:footnote w:id="6">
    <w:p w:rsidR="002A1480" w:rsidRPr="001D67E7" w:rsidRDefault="002A1480" w:rsidP="001D67E7">
      <w:pPr>
        <w:pStyle w:val="FootnoteText"/>
        <w:ind w:left="567" w:hanging="567"/>
        <w:rPr>
          <w:sz w:val="24"/>
          <w:lang w:val="nl-NL"/>
        </w:rPr>
      </w:pPr>
      <w:r w:rsidRPr="001D67E7">
        <w:rPr>
          <w:rStyle w:val="FootnoteReference"/>
          <w:sz w:val="24"/>
          <w:lang w:val="nl-NL"/>
        </w:rPr>
        <w:footnoteRef/>
      </w:r>
      <w:r w:rsidR="001D67E7" w:rsidRPr="001D67E7">
        <w:rPr>
          <w:sz w:val="24"/>
          <w:lang w:val="nl-NL"/>
        </w:rPr>
        <w:t xml:space="preserve"> </w:t>
      </w:r>
      <w:r w:rsidR="001D67E7" w:rsidRPr="001D67E7">
        <w:rPr>
          <w:sz w:val="24"/>
          <w:lang w:val="nl-NL"/>
        </w:rPr>
        <w:tab/>
      </w:r>
      <w:r w:rsidRPr="001D67E7">
        <w:rPr>
          <w:sz w:val="24"/>
          <w:lang w:val="nl-NL"/>
        </w:rPr>
        <w:t>PB C 466 van 7.12.2022, blz. 1.</w:t>
      </w:r>
    </w:p>
  </w:footnote>
  <w:footnote w:id="7">
    <w:p w:rsidR="002A1480" w:rsidRPr="001D67E7" w:rsidRDefault="002A1480" w:rsidP="001D67E7">
      <w:pPr>
        <w:pStyle w:val="FootnoteText"/>
        <w:ind w:left="567" w:hanging="567"/>
        <w:rPr>
          <w:sz w:val="24"/>
          <w:lang w:val="nl-NL"/>
        </w:rPr>
      </w:pPr>
      <w:r w:rsidRPr="001D67E7">
        <w:rPr>
          <w:rStyle w:val="FootnoteReference"/>
          <w:sz w:val="24"/>
          <w:lang w:val="nl-NL"/>
        </w:rPr>
        <w:footnoteRef/>
      </w:r>
      <w:r w:rsidR="001D67E7" w:rsidRPr="001D67E7">
        <w:rPr>
          <w:sz w:val="24"/>
          <w:lang w:val="nl-NL"/>
        </w:rPr>
        <w:t xml:space="preserve"> </w:t>
      </w:r>
      <w:r w:rsidR="001D67E7" w:rsidRPr="001D67E7">
        <w:rPr>
          <w:sz w:val="24"/>
          <w:lang w:val="nl-NL"/>
        </w:rPr>
        <w:tab/>
      </w:r>
      <w:r w:rsidRPr="001D67E7">
        <w:rPr>
          <w:sz w:val="24"/>
          <w:lang w:val="nl-NL"/>
        </w:rPr>
        <w:t>Aangenomen teksten, P9_</w:t>
      </w:r>
      <w:proofErr w:type="gramStart"/>
      <w:r w:rsidRPr="001D67E7">
        <w:rPr>
          <w:sz w:val="24"/>
          <w:lang w:val="nl-NL"/>
        </w:rPr>
        <w:t>TA(</w:t>
      </w:r>
      <w:proofErr w:type="gramEnd"/>
      <w:r w:rsidRPr="001D67E7">
        <w:rPr>
          <w:sz w:val="24"/>
          <w:lang w:val="nl-NL"/>
        </w:rPr>
        <w:t>2023)0329.</w:t>
      </w:r>
    </w:p>
  </w:footnote>
  <w:footnote w:id="8">
    <w:p w:rsidR="002A1480" w:rsidRPr="001D67E7" w:rsidRDefault="002A1480" w:rsidP="001D67E7">
      <w:pPr>
        <w:pStyle w:val="FootnoteText"/>
        <w:ind w:left="567" w:hanging="567"/>
        <w:rPr>
          <w:sz w:val="24"/>
          <w:lang w:val="nl-NL"/>
        </w:rPr>
      </w:pPr>
      <w:r w:rsidRPr="001D67E7">
        <w:rPr>
          <w:rStyle w:val="FootnoteReference"/>
          <w:sz w:val="24"/>
          <w:lang w:val="nl-NL"/>
        </w:rPr>
        <w:footnoteRef/>
      </w:r>
      <w:r w:rsidR="001D67E7" w:rsidRPr="001D67E7">
        <w:rPr>
          <w:sz w:val="24"/>
          <w:lang w:val="nl-NL"/>
        </w:rPr>
        <w:t xml:space="preserve"> </w:t>
      </w:r>
      <w:r w:rsidR="001D67E7" w:rsidRPr="001D67E7">
        <w:rPr>
          <w:sz w:val="24"/>
          <w:lang w:val="nl-NL"/>
        </w:rPr>
        <w:tab/>
      </w:r>
      <w:r w:rsidRPr="001D67E7">
        <w:rPr>
          <w:sz w:val="24"/>
          <w:lang w:val="nl-NL"/>
        </w:rPr>
        <w:t>PB C 177 van 17.5.2023, blz. 78.</w:t>
      </w:r>
    </w:p>
  </w:footnote>
  <w:footnote w:id="9">
    <w:p w:rsidR="002A1480" w:rsidRPr="001D67E7" w:rsidRDefault="002A1480" w:rsidP="001D67E7">
      <w:pPr>
        <w:pStyle w:val="FootnoteText"/>
        <w:ind w:left="567" w:hanging="567"/>
        <w:rPr>
          <w:sz w:val="24"/>
          <w:lang w:val="nl-NL"/>
        </w:rPr>
      </w:pPr>
      <w:r w:rsidRPr="001D67E7">
        <w:rPr>
          <w:rStyle w:val="FootnoteReference"/>
          <w:sz w:val="24"/>
          <w:lang w:val="nl-NL"/>
        </w:rPr>
        <w:footnoteRef/>
      </w:r>
      <w:r w:rsidR="001D67E7" w:rsidRPr="001D67E7">
        <w:rPr>
          <w:sz w:val="24"/>
          <w:lang w:val="nl-NL"/>
        </w:rPr>
        <w:t xml:space="preserve"> </w:t>
      </w:r>
      <w:r w:rsidR="001D67E7" w:rsidRPr="001D67E7">
        <w:rPr>
          <w:sz w:val="24"/>
          <w:lang w:val="nl-NL"/>
        </w:rPr>
        <w:tab/>
      </w:r>
      <w:r w:rsidRPr="001D67E7">
        <w:rPr>
          <w:sz w:val="24"/>
          <w:lang w:val="nl-NL"/>
        </w:rPr>
        <w:t>PB C 184 van 5.5.2022, blz. 71.</w:t>
      </w:r>
    </w:p>
  </w:footnote>
  <w:footnote w:id="10">
    <w:p w:rsidR="002A1480" w:rsidRPr="001D67E7" w:rsidRDefault="002A1480" w:rsidP="001D67E7">
      <w:pPr>
        <w:pStyle w:val="FootnoteText"/>
        <w:ind w:left="567" w:hanging="567"/>
        <w:rPr>
          <w:sz w:val="24"/>
          <w:lang w:val="nl-NL"/>
        </w:rPr>
      </w:pPr>
      <w:r w:rsidRPr="001D67E7">
        <w:rPr>
          <w:rStyle w:val="FootnoteReference"/>
          <w:sz w:val="24"/>
          <w:lang w:val="nl-NL"/>
        </w:rPr>
        <w:footnoteRef/>
      </w:r>
      <w:r w:rsidR="001D67E7" w:rsidRPr="001D67E7">
        <w:rPr>
          <w:sz w:val="24"/>
          <w:lang w:val="nl-NL"/>
        </w:rPr>
        <w:t xml:space="preserve"> </w:t>
      </w:r>
      <w:r w:rsidR="001D67E7" w:rsidRPr="001D67E7">
        <w:rPr>
          <w:sz w:val="24"/>
          <w:lang w:val="nl-NL"/>
        </w:rPr>
        <w:tab/>
      </w:r>
      <w:r w:rsidRPr="001D67E7">
        <w:rPr>
          <w:sz w:val="24"/>
          <w:lang w:val="nl-NL"/>
        </w:rPr>
        <w:t>PB C 316 van 6.8.2021, blz. 2.</w:t>
      </w:r>
    </w:p>
  </w:footnote>
  <w:footnote w:id="11">
    <w:p w:rsidR="002A1480" w:rsidRPr="001D67E7" w:rsidRDefault="002A1480" w:rsidP="001D67E7">
      <w:pPr>
        <w:pStyle w:val="FootnoteText"/>
        <w:ind w:left="567" w:hanging="567"/>
        <w:rPr>
          <w:sz w:val="24"/>
          <w:lang w:val="nl-NL"/>
        </w:rPr>
      </w:pPr>
      <w:r w:rsidRPr="001D67E7">
        <w:rPr>
          <w:rStyle w:val="FootnoteReference"/>
          <w:sz w:val="24"/>
          <w:lang w:val="nl-NL"/>
        </w:rPr>
        <w:footnoteRef/>
      </w:r>
      <w:r w:rsidR="001D67E7" w:rsidRPr="001D67E7">
        <w:rPr>
          <w:sz w:val="24"/>
          <w:lang w:val="nl-NL"/>
        </w:rPr>
        <w:t xml:space="preserve"> </w:t>
      </w:r>
      <w:r w:rsidR="001D67E7" w:rsidRPr="001D67E7">
        <w:rPr>
          <w:sz w:val="24"/>
          <w:lang w:val="nl-NL"/>
        </w:rPr>
        <w:tab/>
      </w:r>
      <w:r w:rsidRPr="001D67E7">
        <w:rPr>
          <w:sz w:val="24"/>
          <w:lang w:val="nl-NL"/>
        </w:rPr>
        <w:t>PB C 385 van 22.9.2021, blz. 2.</w:t>
      </w:r>
    </w:p>
  </w:footnote>
  <w:footnote w:id="12">
    <w:p w:rsidR="002A1480" w:rsidRPr="001D67E7" w:rsidRDefault="002A1480" w:rsidP="001D67E7">
      <w:pPr>
        <w:pStyle w:val="FootnoteText"/>
        <w:ind w:left="567" w:hanging="567"/>
        <w:rPr>
          <w:sz w:val="24"/>
          <w:lang w:val="nl-NL"/>
        </w:rPr>
      </w:pPr>
      <w:r w:rsidRPr="001D67E7">
        <w:rPr>
          <w:rStyle w:val="FootnoteReference"/>
          <w:sz w:val="24"/>
          <w:lang w:val="nl-NL"/>
        </w:rPr>
        <w:footnoteRef/>
      </w:r>
      <w:r w:rsidR="001D67E7" w:rsidRPr="001D67E7">
        <w:rPr>
          <w:sz w:val="24"/>
          <w:lang w:val="nl-NL"/>
        </w:rPr>
        <w:t xml:space="preserve"> </w:t>
      </w:r>
      <w:r w:rsidR="001D67E7" w:rsidRPr="001D67E7">
        <w:rPr>
          <w:sz w:val="24"/>
          <w:lang w:val="nl-NL"/>
        </w:rPr>
        <w:tab/>
      </w:r>
      <w:r w:rsidRPr="001D67E7">
        <w:rPr>
          <w:sz w:val="24"/>
          <w:lang w:val="nl-NL"/>
        </w:rPr>
        <w:t>PB C 385 van 22.9.2021, blz. 152.</w:t>
      </w:r>
    </w:p>
  </w:footnote>
  <w:footnote w:id="13">
    <w:p w:rsidR="002A1480" w:rsidRPr="001D67E7" w:rsidRDefault="002A1480" w:rsidP="001D67E7">
      <w:pPr>
        <w:pStyle w:val="FootnoteText"/>
        <w:ind w:left="567" w:hanging="567"/>
        <w:rPr>
          <w:sz w:val="24"/>
          <w:lang w:val="nl-NL"/>
        </w:rPr>
      </w:pPr>
      <w:r w:rsidRPr="001D67E7">
        <w:rPr>
          <w:rStyle w:val="FootnoteReference"/>
          <w:sz w:val="24"/>
          <w:lang w:val="nl-NL"/>
        </w:rPr>
        <w:footnoteRef/>
      </w:r>
      <w:r w:rsidR="001D67E7" w:rsidRPr="001D67E7">
        <w:rPr>
          <w:sz w:val="24"/>
          <w:lang w:val="nl-NL"/>
        </w:rPr>
        <w:t xml:space="preserve"> </w:t>
      </w:r>
      <w:r w:rsidR="001D67E7" w:rsidRPr="001D67E7">
        <w:rPr>
          <w:sz w:val="24"/>
          <w:lang w:val="nl-NL"/>
        </w:rPr>
        <w:tab/>
      </w:r>
      <w:proofErr w:type="gramStart"/>
      <w:r w:rsidRPr="001D67E7">
        <w:rPr>
          <w:sz w:val="24"/>
          <w:lang w:val="nl-NL"/>
        </w:rPr>
        <w:t>https://ec.europa.eu/eurostat/web/products-eurostat-news/w/ddn-20230309-2</w:t>
      </w:r>
      <w:proofErr w:type="gramEnd"/>
      <w:r w:rsidRPr="001D67E7">
        <w:rPr>
          <w:sz w:val="24"/>
          <w:lang w:val="nl-NL"/>
        </w:rPr>
        <w:t>.</w:t>
      </w:r>
    </w:p>
  </w:footnote>
  <w:footnote w:id="14">
    <w:p w:rsidR="002A1480" w:rsidRPr="001D67E7" w:rsidRDefault="002A1480" w:rsidP="001D67E7">
      <w:pPr>
        <w:pStyle w:val="FootnoteText"/>
        <w:ind w:left="567" w:hanging="567"/>
        <w:rPr>
          <w:sz w:val="24"/>
          <w:lang w:val="nl-NL"/>
        </w:rPr>
      </w:pPr>
      <w:r w:rsidRPr="001D67E7">
        <w:rPr>
          <w:rStyle w:val="FootnoteReference"/>
          <w:sz w:val="24"/>
          <w:lang w:val="nl-NL"/>
        </w:rPr>
        <w:footnoteRef/>
      </w:r>
      <w:r w:rsidR="001D67E7" w:rsidRPr="001D67E7">
        <w:rPr>
          <w:sz w:val="24"/>
          <w:lang w:val="nl-NL"/>
        </w:rPr>
        <w:t xml:space="preserve"> </w:t>
      </w:r>
      <w:r w:rsidR="001D67E7" w:rsidRPr="001D67E7">
        <w:rPr>
          <w:sz w:val="24"/>
          <w:lang w:val="nl-NL"/>
        </w:rPr>
        <w:tab/>
      </w:r>
      <w:r w:rsidRPr="001D67E7">
        <w:rPr>
          <w:sz w:val="24"/>
          <w:lang w:val="nl-NL"/>
        </w:rPr>
        <w:t>Verordening (EU) 2016/679 van het Europees Parlement en de Raad van 27 april 2016 betreffende de bescherming van natuurlijke personen in verband met de verwerking van persoonsgegevens en betreffende het vrije verkeer van die gegevens en tot intrekking van Richtlijn 95/46/EG</w:t>
      </w:r>
      <w:r w:rsidR="00891B33">
        <w:rPr>
          <w:sz w:val="24"/>
          <w:lang w:val="nl-NL"/>
        </w:rPr>
        <w:t xml:space="preserve"> (</w:t>
      </w:r>
      <w:r w:rsidRPr="001D67E7">
        <w:rPr>
          <w:sz w:val="24"/>
          <w:lang w:val="nl-NL"/>
        </w:rPr>
        <w:t>PB L 119 van 4.5.2016, blz. 1</w:t>
      </w:r>
      <w:r w:rsidR="00891B33">
        <w:rPr>
          <w:sz w:val="24"/>
          <w:lang w:val="nl-NL"/>
        </w:rPr>
        <w:t>)</w:t>
      </w:r>
      <w:r w:rsidRPr="001D67E7">
        <w:rPr>
          <w:sz w:val="24"/>
          <w:lang w:val="nl-NL"/>
        </w:rPr>
        <w:t>.</w:t>
      </w:r>
    </w:p>
  </w:footnote>
  <w:footnote w:id="15">
    <w:p w:rsidR="002A1480" w:rsidRPr="001D67E7" w:rsidRDefault="002A1480" w:rsidP="001D67E7">
      <w:pPr>
        <w:pStyle w:val="FootnoteText"/>
        <w:ind w:left="567" w:hanging="567"/>
        <w:rPr>
          <w:sz w:val="24"/>
          <w:lang w:val="nl-NL"/>
        </w:rPr>
      </w:pPr>
      <w:r w:rsidRPr="001D67E7">
        <w:rPr>
          <w:rStyle w:val="FootnoteReference"/>
          <w:sz w:val="24"/>
          <w:lang w:val="nl-NL"/>
        </w:rPr>
        <w:footnoteRef/>
      </w:r>
      <w:r w:rsidR="001D67E7" w:rsidRPr="001D67E7">
        <w:rPr>
          <w:sz w:val="24"/>
          <w:lang w:val="nl-NL"/>
        </w:rPr>
        <w:t xml:space="preserve"> </w:t>
      </w:r>
      <w:r w:rsidR="001D67E7" w:rsidRPr="001D67E7">
        <w:rPr>
          <w:sz w:val="24"/>
          <w:lang w:val="nl-NL"/>
        </w:rPr>
        <w:tab/>
      </w:r>
      <w:r w:rsidRPr="001D67E7">
        <w:rPr>
          <w:sz w:val="24"/>
          <w:lang w:val="nl-NL"/>
        </w:rPr>
        <w:t>Richtlijn 2010/13/EU van het Europees Parlement en de Raad van 10 maart 2010 betreffende de coördinatie van bepaalde wettelijke en bestuursrechtelijke bepalingen in de lidstaten inzake het aanbieden van audiovisuele mediadiensten (richtlijn audiovisuele mediadiensten)</w:t>
      </w:r>
      <w:r w:rsidR="00891B33">
        <w:rPr>
          <w:sz w:val="24"/>
          <w:lang w:val="nl-NL"/>
        </w:rPr>
        <w:t xml:space="preserve"> (</w:t>
      </w:r>
      <w:r w:rsidRPr="001D67E7">
        <w:rPr>
          <w:sz w:val="24"/>
          <w:lang w:val="nl-NL"/>
        </w:rPr>
        <w:t>PB L 95 van 15.4.2010, blz. 1</w:t>
      </w:r>
      <w:r w:rsidR="00891B33">
        <w:rPr>
          <w:sz w:val="24"/>
          <w:lang w:val="nl-NL"/>
        </w:rPr>
        <w:t>)</w:t>
      </w:r>
      <w:r w:rsidRPr="001D67E7">
        <w:rPr>
          <w:sz w:val="24"/>
          <w:lang w:val="nl-NL"/>
        </w:rPr>
        <w:t>.</w:t>
      </w:r>
    </w:p>
  </w:footnote>
  <w:footnote w:id="16">
    <w:p w:rsidR="002A1480" w:rsidRPr="001D67E7" w:rsidRDefault="002A1480" w:rsidP="001D67E7">
      <w:pPr>
        <w:pStyle w:val="FootnoteText"/>
        <w:ind w:left="567" w:hanging="567"/>
        <w:rPr>
          <w:sz w:val="24"/>
          <w:lang w:val="nl-NL"/>
        </w:rPr>
      </w:pPr>
      <w:r w:rsidRPr="001D67E7">
        <w:rPr>
          <w:rStyle w:val="FootnoteReference"/>
          <w:sz w:val="24"/>
          <w:lang w:val="nl-NL"/>
        </w:rPr>
        <w:footnoteRef/>
      </w:r>
      <w:r w:rsidR="001D67E7" w:rsidRPr="001D67E7">
        <w:rPr>
          <w:sz w:val="24"/>
          <w:lang w:val="nl-NL"/>
        </w:rPr>
        <w:t xml:space="preserve"> </w:t>
      </w:r>
      <w:r w:rsidR="001D67E7" w:rsidRPr="001D67E7">
        <w:rPr>
          <w:sz w:val="24"/>
          <w:lang w:val="nl-NL"/>
        </w:rPr>
        <w:tab/>
      </w:r>
      <w:r w:rsidRPr="001D67E7">
        <w:rPr>
          <w:sz w:val="24"/>
          <w:lang w:val="nl-NL"/>
        </w:rPr>
        <w:t>Artikel 8 van Verordening (EU) 2021/818 tot vaststelling van het programma Creatief Europa (2021-2027).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D67E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D67E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D67E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25/2023"/>
    <w:docVar w:name="dvlangue" w:val="NL"/>
    <w:docVar w:name="dvnumam" w:val="0"/>
    <w:docVar w:name="dvpe" w:val="750.020"/>
    <w:docVar w:name="dvrapporteur" w:val="Rapporteur: "/>
    <w:docVar w:name="dvtitre" w:val="Resolutie van het Europees Parlement van xx januari 2024 over de tenuitvoerlegging van het programma Creatief Europa 2021-2027(2023/2003(INI))"/>
  </w:docVars>
  <w:rsids>
    <w:rsidRoot w:val="00BC5FB5"/>
    <w:rsid w:val="00002272"/>
    <w:rsid w:val="00064002"/>
    <w:rsid w:val="000677B9"/>
    <w:rsid w:val="000831BA"/>
    <w:rsid w:val="000A42CC"/>
    <w:rsid w:val="000E7DD9"/>
    <w:rsid w:val="0010095E"/>
    <w:rsid w:val="00125B37"/>
    <w:rsid w:val="00187494"/>
    <w:rsid w:val="001D67E7"/>
    <w:rsid w:val="001F32AE"/>
    <w:rsid w:val="002767FF"/>
    <w:rsid w:val="002A1480"/>
    <w:rsid w:val="002B18FE"/>
    <w:rsid w:val="002B5493"/>
    <w:rsid w:val="0034281D"/>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1B33"/>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C5FB5"/>
    <w:rsid w:val="00BD48FE"/>
    <w:rsid w:val="00BD7BD8"/>
    <w:rsid w:val="00BE6ADC"/>
    <w:rsid w:val="00C05BFE"/>
    <w:rsid w:val="00C23CD4"/>
    <w:rsid w:val="00C61C0C"/>
    <w:rsid w:val="00C75C79"/>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41FB07"/>
  <w15:chartTrackingRefBased/>
  <w15:docId w15:val="{7EAF37CA-5755-42F2-A793-8CAC06890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symbol,Footnote reference number,Times 10 Point,Exposant 3 Point,Ref,de nota al pie,note TESI,SUPERS,EN Footnote Reference,EN Footnote text,Footnote Reference Number,Footnote Reference_LVL6,Footnote Reference_LVL61,R,Footnote"/>
    <w:uiPriority w:val="99"/>
    <w:qFormat/>
    <w:rsid w:val="00395FA1"/>
    <w:rPr>
      <w:b w:val="0"/>
      <w:vertAlign w:val="superscript"/>
    </w:rPr>
  </w:style>
  <w:style w:type="paragraph" w:styleId="FootnoteText">
    <w:name w:val="footnote text"/>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2A1480"/>
    <w:pPr>
      <w:spacing w:after="240"/>
      <w:ind w:left="567" w:hanging="567"/>
    </w:pPr>
  </w:style>
  <w:style w:type="paragraph" w:customStyle="1" w:styleId="EPComma">
    <w:name w:val="EPComma"/>
    <w:basedOn w:val="Normal"/>
    <w:rsid w:val="002A1480"/>
    <w:pPr>
      <w:spacing w:before="48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E982B2-5BB8-4BC0-A98F-2627EB1DEA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5564</Words>
  <Characters>32440</Characters>
  <Application>Microsoft Office Word</Application>
  <DocSecurity>0</DocSecurity>
  <Lines>1297</Lines>
  <Paragraphs>408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SLOSSE Filiep</cp:lastModifiedBy>
  <cp:revision>2</cp:revision>
  <cp:lastPrinted>2004-11-19T15:42:00Z</cp:lastPrinted>
  <dcterms:created xsi:type="dcterms:W3CDTF">2024-01-16T12:44:00Z</dcterms:created>
  <dcterms:modified xsi:type="dcterms:W3CDTF">2024-01-16T12:44:00Z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A9-0425/2023</vt:lpwstr>
  </property>
  <property fmtid="{D5CDD505-2E9C-101B-9397-08002B2CF9AE}" pid="4" name="&lt;Type&gt;">
    <vt:lpwstr>RR</vt:lpwstr>
  </property>
</Properties>
</file>