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</w:t>
      </w:r>
      <w:bookmarkEnd w:id="0"/>
      <w:r>
        <w:t>008</w:t>
      </w:r>
      <w:bookmarkStart w:id="1" w:name="_GoBack"/>
      <w:bookmarkEnd w:id="1"/>
    </w:p>
    <w:p>
      <w:pPr>
        <w:pStyle w:val="ATHeading2"/>
      </w:pPr>
      <w:bookmarkStart w:id="2" w:name="title"/>
      <w:r>
        <w:t>Vykonávanie programu Kreatívna Európa na roky 2021 – 2027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A9-0425/2023</w:instrText>
      </w:r>
      <w:bookmarkEnd w:id="3"/>
      <w:r>
        <w:rPr>
          <w:i/>
        </w:rPr>
        <w:instrText xml:space="preserve"> - Spravodajca: Massimiliano Smeriglio)"\l3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kultúru a vzdelávanie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PE750.020</w:t>
      </w:r>
      <w:bookmarkEnd w:id="5"/>
    </w:p>
    <w:p>
      <w:pPr>
        <w:pStyle w:val="ATHeading3"/>
      </w:pPr>
      <w:bookmarkStart w:id="6" w:name="Sujet"/>
      <w:r>
        <w:t>Uznesenie Európskeho parlamentu zo 16. januára 2024 o vykonávaní programu Kreatívna Európa na roky 2021 – 2027</w:t>
      </w:r>
      <w:bookmarkEnd w:id="6"/>
      <w:r>
        <w:t xml:space="preserve"> </w:t>
      </w:r>
      <w:bookmarkStart w:id="7" w:name="References"/>
      <w:r>
        <w:t>(2023/2003(INI))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Zmluvu o fungovaní Európskej únie, a najmä na jej články 167, 173 ods. 3 a 294 ods. 7,</w:t>
      </w:r>
    </w:p>
    <w:p>
      <w:pPr>
        <w:pStyle w:val="NormalHanging12a"/>
      </w:pPr>
      <w:r>
        <w:t>–</w:t>
      </w:r>
      <w:r>
        <w:tab/>
        <w:t>so zreteľom na nariadenie Európskeho parlamentu a Rady (EÚ) 2021/818 z 20. mája 2021, ktorým sa zriaďuje program Kreatívna Európa (na obdobie 2021 až 2027)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nariadenie Európskeho parlamentu a Rady (EÚ) č. 1295/2013 z 11. decembra 2013, ktorým sa ustanovuje program Kreatívna Európa (2014 až 2020)</w:t>
      </w:r>
      <w:r>
        <w:rPr>
          <w:rStyle w:val="FootnoteReference"/>
          <w:color w:val="000000"/>
          <w:szCs w:val="24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návrh Komisie z 5. mája 2018 na nariadenie Európskeho parlamentu a Rady, ktorým sa ustanovuje program Kreatívna Európa (na obdobie 2021 až 2027) a ktorým sa zrušuje nariadenie (EÚ) č. 1295/2013 (COM(2018)0366),</w:t>
      </w:r>
    </w:p>
    <w:p>
      <w:pPr>
        <w:pStyle w:val="NormalHanging12a"/>
      </w:pPr>
      <w:r>
        <w:t>–</w:t>
      </w:r>
      <w:r>
        <w:tab/>
        <w:t>so zreteľom na svoju pozíciu v prvom čítaní z 28. marca 2019 k návrhu nariadenia Európskeho parlamentu a Rady, ktorým sa ustanovuje program Kreatívna Európa (na obdobie 2021 až 2027) a ktorým sa zrušuje nariadenie (EÚ) č. 1295/2013</w:t>
      </w:r>
      <w:r>
        <w:rPr>
          <w:rStyle w:val="FootnoteReference"/>
          <w:color w:val="000000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12. decembra 2018 k návrhu nariadenia Európskeho parlamentu a Rady, ktorým sa ustanovuje program Kreatívna Európa (2021 až 2027) a ktorým sa zrušuje nariadenie (EÚ) č. 1295/2013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stanovisko Európskeho výboru regiónov zo 6. februára 2019 na tému </w:t>
      </w:r>
      <w:r>
        <w:lastRenderedPageBreak/>
        <w:t>„Kreatívna Európa a Nová európska stratégia pre kultúru“</w:t>
      </w:r>
      <w:r>
        <w:rPr>
          <w:rStyle w:val="FootnoteReference"/>
          <w:color w:val="000000"/>
          <w:szCs w:val="24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  <w:t>so zreteľom na správu Komisie z 30. apríla 2018 s názvom Hodnotenie programu Kreatívna Európa v polovici jeho trvania (2014 – 2020) (COM(2018)0248),</w:t>
      </w:r>
    </w:p>
    <w:p>
      <w:pPr>
        <w:pStyle w:val="NormalHanging12a"/>
      </w:pPr>
      <w:r>
        <w:t>–</w:t>
      </w:r>
      <w:r>
        <w:tab/>
        <w:t>so zreteľom na vykonávacie rozhodnutie Komisie C(2023)3227 z 5. júna 2023, ktorým sa mení vykonávacie rozhodnutie C(2021)3563 o financovaní programu Kreatívna Európa na roky 2021 – 2025 a o prijatí pracovných programov na roky 2021, 2022 a 2023,</w:t>
      </w:r>
    </w:p>
    <w:p>
      <w:pPr>
        <w:pStyle w:val="NormalHanging12a"/>
      </w:pPr>
      <w:r>
        <w:t>–</w:t>
      </w:r>
      <w:r>
        <w:tab/>
        <w:t>so zreteľom na vykonávacie rozhodnutie Komisie C(2022)6138 z 31. augusta 2022, ktorým sa mení vykonávacie rozhodnutie C(2021)3563 o financovaní programu Kreatívna Európa na roky 2021 – 2023 a o prijatí pracovných programov na roky 2021 a 2022,</w:t>
      </w:r>
    </w:p>
    <w:p>
      <w:pPr>
        <w:pStyle w:val="NormalHanging12a"/>
      </w:pPr>
      <w:r>
        <w:t>–</w:t>
      </w:r>
      <w:r>
        <w:tab/>
        <w:t>so zreteľom na vykonávacie rozhodnutie Komisie C(2021)3563 z 26. mája 2021 o prijatí pracovného programu na rok 2021 na vykonávanie programu Kreatívna Európa,</w:t>
      </w:r>
    </w:p>
    <w:p>
      <w:pPr>
        <w:pStyle w:val="NormalHanging12a"/>
      </w:pPr>
      <w:r>
        <w:t>–</w:t>
      </w:r>
      <w:r>
        <w:tab/>
        <w:t>so zreteľom na ročný pracovný program Komisie na rok 2022 na vykonávanie programu Kreatívna Európa,</w:t>
      </w:r>
    </w:p>
    <w:p>
      <w:pPr>
        <w:pStyle w:val="NormalHanging12a"/>
      </w:pPr>
      <w:r>
        <w:t>–</w:t>
      </w:r>
      <w:r>
        <w:tab/>
        <w:t>so zreteľom na ročný pracovný program Komisie na rok 2021 na vykonávanie programu Kreatívna Európa,</w:t>
      </w:r>
    </w:p>
    <w:p>
      <w:pPr>
        <w:pStyle w:val="NormalHanging12a"/>
      </w:pPr>
      <w:r>
        <w:t>–</w:t>
      </w:r>
      <w:r>
        <w:tab/>
        <w:t>so zreteľom na oznámenie Komisie z 11. júla 2023 s názvom Iniciatíva EÚ v oblasti webu 4.0 a virtuálnych svetov: náskok v najbližšej technologickej transformácii (COM(2023)0442),</w:t>
      </w:r>
    </w:p>
    <w:p>
      <w:pPr>
        <w:pStyle w:val="NormalHanging12a"/>
      </w:pPr>
      <w:r>
        <w:t>–</w:t>
      </w:r>
      <w:r>
        <w:tab/>
        <w:t>so zreteľom na oznámenie Komisie z 3. decembra 2020 s názvom Európske médiá v digitálnej dekáde: akčný plán na podporu obnovy a transformácie (COM(2020)0784),</w:t>
      </w:r>
    </w:p>
    <w:p>
      <w:pPr>
        <w:pStyle w:val="NormalHanging12a"/>
      </w:pPr>
      <w:r>
        <w:t>–</w:t>
      </w:r>
      <w:r>
        <w:tab/>
        <w:t>so zreteľom na oznámenie Komisie z 22. mája 2018 s názvom Nová európska stratégia pre kultúru (COM(2018)0267),</w:t>
      </w:r>
    </w:p>
    <w:p>
      <w:pPr>
        <w:pStyle w:val="NormalHanging12a"/>
      </w:pPr>
      <w:r>
        <w:t>–</w:t>
      </w:r>
      <w:r>
        <w:tab/>
        <w:t>so zreteľom na uznesenie Rady zo 7. decembra 2022 o pracovnom pláne EÚ pre kultúru na roky 2023 – 2026</w:t>
      </w:r>
      <w:r>
        <w:rPr>
          <w:rStyle w:val="FootnoteReference"/>
          <w:color w:val="000000"/>
          <w:szCs w:val="24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 14. septembra 2023 o budúcnosti európskeho knižného sektora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 14. decembra 2022 o vykonávaní Novej európskej stratégie pre kultúru a stratégie EÚ pre medzinárodné vzťahy v oblasti kultúry</w:t>
      </w:r>
      <w:r>
        <w:rPr>
          <w:rStyle w:val="FootnoteReference"/>
          <w:color w:val="000000"/>
          <w:szCs w:val="24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svoje uznesenie z 20. októbra 2021 o európskych médiách v digitálnej </w:t>
      </w:r>
      <w:r>
        <w:lastRenderedPageBreak/>
        <w:t>dekáde: akčný plán na podporu obnovy a transformácie</w:t>
      </w:r>
      <w:r>
        <w:rPr>
          <w:rStyle w:val="FootnoteReference"/>
          <w:color w:val="000000"/>
          <w:szCs w:val="24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 17. apríla 2020 o koordinovanom postupe EÚ v boji proti pandémii ochorenia COVID-19 a jej dôsledkom</w:t>
      </w:r>
      <w:r>
        <w:rPr>
          <w:rStyle w:val="FootnoteReference"/>
          <w:color w:val="000000"/>
          <w:szCs w:val="24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 15. septembra 2020 o účinných opatreniach na zvýšenie ekologickosti programov Erasmus+ a Kreatívna Európa a Európskeho zboru solidarity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 17. septembra 2020 o kultúrnej obnove Európy</w:t>
      </w:r>
      <w:r>
        <w:rPr>
          <w:rStyle w:val="FootnoteReference"/>
        </w:rPr>
        <w:footnoteReference w:id="12"/>
      </w:r>
      <w:r>
        <w:t xml:space="preserve">, </w:t>
      </w:r>
    </w:p>
    <w:p>
      <w:pPr>
        <w:pStyle w:val="NormalHanging12a"/>
      </w:pPr>
      <w:r>
        <w:t>–</w:t>
      </w:r>
      <w:r>
        <w:tab/>
        <w:t>so zreteľom na článok 54 rokovacieho poriadku, ako aj na článok 1 ods. 1 písm. e) rozhodnutia Konferencie predsedov z 12. decembra 2002 o postupe udelenia súhlasu s vypracovaním iniciatívnych správ a na prílohu 3 k tomuto rozhodnutiu,</w:t>
      </w:r>
    </w:p>
    <w:p>
      <w:pPr>
        <w:pStyle w:val="NormalHanging12a"/>
      </w:pPr>
      <w:r>
        <w:t>–</w:t>
      </w:r>
      <w:r>
        <w:tab/>
        <w:t>so zreteľom na správu Výboru pre kultúru a vzdelávanie (A9-0425/2023),</w:t>
      </w:r>
    </w:p>
    <w:p>
      <w:pPr>
        <w:pStyle w:val="NormalHanging12a"/>
        <w:rPr>
          <w:rFonts w:eastAsiaTheme="minorHAnsi"/>
        </w:rPr>
      </w:pPr>
      <w:r>
        <w:t>A.</w:t>
      </w:r>
      <w:r>
        <w:tab/>
        <w:t>keďže zozbierané údaje potvrdzujú značný záujem kultúrnych a kreatívnych sektorov o program; keďže vyššia miera spolufinancovania rôznych akcií v rámci podprogramov Kultúra a MEDIA sa ukázala ako prínosná pri podpore kultúrnych a kreatívnych ekosystémov a zároveň poskytla lepšie príležitosti pre projekty malého rozsahu, najmä v období po pandémii;</w:t>
      </w:r>
    </w:p>
    <w:p>
      <w:pPr>
        <w:pStyle w:val="NormalHanging12a"/>
        <w:rPr>
          <w:rFonts w:eastAsiaTheme="minorHAnsi"/>
        </w:rPr>
      </w:pPr>
      <w:r>
        <w:t>B.</w:t>
      </w:r>
      <w:r>
        <w:tab/>
        <w:t>keďže program Kreatívna Európa na roky 2021 – 2027 zahŕňa celkové zvýšenie rozpočtu o približne 68 % v porovnaní s predchádzajúcim programom; keďže tento nárast sa výrazne znižuje v dôsledku neustále rastúcej miery inflácie</w:t>
      </w:r>
      <w:r>
        <w:rPr>
          <w:rStyle w:val="FootnoteReference"/>
          <w:rFonts w:eastAsiaTheme="minorHAnsi"/>
          <w:lang w:eastAsia="en-US"/>
        </w:rPr>
        <w:footnoteReference w:id="13"/>
      </w:r>
      <w:r>
        <w:t xml:space="preserve"> spojenej s nákladmi na energiu; keďže ťažisko celkového rozpočtu bolo posunuté na počiatočnú fázu programu tak, že tretina pridelených finančných prostriedkov bola vyčlenená na roky 2021 a 2022, okrem iného na riešenie následkov pandémie ochorenia COVID-19;</w:t>
      </w:r>
    </w:p>
    <w:p>
      <w:pPr>
        <w:pStyle w:val="NormalHanging12a"/>
        <w:rPr>
          <w:rFonts w:eastAsiaTheme="minorHAnsi"/>
        </w:rPr>
      </w:pPr>
      <w:r>
        <w:t>C.</w:t>
      </w:r>
      <w:r>
        <w:tab/>
        <w:t>keďže program Kreatívna Európa je jediný program, z ktorého sa poskytuje podpora výlučne všetkým kultúrnym a kreatívnym sektorom, ktorých činnosť je založená na kultúrnych a umeleckých hodnotách, najmä tým, že okrem malých projektov podporuje aj tvorcov a umelcov, ako sú autori a interpreti;</w:t>
      </w:r>
    </w:p>
    <w:p>
      <w:pPr>
        <w:pStyle w:val="NormalHanging12a"/>
        <w:rPr>
          <w:rFonts w:eastAsiaTheme="minorHAnsi"/>
        </w:rPr>
      </w:pPr>
      <w:r>
        <w:t>D.</w:t>
      </w:r>
      <w:r>
        <w:tab/>
        <w:t>keďže program uznáva vnútornú a umeleckú hodnotu kultúry, ktorá by mala zostať v centre programu, pričom by mala byť rovnako vyvážená s jej širším prínosom k inovácii a rastu; keďže program Kreatívna Európa ako program financovaný z prostriedkov EÚ by mal prispievať k uplatňovaniu zásad Európskeho piliera sociálnych práv a podporovať spravodlivé postupy a pracovné podmienky v kultúrnom a kreatívnom sektore;</w:t>
      </w:r>
    </w:p>
    <w:p>
      <w:pPr>
        <w:pStyle w:val="NormalHanging12a"/>
        <w:rPr>
          <w:rFonts w:eastAsiaTheme="minorHAnsi"/>
        </w:rPr>
      </w:pPr>
      <w:r>
        <w:t>E.</w:t>
      </w:r>
      <w:r>
        <w:tab/>
        <w:t xml:space="preserve">keďže jednou z hlavných noviniek programu je, že zahŕňa prierezové priority začlenenia, rozmanitosti, najmä rodovej rovnováhy, ako aj ekologizácie; keďže v ročných pracovných programoch na roky 2021 a 2022 sa venuje osobitná pozornosť podpore sociálneho začlenenia a rodovej rovnosti; keďže vykonávanie programu by </w:t>
      </w:r>
      <w:r>
        <w:lastRenderedPageBreak/>
        <w:t>malo zabezpečiť čo najširšiu účasť na kultúrnom dianí s cieľom zahrnúť okrem iného osoby so zdravotným postihnutím a osoby zo znevýhodneného prostredia;</w:t>
      </w:r>
    </w:p>
    <w:p>
      <w:pPr>
        <w:pStyle w:val="NormalHanging12a"/>
        <w:rPr>
          <w:rFonts w:eastAsiaTheme="minorHAnsi"/>
        </w:rPr>
      </w:pPr>
      <w:r>
        <w:t>F.</w:t>
      </w:r>
      <w:r>
        <w:tab/>
        <w:t>keďže cieľom programu je podporiť digitálnu transformáciu kultúrneho a kreatívneho sektora, pretože technológie zmenili spôsob, akým tieto sektory vytvárajú, produkujú a šíria obsah; keďže digitalizácia môže poskytnúť príležitosti na zvýšenie účasti na kultúrnom dianí, ale môže tiež viesť k iným výzvam ako v analógovej ére;</w:t>
      </w:r>
    </w:p>
    <w:p>
      <w:pPr>
        <w:pStyle w:val="NormalHanging12a"/>
        <w:rPr>
          <w:rFonts w:eastAsiaTheme="minorHAnsi"/>
        </w:rPr>
      </w:pPr>
      <w:r>
        <w:t>G.</w:t>
      </w:r>
      <w:r>
        <w:tab/>
        <w:t>keďže administratívne postupy riadenia programu Kreatívna Európa (podávanie žiadostí, hodnotenie a podávanie správ) stále považuje značný počet prijímateľov a potenciálnych prijímateľov za veľmi časovo náročné a zaťažujúce, a to aj napriek určitému pokroku, pokiaľ ide o zjednodušenie;</w:t>
      </w:r>
    </w:p>
    <w:p>
      <w:pPr>
        <w:pStyle w:val="NormalHanging12a"/>
        <w:rPr>
          <w:rFonts w:eastAsiaTheme="minorHAnsi"/>
        </w:rPr>
      </w:pPr>
      <w:r>
        <w:t>H.</w:t>
      </w:r>
      <w:r>
        <w:tab/>
        <w:t>keďže náročné postupy administratívneho riadenia často odrádzajú od účasti menej skúsených žiadateľov vrátane mladých tvorcov, ako aj malých organizácií, najmä zo znevýhodnených oblastí; keďže je potrebné zjednodušiť a zlepšiť postup podávania žiadostí, najmä v dôsledku zvýšenia počtu krokov v procese a používateľsky neústretového rozhrania, ktoré nemusí byť kompatibilné s bežne používanými aplikáciami;</w:t>
      </w:r>
    </w:p>
    <w:p>
      <w:pPr>
        <w:pStyle w:val="NormalHanging12a"/>
        <w:rPr>
          <w:rFonts w:eastAsiaTheme="minorHAnsi"/>
        </w:rPr>
      </w:pPr>
      <w:r>
        <w:t>I.</w:t>
      </w:r>
      <w:r>
        <w:tab/>
        <w:t>keďže platforma programu obsahuje zložitý postup podávania správ, v ktorom je ťažké sa orientovať a ktorý nebol pôvodne navrhnutý pre typ projektov financovaných z programu;</w:t>
      </w:r>
    </w:p>
    <w:p>
      <w:pPr>
        <w:pStyle w:val="NormalHanging12a"/>
      </w:pPr>
      <w:r>
        <w:t>J.</w:t>
      </w:r>
      <w:r>
        <w:tab/>
        <w:t>keďže z podprogramu Kultúra sa podporuje vytváranie sietí kreatívnych komunít a cezhraničná spolupráca s osobitným dôrazom na projekty spolupráce; keďže počas prvých dvoch rokov vykonávania sa program týkajúci sa projektov spolupráce stal najobľúbenejším v rámci podprogramu Kultúra a poskytla sa z neho podpora 291 projektom; keďže Komisia by mala zvážiť rozšírenie osvetovej činnosti v rámci podprogramu Kultúra s cieľom zvýšiť účasť všetkých kultúrnych a kreatívnych komunít vrátane komunít z okrajových a vidieckych oblastí;</w:t>
      </w:r>
    </w:p>
    <w:p>
      <w:pPr>
        <w:pStyle w:val="NormalHanging12a"/>
      </w:pPr>
      <w:r>
        <w:t>K.</w:t>
      </w:r>
      <w:r>
        <w:tab/>
        <w:t>keďže podprogram MEDIA zohráva významnú úlohu pri podpore rastu a odolnosti v audiovizuálnom sektore; keďže v dvojročnom období 2021 – 2022 prilákal 2 124 žiadateľov s priemernou úspešnosťou 66 %;</w:t>
      </w:r>
    </w:p>
    <w:p>
      <w:pPr>
        <w:pStyle w:val="NormalHanging12a"/>
        <w:rPr>
          <w:rFonts w:eastAsiaTheme="minorHAnsi"/>
        </w:rPr>
      </w:pPr>
      <w:r>
        <w:t>L.</w:t>
      </w:r>
      <w:r>
        <w:tab/>
        <w:t xml:space="preserve">keďže prípravná akcia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podporovaná od roku 2021 bola vypracovaná s cieľom podporiť tvorcov, najmä autorov, pri navrhovaní a realizácii kvalitných seriálov s fiktívnym námetom, ktoré by mohli prekračovať hranice a osloviť nové publikum;</w:t>
      </w:r>
    </w:p>
    <w:p>
      <w:pPr>
        <w:pStyle w:val="NormalHanging12a"/>
        <w:rPr>
          <w:rFonts w:eastAsiaTheme="minorHAnsi"/>
        </w:rPr>
      </w:pPr>
      <w:r>
        <w:t>M.</w:t>
      </w:r>
      <w:r>
        <w:tab/>
        <w:t xml:space="preserve">keďže </w:t>
      </w:r>
      <w:proofErr w:type="spellStart"/>
      <w:r>
        <w:t>Medzisektorový</w:t>
      </w:r>
      <w:proofErr w:type="spellEnd"/>
      <w:r>
        <w:t xml:space="preserve"> podprogram obsahuje väčší počet noviniek, ktoré odrážajú nové ciele; keďže prierezové akcie na podporu sektora spravodajských médií predstavujú úplne nové zameranie programu Kreatívna Európa;</w:t>
      </w:r>
    </w:p>
    <w:p>
      <w:pPr>
        <w:pStyle w:val="NormalHanging12a"/>
      </w:pPr>
      <w:r>
        <w:t>N.</w:t>
      </w:r>
      <w:r>
        <w:tab/>
        <w:t>keďže posilnenie mobility v európskych kultúrnych a kreatívnych sektoroch je špecifickým cieľom programu, ktorý sa realizuje prostredníctvom nového programu v rámci podprogramu Kultúra;</w:t>
      </w:r>
    </w:p>
    <w:p>
      <w:pPr>
        <w:pStyle w:val="NormalHanging12a"/>
        <w:rPr>
          <w:rFonts w:eastAsiaTheme="minorHAnsi"/>
        </w:rPr>
      </w:pPr>
      <w:r>
        <w:t>O.</w:t>
      </w:r>
      <w:r>
        <w:tab/>
        <w:t xml:space="preserve">keďže program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je najväčším programom mobility EÚ pre kultúrne a kreatívne sektory a do polovice roka 2023 prilákal približne 4 660 žiadostí; keďže približne 85 % žiadostí pochádza z odvetví, ako sú výtvarné umenie, divadelné </w:t>
      </w:r>
      <w:r>
        <w:lastRenderedPageBreak/>
        <w:t xml:space="preserve">umenie a hudba; </w:t>
      </w:r>
    </w:p>
    <w:p>
      <w:pPr>
        <w:pStyle w:val="NormalHanging12a"/>
      </w:pPr>
      <w:r>
        <w:t>P.</w:t>
      </w:r>
      <w:r>
        <w:tab/>
        <w:t>keďže v programe sa uznáva význam hudobného sektora ako základnej súčasti európskej kultúrnej rozmanitosti, ktorá môže ťažiť z horizontálneho prístupu v rámci podprogramu Kultúra; keďže v rokoch 2021 – 2022 iniciatíva Hudba hýbe Európou vyčlenila 5 miliónov EUR na posilnenie konkurencieschopnosti, inovácií a rozmanitosti európskeho hudobného odvetvia;</w:t>
      </w:r>
    </w:p>
    <w:p>
      <w:pPr>
        <w:pStyle w:val="NormalHanging12a"/>
      </w:pPr>
      <w:r>
        <w:t>Q.</w:t>
      </w:r>
      <w:r>
        <w:tab/>
        <w:t>keďže akcia v oblasti literárneho prekladu zohráva jedinečnú úlohu pri cezhraničnej propagácii autorov, oslovovaní nového publika a prispieva ku kultúrne a jazykovo rozmanitejšej Európe;</w:t>
      </w:r>
    </w:p>
    <w:p>
      <w:pPr>
        <w:pStyle w:val="NormalHanging12a"/>
      </w:pPr>
      <w:r>
        <w:t>R.</w:t>
      </w:r>
      <w:r>
        <w:tab/>
        <w:t>keďže zdroje verejnej podpory audiovizuálneho ekosystému v Európe pochádzajú najmä z vnútroštátnej úrovne, pričom podprogram MEDIA dopĺňa vnútroštátne systémy podporou projektov s dlhodobým vplyvom;</w:t>
      </w:r>
    </w:p>
    <w:p>
      <w:pPr>
        <w:pStyle w:val="NormalHanging12a"/>
        <w:rPr>
          <w:rFonts w:eastAsiaTheme="minorHAnsi"/>
        </w:rPr>
      </w:pPr>
      <w:r>
        <w:t>S.</w:t>
      </w:r>
      <w:r>
        <w:tab/>
        <w:t>keďže kancelárie programu Kreatívna Európa zohrávajú kľúčovú úlohu sprostredkovateľov medzi Komisiou, Európskou výkonnou agentúrou pre vzdelávanie a kultúru (EACEA), žiadateľmi a prijímateľmi; keďže viac ako 60 % všetkých žiadateľov v rokoch 2021 – 2022 sa pred podaním žiadosti obrátilo na miestnu kanceláriu;</w:t>
      </w:r>
    </w:p>
    <w:p>
      <w:pPr>
        <w:pStyle w:val="NormalHanging12a"/>
      </w:pPr>
      <w:r>
        <w:t>T.</w:t>
      </w:r>
      <w:r>
        <w:tab/>
        <w:t>keďže vzhľadom na kľúčovú úlohu informačných kancelárií programu Kreatívna Európa pri propagácii a informovaní kultúrnych a kreatívnych sektorov o všetkých aspektoch programu sa musí posilniť spolupráca a výmeny medzi Komisiou vrátane agentúry EACEA a kancelárie programu Kreatívna Európa sa musia posilniť a zahŕňať výmenu relevantných informácií o nadchádzajúcich výzvach na predkladanie návrhov;</w:t>
      </w:r>
    </w:p>
    <w:p>
      <w:pPr>
        <w:pStyle w:val="NormalHanging12a"/>
      </w:pPr>
      <w:r>
        <w:t>U.</w:t>
      </w:r>
      <w:r>
        <w:tab/>
        <w:t>keďže program Kreatívna Európa zohráva strategickú úlohu pri posilňovaní vonkajšieho rozmeru kultúrnych vzťahov Európskej únie tým, že podporuje partnerstvá medzi rôznymi aktérmi z kultúrneho a kreatívneho sektora, využíva medziľudský prístup a podporuje kultúrnu rozmanitosť v Európe i mimo nej;</w:t>
      </w:r>
    </w:p>
    <w:p>
      <w:pPr>
        <w:pStyle w:val="NormalHanging12a"/>
      </w:pPr>
      <w:r>
        <w:t>V.</w:t>
      </w:r>
      <w:r>
        <w:tab/>
        <w:t>keďže v programe sa uznáva význam ochrany a podpory umeleckých a remeselných odvetví, najmä v oblasti kultúrneho dedičstva, a okrem toho sa uznáva ich zásadná úloha pri podpore mestských a vidieckych ekonomík v celej Európe, ako aj ich úloha pri zvyšovaní kultúrnej rozmanitosti;</w:t>
      </w:r>
    </w:p>
    <w:p>
      <w:pPr>
        <w:pStyle w:val="NormalHanging12a"/>
      </w:pPr>
      <w:r>
        <w:t>W.</w:t>
      </w:r>
      <w:r>
        <w:tab/>
        <w:t xml:space="preserve">keďže známka </w:t>
      </w:r>
      <w:proofErr w:type="spellStart"/>
      <w:r>
        <w:t>excelentnosti</w:t>
      </w:r>
      <w:proofErr w:type="spellEnd"/>
      <w:r>
        <w:t xml:space="preserve"> je novinka programu Kreatívna Európa na roky 2021 – 2027, ktorý bola zavedená s cieľom posilniť synergie a zjednodušiť hľadanie alternatívneho financovania v prípade rozpočtových obmedzení; </w:t>
      </w:r>
    </w:p>
    <w:p>
      <w:pPr>
        <w:pStyle w:val="NormalHanging12a"/>
      </w:pPr>
      <w:r>
        <w:t>X.</w:t>
      </w:r>
      <w:r>
        <w:tab/>
        <w:t>keďže Európske hlavné mesto kultúry je ako osobitná akcia prestížnou iniciatívou, ktorá má zavedené miesto v globálnych kultúrnych programoch a ktorá od svojho vzniku v roku 1985 zdôrazňuje bohatstvo a jedinečnosť rozmanitosti kultúr a miest;</w:t>
      </w:r>
    </w:p>
    <w:p>
      <w:pPr>
        <w:pStyle w:val="NormalHanging12a"/>
        <w:rPr>
          <w:rFonts w:eastAsiaTheme="minorHAnsi"/>
        </w:rPr>
      </w:pPr>
      <w:r>
        <w:t>1.</w:t>
      </w:r>
      <w:r>
        <w:tab/>
        <w:t>zdôrazňuje, že nová generácia programu Kreatívna Európa naďalej vyvoláva značný záujem v kultúrnom, kreatívnom a audiovizuálnom sektore, ako aj v spravodajských médiách, pričom počet prijatých žiadostí v rámci týchto troch podprogramov narastá, čo má za následok úmerný pokles miery úspešnosti žiadostí, čo môže v týchto sektoroch vyvolať pocit rozčarovania z programu;</w:t>
      </w:r>
    </w:p>
    <w:p>
      <w:pPr>
        <w:pStyle w:val="NormalHanging12a"/>
        <w:rPr>
          <w:rFonts w:eastAsiaTheme="minorHAnsi"/>
        </w:rPr>
      </w:pPr>
      <w:r>
        <w:lastRenderedPageBreak/>
        <w:t>2.</w:t>
      </w:r>
      <w:r>
        <w:tab/>
        <w:t>víta reakciu programu na zmierňovanie účinkov pandémie ochorenia COVID-19, ktorá vážne narušila kultúrne a kreatívne sektory ešte pred začatím súčasného programu; opakuje však svoju výzvu Komisii a členským štátom, aby zintenzívnili úsilie o riešenie dlhodobých účinkov pandémie na tvorcov a kultúrnych pracovníkov, najmä pokiaľ ide o zvyšovanie úrovne ich zručností a rekvalifikáciu s cieľom reagovať na potreby vyplývajúce z vývoja a výziev, ktoré ovplyvňujú tieto sektory;</w:t>
      </w:r>
    </w:p>
    <w:p>
      <w:pPr>
        <w:pStyle w:val="NormalHanging12a"/>
        <w:rPr>
          <w:rFonts w:eastAsiaTheme="minorHAnsi"/>
        </w:rPr>
      </w:pPr>
      <w:r>
        <w:t>3.</w:t>
      </w:r>
      <w:r>
        <w:tab/>
        <w:t>vyjadruje poľutovanie nad tým, že nie všetky členské štáty vyčlenili aspoň 2 % z Mechanizmu na podporu obnovy a odolnosti na zabezpečenie odolnosti týchto sektorov, ako to požadoval Európsky parlament; vyzýva preto všetky členské štáty, aby posilnili synergie a zabezpečili dostatočné cielené investície do týchto sektorov prostredníctvom iných programov EÚ;</w:t>
      </w:r>
    </w:p>
    <w:p>
      <w:pPr>
        <w:pStyle w:val="NormalHanging12a"/>
        <w:rPr>
          <w:rFonts w:eastAsiaTheme="minorHAnsi"/>
        </w:rPr>
      </w:pPr>
      <w:r>
        <w:t>4.</w:t>
      </w:r>
      <w:r>
        <w:tab/>
        <w:t>uznáva flexibilitu Komisie a agentúry EACEA pri vykonávaní programu, ktorá bola upravená tak, aby zohľadňovala dôsledky pandémie ochorenia COVID-19; zdôrazňuje však potrebu dosiahnuť rovnováhu medzi harmonizovanými systémami administratívneho riadenia pre všetky programy EÚ na jednej strane a osobitnými potrebami rôznych prijímateľov na strane druhej; naliehavo preto vyzýva Komisiu a agentúru EACEA, aby zintenzívnili svoje úsilie o zjednodušenie postupov administratívneho riadenia programu Kreatívna Európa na roky 2021 – 2027; zdôrazňuje však, že zefektívnenie a zjednodušenie by nemali viesť k zníženiu finančných a ľudských zdrojov určených na monitorovanie a hodnotenie projektov;</w:t>
      </w:r>
    </w:p>
    <w:p>
      <w:pPr>
        <w:pStyle w:val="NormalHanging12a"/>
        <w:rPr>
          <w:rFonts w:eastAsiaTheme="minorHAnsi"/>
        </w:rPr>
      </w:pPr>
      <w:r>
        <w:t>5.</w:t>
      </w:r>
      <w:r>
        <w:tab/>
        <w:t xml:space="preserve">uznáva, že proces podávania žiadostí je často zložitý, najmä pre jednotlivcov, </w:t>
      </w:r>
      <w:proofErr w:type="spellStart"/>
      <w:r>
        <w:t>mikroorganizácie</w:t>
      </w:r>
      <w:proofErr w:type="spellEnd"/>
      <w:r>
        <w:t xml:space="preserve"> a malé organizácie s obmedzenými finančnými a ľudskými zdrojmi; vyzýva preto Komisiu a agentúru EACEA, aby umožnili zahrnutie nákladov spojených s postupom podávania žiadostí do celkových odhadovaných rozpočtových nákladov; okrem toho vyzýva kancelárie programu Kreatívna Európa, aby ešte viac posilnili podporu pre všetkých žiadateľov;</w:t>
      </w:r>
    </w:p>
    <w:p>
      <w:pPr>
        <w:pStyle w:val="NormalHanging12a"/>
        <w:rPr>
          <w:rFonts w:eastAsiaTheme="minorHAnsi"/>
        </w:rPr>
      </w:pPr>
      <w:r>
        <w:t>6.</w:t>
      </w:r>
      <w:r>
        <w:tab/>
        <w:t>vyzýva Komisiu, aby naplánovala pravidelné výmeny s prijímateľmi v oblasti budovania kapacít s cieľom poskytnúť im prehľad noviniek, ako sú nové požiadavky v rámci systému podávania správ vrátane výstupov v súlade so všeobecným nariadením o ochrane údajov</w:t>
      </w:r>
      <w:r>
        <w:rPr>
          <w:rStyle w:val="FootnoteReference"/>
          <w:rFonts w:eastAsiaTheme="minorHAnsi"/>
          <w:lang w:eastAsia="en-US"/>
        </w:rPr>
        <w:footnoteReference w:id="14"/>
      </w:r>
      <w:r>
        <w:t>; zdôrazňuje, že v rámci cieľa programu posilniť rozmanitosť, začlenenie a rodovú rovnosť je naliehavo potrebné zlepšiť systém podávania správ, aby sa zabezpečila prístupnosť a jednoduché používanie pre všetkých príjemcov vrátane osôb so zdravotným postihnutím;</w:t>
      </w:r>
    </w:p>
    <w:p>
      <w:pPr>
        <w:pStyle w:val="NormalHanging12a"/>
        <w:rPr>
          <w:rFonts w:eastAsiaTheme="minorHAnsi"/>
        </w:rPr>
      </w:pPr>
      <w:r>
        <w:t>7.</w:t>
      </w:r>
      <w:r>
        <w:tab/>
        <w:t>uznáva postupné zavádzanie stimulov na začleňovanie vo všetkých podprogramoch počas prvých dvoch rokov vykonávania programu; berie však na vedomie nedostatok komplexných údajov o tom, ako sa ciele programu plnia spôsobom, ktorý podporuje začleňovanie, rovnosť, rozmanitosť a účasť; naliehavo vyzýva Komisiu, aby v tejto súvislosti poskytla o tom podrobnú správu vo svojom priebežnom hodnotení;</w:t>
      </w:r>
    </w:p>
    <w:p>
      <w:pPr>
        <w:pStyle w:val="NormalHanging12a"/>
        <w:rPr>
          <w:rFonts w:eastAsiaTheme="minorHAnsi"/>
        </w:rPr>
      </w:pPr>
      <w:r>
        <w:t>8.</w:t>
      </w:r>
      <w:r>
        <w:tab/>
        <w:t xml:space="preserve">uznáva, že program prostredníctvom svojich opatrení prispieva k dosiahnutiu cieľa klimatickej a environmentálnej udržateľnosti; konštatuje však, že priority ekologizácie boli v troch podprogramoch zavedené odlišne; vyzýva Komisiu, aby pozorne </w:t>
      </w:r>
      <w:r>
        <w:lastRenderedPageBreak/>
        <w:t xml:space="preserve">monitorovala vykonávanie </w:t>
      </w:r>
      <w:proofErr w:type="spellStart"/>
      <w:r>
        <w:t>ekologizačných</w:t>
      </w:r>
      <w:proofErr w:type="spellEnd"/>
      <w:r>
        <w:t xml:space="preserve"> priorít a ich vplyv na sektory a aby pravidelne podávala správy o svojom hodnotení; zdôrazňuje, že je dôležité rozvíjať činnosti v oblasti odbornej prípravy a zvyšovania informovanosti s cieľom podporiť zavádzanie udržateľnejších postupov v kultúrnom a kreatívnom sektore;</w:t>
      </w:r>
    </w:p>
    <w:p>
      <w:pPr>
        <w:pStyle w:val="NormalHanging12a"/>
        <w:rPr>
          <w:rFonts w:eastAsiaTheme="minorHAnsi"/>
        </w:rPr>
      </w:pPr>
      <w:r>
        <w:t>9.</w:t>
      </w:r>
      <w:r>
        <w:tab/>
        <w:t xml:space="preserve">zdôrazňuje význam podpory kultúrnych a kreatívnych aktérov pri využívaní príležitostí, ktoré sa ponúkajú na úrovni EÚ; v tejto súvislosti víta iniciatívu </w:t>
      </w:r>
      <w:proofErr w:type="spellStart"/>
      <w:r>
        <w:t>CulturEU</w:t>
      </w:r>
      <w:proofErr w:type="spellEnd"/>
      <w:r>
        <w:t>, viacjazyčného interaktívneho sprievodcu mapujúceho všetky dostupné možnosti financovania; zdôrazňuje, že je mimoriadne dôležité udržiavať pravidelné a prípadne cielené výmeny s kultúrnym, kreatívnym a audiovizuálnym sektorom, ako aj so spravodajskými médiami s cieľom dosiahnuť prospešnú spoluprácu; pripomína Komisii, že je dôležité zabezpečiť primerané zapojenie zainteresovaných strán do prípravy budúcich ročných pracovných programov; navrhuje, aby Komisia posúdila, či by sa program Kreatívna Európa 2028 – 2034 nedal lepšie realizovať prostredníctvom ročných alebo dvojročných pracovných programov;</w:t>
      </w:r>
    </w:p>
    <w:p>
      <w:pPr>
        <w:pStyle w:val="NormalHanging12a"/>
        <w:rPr>
          <w:rFonts w:eastAsiaTheme="minorHAnsi"/>
        </w:rPr>
      </w:pPr>
      <w:r>
        <w:t>10.</w:t>
      </w:r>
      <w:r>
        <w:tab/>
        <w:t>vyzýva na posilnenie komunikácie a výmeny informácií medzi Komisiou, agentúrou EACEA a kanceláriami Kreatívna Európa s cieľom zabezpečiť, aby tieto kancelárie mali prístup ku všetkým relevantným informáciám, ktoré umožnia kvalitnú podporu a poradenstvo pre žiadateľov a príjemcov; v tejto súvislosti pripomína význam transparentnosti pri šírení výsledkov výziev; vyzýva preto Komisiu, aby naďalej včas uverejňovala zoznam všetkých príjemcov grantov spolu s priznanými sumami;</w:t>
      </w:r>
    </w:p>
    <w:p>
      <w:pPr>
        <w:pStyle w:val="NormalHanging12a"/>
        <w:rPr>
          <w:rFonts w:eastAsiaTheme="minorHAnsi"/>
        </w:rPr>
      </w:pPr>
      <w:r>
        <w:t>11.</w:t>
      </w:r>
      <w:r>
        <w:tab/>
        <w:t>zdôrazňuje význam identifikácie programu a jeho zviditeľnenia; v tejto súvislosti vyzýva Komisiu, aby Európskemu parlamentu predložila správu o vykonávaní komunikačnej stratégie programu vrátane používania oficiálnych log;</w:t>
      </w:r>
    </w:p>
    <w:p>
      <w:pPr>
        <w:pStyle w:val="NormalHanging12a"/>
        <w:rPr>
          <w:rFonts w:eastAsiaTheme="minorHAnsi"/>
        </w:rPr>
      </w:pPr>
      <w:r>
        <w:t>12.</w:t>
      </w:r>
      <w:r>
        <w:tab/>
        <w:t>zdôrazňuje ochotu značného počtu prijímateľov podeliť sa o svoje úspechy a výsledky s kultúrnym, kreatívnym a audiovizuálnym sektorom, ako aj s európskymi občanmi; v tejto súvislosti pripomína, že platforma, ktorá je na tento účel k dispozícii, sa považuje za nevyhovujúcu, a preto vyzýva Komisiu, aby zapojila prijímateľov do vývoja vhodnejšej platformy;</w:t>
      </w:r>
    </w:p>
    <w:p>
      <w:pPr>
        <w:pStyle w:val="NormalHanging12a"/>
      </w:pPr>
      <w:r>
        <w:t>13.</w:t>
      </w:r>
      <w:r>
        <w:tab/>
        <w:t>konštatuje, že niektoré členské štáty neposkytujú vnútroštátne systémy náhrady škody alebo poistenia na uľahčenie mobility kultúrnych statkov; uznáva, že náklady na komerčné poistenie môžu byť pre mnohé kultúrne subjekty značné; v tejto súvislosti navrhuje, aby Komisia zverejnila štúdiu uskutočniteľnosti celoeurópskeho systému záruk na pokrytie nákladov na náhradu škody ako prvý krok na riešenie tejto otázky;</w:t>
      </w:r>
    </w:p>
    <w:p>
      <w:pPr>
        <w:pStyle w:val="NormalHanging12a"/>
      </w:pPr>
      <w:r>
        <w:t>14.</w:t>
      </w:r>
      <w:r>
        <w:tab/>
        <w:t>naliehavo vyzýva Komisiu, aby podporovala transparentné využívanie umelej inteligencie v umeleckom a tvorivom procese, ktoré je zamerané na človeka, a to vypracovaním vhodných etických noriem týkajúcich sa využívania umelej inteligencie; v tejto súvislosti vyzýva Komisiu, aby zabezpečila, že žiadatelia aj príjemcovia budú poskytovať informácie týkajúce sa využívania umelej inteligencie v projektoch vrátane výroby, distribúcie a propagácie tvorivých diel, aby bolo možné posúdiť tento nový trend v kultúrnom a kreatívnom sektore a jeho vplyv na program;</w:t>
      </w:r>
    </w:p>
    <w:p>
      <w:pPr>
        <w:pStyle w:val="NormalHanging12a"/>
      </w:pPr>
      <w:r>
        <w:t>15.</w:t>
      </w:r>
      <w:r>
        <w:tab/>
        <w:t>zdôrazňuje významný potenciál programu Kreatívna Európa pri rozvoji a posilňovaní nadnárodných partnerstiev, čím sa prostredníctvom kultúry prispieva aj k medzinárodným vzťahom EÚ;</w:t>
      </w:r>
    </w:p>
    <w:p>
      <w:pPr>
        <w:pStyle w:val="NormalHanging12a"/>
      </w:pPr>
      <w:r>
        <w:lastRenderedPageBreak/>
        <w:t>16.</w:t>
      </w:r>
      <w:r>
        <w:tab/>
        <w:t>vyzýva Komisiu, aby investovala primerané zdroje do vonkajšieho rozmeru programu a podporovala ďalšiu spoluprácu medzi kultúrnymi inštitúciami a organizáciami v členských štátoch, ako aj klastrami národných kultúrnych inštitútov EÚ (EUNIC) v tretích krajinách; okrem toho vyzýva Komisiu, aby podľa možnosti podporovala a uľahčovala účasť tretích krajín na programe;</w:t>
      </w:r>
    </w:p>
    <w:p>
      <w:pPr>
        <w:pStyle w:val="NormalHanging12a"/>
        <w:rPr>
          <w:rFonts w:eastAsiaTheme="minorHAnsi"/>
          <w:b/>
          <w:i/>
        </w:rPr>
      </w:pPr>
      <w:r>
        <w:rPr>
          <w:b/>
          <w:i/>
        </w:rPr>
        <w:t>Rozpočet</w:t>
      </w:r>
    </w:p>
    <w:p>
      <w:pPr>
        <w:pStyle w:val="NormalHanging12a"/>
        <w:rPr>
          <w:rFonts w:eastAsiaTheme="minorHAnsi"/>
        </w:rPr>
      </w:pPr>
      <w:r>
        <w:t>17.</w:t>
      </w:r>
      <w:r>
        <w:tab/>
        <w:t>zdôrazňuje, že v súčasnom programe Kreatívna Európa napriek výrazne zvýšenému rozpočtu na obdobie rokov 2021 – 2027 stále dopyt prevyšuje ponuku; v tejto súvislosti vyzýva Komisiu a členské štáty, aby podstatne zvýšili finančné prostriedky programu Kreatívna Európa na roky 2028 – 2034;</w:t>
      </w:r>
    </w:p>
    <w:p>
      <w:pPr>
        <w:pStyle w:val="NormalHanging12a"/>
        <w:rPr>
          <w:rFonts w:eastAsiaTheme="minorHAnsi"/>
        </w:rPr>
      </w:pPr>
      <w:r>
        <w:t>18.</w:t>
      </w:r>
      <w:r>
        <w:tab/>
        <w:t>uznáva, že v dvojročnom období 2021 – 2022 bolo naliehavo potrebné čím skôr realizovať výdavky s cieľom zmierniť dôsledky pandémie COVID-19 a dôsledky ruskej útočnej vojny proti Ukrajine; zdôrazňuje však nepriaznivý vplyv, ktorý bude mať toto opatrenie v druhej polovici finančného cyklu;</w:t>
      </w:r>
    </w:p>
    <w:p>
      <w:pPr>
        <w:pStyle w:val="NormalHanging12a"/>
        <w:rPr>
          <w:rFonts w:eastAsiaTheme="minorHAnsi"/>
        </w:rPr>
      </w:pPr>
      <w:r>
        <w:t>19.</w:t>
      </w:r>
      <w:r>
        <w:tab/>
        <w:t>naliehavo vyzýva členské štáty a Komisiu, aby vzhľadom na výzvy prameniace z digitalizácie a ekologizácie, ako aj z vysokej miery účasti, prudkej inflácie a súvisiacich vysokých nákladov na energiu, ktoré všetky vážne ovplyvňujú operačnú kapacitu prijímateľov, zabezpečili, aby v nadchádzajúcich rozpočtových rokoch nedošlo k zníženiu rozpočtových prostriedkov programu;</w:t>
      </w:r>
    </w:p>
    <w:p>
      <w:pPr>
        <w:pStyle w:val="NormalHanging12a"/>
        <w:rPr>
          <w:rFonts w:eastAsiaTheme="minorHAnsi"/>
        </w:rPr>
      </w:pPr>
      <w:r>
        <w:t>20.</w:t>
      </w:r>
      <w:r>
        <w:tab/>
        <w:t xml:space="preserve">vyjadruje poľutovanie nad tým, že značka Známka </w:t>
      </w:r>
      <w:proofErr w:type="spellStart"/>
      <w:r>
        <w:t>excelentnosti</w:t>
      </w:r>
      <w:proofErr w:type="spellEnd"/>
      <w:r>
        <w:t xml:space="preserve"> ešte nebola zavedená; vyzýva Komisiu, aby túto značku zaviedla okamžite, aby projekty mohli využiť príležitosti, ktoré ponúka kumulatívne a alternatívne financovanie, počas tohto programového cyklu;</w:t>
      </w:r>
    </w:p>
    <w:p>
      <w:pPr>
        <w:pStyle w:val="NormalHanging12a"/>
        <w:rPr>
          <w:rFonts w:eastAsiaTheme="minorHAnsi"/>
        </w:rPr>
      </w:pPr>
      <w:r>
        <w:t>21.</w:t>
      </w:r>
      <w:r>
        <w:tab/>
        <w:t>vyjadruje poľutovanie nad tým, že v rámci viacročného finančného rámca (ďalej len „VFR“) na roky 2021 – 2027 neexistuje flexibilita na navýšenie prostriedkov programu Kreatívna Európa, a zdôrazňuje, že to bráni financovaniu nových iniciatív, cenných pilotných projektov a prípravných akcií; v tejto súvislosti pripomína, že pilotné projekty a prípravné akcie sú dôležitými nástrojmi na testovanie nových iniciatív, ktoré sa môžu rozvinúť do stálych programov financovania EÚ alebo sa začleniť do existujúcich programov;</w:t>
      </w:r>
    </w:p>
    <w:p>
      <w:pPr>
        <w:pStyle w:val="NormalHanging12a"/>
        <w:rPr>
          <w:rFonts w:eastAsiaTheme="minorHAnsi"/>
        </w:rPr>
      </w:pPr>
      <w:r>
        <w:t>22.</w:t>
      </w:r>
      <w:r>
        <w:tab/>
        <w:t>vyjadruje poľutovanie nad rozdielom vo financovaní medzi dvoma cyklami VFR, ktorý ovplyvnil najmä program zameraný na siete, a vyzýva Komisiu, aby zabezpečila, že sa to v budúcnosti nebude opakovať; vyzýva Komisiu, aby vzhľadom na kľúčovú úlohu tohto programu pri podpore schopnosti kultúrneho a kreatívneho sektora pôsobiť na medzinárodnej a nadnárodnej úrovni poskytla primerané finančné prostriedky a aby okrem toho zvážila zavedenie operačných grantov na túto činnosť;</w:t>
      </w:r>
    </w:p>
    <w:p>
      <w:pPr>
        <w:pStyle w:val="NormalHanging12a"/>
        <w:rPr>
          <w:rFonts w:eastAsiaTheme="minorHAnsi"/>
          <w:b/>
          <w:i/>
        </w:rPr>
      </w:pPr>
      <w:r>
        <w:rPr>
          <w:b/>
          <w:i/>
        </w:rPr>
        <w:t>Podprogram Kultúra</w:t>
      </w:r>
    </w:p>
    <w:p>
      <w:pPr>
        <w:pStyle w:val="NormalHanging12a"/>
        <w:rPr>
          <w:rFonts w:eastAsiaTheme="minorHAnsi"/>
        </w:rPr>
      </w:pPr>
      <w:r>
        <w:t>23.</w:t>
      </w:r>
      <w:r>
        <w:tab/>
        <w:t>víta zavedenie sektorového prístupu ako nového prvku podprogramu Kultúra, ktorý dopĺňa horizontálne akcie; vyzýva na jeho posilnenie prostredníctvom primeraného pridelenia rozpočtových prostriedkov, aby sa zabezpečilo, že žiadne odvetvie nezostane pozadu a že sa neznížia prostriedky pridelené na horizontálne akcie;</w:t>
      </w:r>
    </w:p>
    <w:p>
      <w:pPr>
        <w:pStyle w:val="NormalHanging12a"/>
        <w:rPr>
          <w:rFonts w:eastAsiaTheme="minorHAnsi"/>
        </w:rPr>
      </w:pPr>
      <w:r>
        <w:t>24.</w:t>
      </w:r>
      <w:r>
        <w:tab/>
        <w:t xml:space="preserve">pripomína význam ďalšej ochrany a podpory slobody umeleckého prejavu, najmä </w:t>
      </w:r>
      <w:r>
        <w:lastRenderedPageBreak/>
        <w:t>v rámci možností financovania, ktoré ponúka program v rámci akcie zameranej na projekty kultúrnej spolupráce a programu zameraného na európske siete;</w:t>
      </w:r>
    </w:p>
    <w:p>
      <w:pPr>
        <w:pStyle w:val="NormalHanging12a"/>
      </w:pPr>
      <w:r>
        <w:t>25.</w:t>
      </w:r>
      <w:r>
        <w:tab/>
        <w:t>uznáva, že zvýšená miera spolufinancovania, najmä v prípade malých projektov spolupráce, je prospešná a uľahčuje účasť malých organizácií; v tejto súvislosti vyzýva Komisiu a agentúru EACEA, aby projektovým konzorciám umožnili nezávisle určiť spôsob rozdelenia finančných prostriedkov medzi ich partnerov za predpokladu, že sa celková miera spolufinancovania uplatňuje na úrovni projektu;</w:t>
      </w:r>
    </w:p>
    <w:p>
      <w:pPr>
        <w:pStyle w:val="NormalHanging12a"/>
      </w:pPr>
      <w:r>
        <w:t>26.</w:t>
      </w:r>
      <w:r>
        <w:tab/>
        <w:t>zdôrazňuje význam cezhraničnej mobility pre všetkých tvorcov, pretože podporuje tvorivý proces tým, že zvyšuje profesionálne príležitosti v zahraničí; v tejto súvislosti víta program Kultúra hýbe Európou ako novú akciu v oblasti mobility v rámci programu Kreatívna Európa;</w:t>
      </w:r>
    </w:p>
    <w:p>
      <w:pPr>
        <w:pStyle w:val="NormalHanging12a"/>
      </w:pPr>
      <w:r>
        <w:t>27.</w:t>
      </w:r>
      <w:r>
        <w:tab/>
        <w:t>oceňuje vysokú kvalitu žiadostí prijatých v rámci programu mobility; vyzýva však Komisiu, aby podporovala program Kultúra hýbe Európou medzi širším publikom s pomocou a podporou všetkých kancelárií programu Kreatívna Európa prostredníctvom komunikačných a osvetových činností; domnieva sa, že tieto činnosti by sa mali osobitne zamerať na jednotlivé odvetvia vrátane tvorcov zo všetkých marginalizovaných skupín, ako aj z menej zastúpených krajín a regiónov, aby sa zabezpečila geografická rovnováha;</w:t>
      </w:r>
    </w:p>
    <w:p>
      <w:pPr>
        <w:pStyle w:val="NormalHanging12a"/>
      </w:pPr>
      <w:r>
        <w:t>28.</w:t>
      </w:r>
      <w:r>
        <w:tab/>
        <w:t>poukazuje na to, že hoci uznáva veľký úspech novej akcie v oblasti mobility, je nevyhnutné, aby sa do konca roka 2024 vykonala analýza hlavných vznikajúcich trendov s cieľom preskúmať možnosť ďalšieho rozšírenia tejto akcie v úsilí začleniť nových aktérov, ako sú zástupcovia knižného sektora; v tejto súvislosti vyzýva Komisiu, aby od roku 2025 zvýšila rozpočet vyčlenený na túto akciu;</w:t>
      </w:r>
    </w:p>
    <w:p>
      <w:pPr>
        <w:pStyle w:val="NormalHanging12a"/>
      </w:pPr>
      <w:r>
        <w:t>29.</w:t>
      </w:r>
      <w:r>
        <w:tab/>
        <w:t xml:space="preserve">zdôrazňuje pozitívny vplyv ekologického a rodinného príplatku zavedeného v rámci programu mobility, ktoré predstavujú konkrétny príklad toho, ako môže byť program </w:t>
      </w:r>
      <w:proofErr w:type="spellStart"/>
      <w:r>
        <w:t>inkluzívnejší</w:t>
      </w:r>
      <w:proofErr w:type="spellEnd"/>
      <w:r>
        <w:t>; vyzýva preto Komisiu, aby zvážila uplatnenie tohto prístupu aj v ďalších akciách programu Kreatívna Európa;</w:t>
      </w:r>
    </w:p>
    <w:p>
      <w:pPr>
        <w:pStyle w:val="NormalHanging12a"/>
      </w:pPr>
      <w:r>
        <w:t>30.</w:t>
      </w:r>
      <w:r>
        <w:tab/>
        <w:t>víta zvýšenie financovania európskych platforiem na podporu začínajúcich umelcov v rámci podprogramu Kultúra a zdôrazňuje pozitívny vplyv, ktorý má na rozmanitosť, pretože zviditeľňuje umelcov a ich diela v medzinárodnom meradle; vyzýva preto Komisiu, aby ďalej rozvíjala túto akciu a zabezpečila jej primerané financovanie a podporu;</w:t>
      </w:r>
    </w:p>
    <w:p>
      <w:pPr>
        <w:pStyle w:val="NormalHanging12a"/>
      </w:pPr>
      <w:r>
        <w:t>31.</w:t>
      </w:r>
      <w:r>
        <w:tab/>
        <w:t>zdôrazňuje význam programu zameraného na siete pri poskytovaní príležitostí na vytváranie sietí a budovanie kapacít, ktoré posilňujú rozmanitosť a konkurencieschopnosť európskeho kultúrneho a kreatívneho sektora; v tejto súvislosti vyzýva Komisiu, aby zabezpečila primerané financovanie tejto akcie s cieľom podporiť súčasných prijímateľov a nové siete;</w:t>
      </w:r>
    </w:p>
    <w:p>
      <w:pPr>
        <w:pStyle w:val="NormalHanging12a"/>
      </w:pPr>
      <w:r>
        <w:t>32.</w:t>
      </w:r>
      <w:r>
        <w:tab/>
        <w:t>zdôrazňuje, že odvetvový prístup je vynikajúci nástroj, ktorý posilňuje knižný a vydavateľský sektor a umožňuje zosúladené opatrenia, ktoré podporia a podnietia prístup na trh a širší obeh európskych diel;</w:t>
      </w:r>
    </w:p>
    <w:p>
      <w:pPr>
        <w:pStyle w:val="NormalHanging12a"/>
      </w:pPr>
      <w:r>
        <w:t>33.</w:t>
      </w:r>
      <w:r>
        <w:tab/>
        <w:t xml:space="preserve">pripomína, že literárny preklad je hlavným podporným systémom pre knižný sektor; zdôrazňuje však, že je potrebné rozšíriť tento systém o preklad európskej literatúry </w:t>
      </w:r>
      <w:r>
        <w:lastRenderedPageBreak/>
        <w:t>faktu; vyzýva Komisiu, aby so zreteľom na preskúmanie v polovici trvania vypracovala merateľné ciele týkajúce sa spôsobu vyčlenenia finančných prostriedkov na zlepšenie prístupnosti kníh pre osoby so zdravotným postihnutím;</w:t>
      </w:r>
    </w:p>
    <w:p>
      <w:pPr>
        <w:pStyle w:val="NormalHanging12a"/>
      </w:pPr>
      <w:r>
        <w:t>34.</w:t>
      </w:r>
      <w:r>
        <w:tab/>
        <w:t>víta zvýšenie akcií na podporu hudobného sektora v rámci podprogramu Kultúra, čo viedlo k tomu, že v rámci súčasného programu sa predkladá vyšší počet projektov súvisiacich s hudbou; vyzýva však Komisiu, aby vypracovala strategickejší a sektorovo orientovaný prístup k hudobnému sektoru s cieľom riešiť nové a budúce výzvy, ktorý by vychádzal z výsledkov prípravnej akcie Hudba hýbe Európou; v tejto súvislosti zdôrazňuje význam pravidelného štruktúrovaného dialógu medzi hudobným ekosystémom a Komisiou; okrem toho vyzýva Komisiu, aby v spolupráci s týmto odvetvím zhromažďovala údaje o hudobných trhoch v členských štátoch a podávala správy o všetkých nových výzvach, ktoré ovplyvňujú celý ekosystém;</w:t>
      </w:r>
    </w:p>
    <w:p>
      <w:pPr>
        <w:pStyle w:val="NormalHanging12a"/>
      </w:pPr>
      <w:r>
        <w:t>35.</w:t>
      </w:r>
      <w:r>
        <w:tab/>
        <w:t xml:space="preserve">zdôrazňuje význam osobitnej akcie týkajúcej sa Európskeho hlavného mesta kultúry ako katalyzátora kultúrnej a hospodárskej obnovy miest a regiónov; zdôrazňuje, že je už dávno potrebné zvýšiť financovanie tejto osobitnej akcie, aby sa uhradili dodatočné náklady, ktoré vznikli v dôsledku dlhodobých účinkov pandémie ochorenia COVID-19 a prudkej inflácie; vyzýva preto Komisiu, aby zvýšila financovanie Ceny </w:t>
      </w:r>
      <w:proofErr w:type="spellStart"/>
      <w:r>
        <w:t>Meliny</w:t>
      </w:r>
      <w:proofErr w:type="spellEnd"/>
      <w:r>
        <w:t xml:space="preserve"> </w:t>
      </w:r>
      <w:proofErr w:type="spellStart"/>
      <w:r>
        <w:t>Mercouri</w:t>
      </w:r>
      <w:proofErr w:type="spellEnd"/>
      <w:r>
        <w:t>, na ktorú sa už niekoľko rokov vyčleňuje iba 1,5 milióna EUR; okrem toho vyzýva členské štáty, aby zabezpečili trvalý odkaz tejto iniciatívy a podporili jej dosah s cieľom zvýšiť účasť na kultúrnych aktivitách, ktoré sa v rámci nej rozvíjajú;</w:t>
      </w:r>
    </w:p>
    <w:p>
      <w:pPr>
        <w:pStyle w:val="NormalHanging12a"/>
      </w:pPr>
      <w:r>
        <w:t>36.</w:t>
      </w:r>
      <w:r>
        <w:tab/>
        <w:t>uznáva, že značka Európske dedičstvo je cennou iniciatívou podporujúcou významnú úlohu, ktorú tieto lokality zohrávajú v histórii a kultúre Európy, a konštatuje, že v rokoch 2013 až 2021 bola táto značka udelená 60 lokalitám; vyzýva však Komisiu, aby zviditeľnila značku Európske dedičstvo rozvíjaním synergií s inými príslušnými finančnými nástrojmi EÚ;</w:t>
      </w:r>
    </w:p>
    <w:p>
      <w:pPr>
        <w:pStyle w:val="NormalHanging12a"/>
      </w:pPr>
      <w:r>
        <w:t>37.</w:t>
      </w:r>
      <w:r>
        <w:tab/>
        <w:t>zdôrazňuje význam cien podporovaných programom Kreatívna Európa v oblasti literatúry, architektúry a dedičstva, hudby (súčasnej, rockovej a popovej) a audiovizuálnej oblasti; zdôrazňuje, že tieto dlhodobé iniciatívy sú v týchto odvetviach dobre známe a že zviditeľňujú európske kultúrne a kreatívne sektory tým, že oceňujú úspechy v rôznych oblastiach;</w:t>
      </w:r>
    </w:p>
    <w:p>
      <w:pPr>
        <w:pStyle w:val="NormalHanging12a"/>
        <w:rPr>
          <w:rFonts w:eastAsiaTheme="minorHAnsi"/>
          <w:b/>
          <w:i/>
        </w:rPr>
      </w:pPr>
      <w:r>
        <w:rPr>
          <w:b/>
          <w:i/>
        </w:rPr>
        <w:t>Podprogram MEDIA</w:t>
      </w:r>
    </w:p>
    <w:p>
      <w:pPr>
        <w:pStyle w:val="NormalHanging12a"/>
      </w:pPr>
      <w:r>
        <w:t>38.</w:t>
      </w:r>
      <w:r>
        <w:tab/>
        <w:t>uznáva, že podprogram MEDIA zostáva hlavným európskym nástrojom strategickej podpory nezávislého audiovizuálneho sektora, ktorý tvoria predovšetkým malé a stredné podniky; poukazuje na významnú medzinárodnú konkurenciu, ktorej čelia európske audiovizuálne, filmové a </w:t>
      </w:r>
      <w:proofErr w:type="spellStart"/>
      <w:r>
        <w:t>videoherné</w:t>
      </w:r>
      <w:proofErr w:type="spellEnd"/>
      <w:r>
        <w:t xml:space="preserve"> sektory, a na rozhodujúcu podporu, ktorú tento podprogram ponúka na obnovu a transformáciu týchto sektorov a na zvýšenie strategickej autonómie EÚ; v tejto súvislosti zdôrazňuje, že je dôležité zabezpečiť primerané rozpočtové prostriedky pre podprogram MEDIA, a trvá na potrebe komplexných údajov na posúdenie a monitorovanie toho, či a ako sa programu darí zvyšovať hospodársky a kultúrny potenciál týchto sektorov;</w:t>
      </w:r>
    </w:p>
    <w:p>
      <w:pPr>
        <w:pStyle w:val="NormalHanging12a"/>
      </w:pPr>
      <w:r>
        <w:t>39.</w:t>
      </w:r>
      <w:r>
        <w:tab/>
        <w:t>uznáva pozitívny vplyv cielených opatrení zavedených v rámci podprogramu MEDIA na rozšírenie účasti krajín s rôznymi audiovizuálnymi kapacitami a na posilnenie cezhraničnej spolupráce;</w:t>
      </w:r>
    </w:p>
    <w:p>
      <w:pPr>
        <w:pStyle w:val="NormalHanging12a"/>
        <w:rPr>
          <w:rFonts w:eastAsiaTheme="minorHAnsi"/>
        </w:rPr>
      </w:pPr>
      <w:r>
        <w:lastRenderedPageBreak/>
        <w:t>40.</w:t>
      </w:r>
      <w:r>
        <w:tab/>
        <w:t xml:space="preserve">zdôrazňuje, že veľký počet vysokokvalitných projektov v rámci programov zameraných na koprodukciu a </w:t>
      </w:r>
      <w:proofErr w:type="spellStart"/>
      <w:r>
        <w:t>minibalíky</w:t>
      </w:r>
      <w:proofErr w:type="spellEnd"/>
      <w:r>
        <w:t xml:space="preserve"> filmových projektov bol v rokoch 2021 – 2022 zamietnutý z dôvodu rozpočtových obmedzení; vyzýva preto Komisiu, aby vyčlenila väčší rozpočet na budúce vykonávanie týchto programov;</w:t>
      </w:r>
    </w:p>
    <w:p>
      <w:pPr>
        <w:pStyle w:val="NormalHanging12a"/>
        <w:rPr>
          <w:rFonts w:eastAsiaTheme="minorHAnsi"/>
        </w:rPr>
      </w:pPr>
      <w:r>
        <w:t>41.</w:t>
      </w:r>
      <w:r>
        <w:tab/>
        <w:t>zdôrazňuje zásadnú úlohu programov podpory európskej filmovej distribúcie a európskych obchodných zástupcov pri prispievaní ku kultúrnej rozmanitosti európskeho audiovizuálneho sektora prostredníctvom zvýšenia cezhraničného obehu európskych filmov a kompenzáciou niektorých rizík, ktoré distribútori nesú pri investovaní do produkcie, distribúcie a propagácie inonárodných európskych filmov; zdôrazňuje preto, že je nevyhnutné zvýšiť financovanie oboch programov a vyvinúť ďalšie úsilie na zabezpečenie väčšieho obehu a dostupnosti európskych diel online;</w:t>
      </w:r>
    </w:p>
    <w:p>
      <w:pPr>
        <w:pStyle w:val="NormalHanging12a"/>
        <w:rPr>
          <w:rFonts w:eastAsiaTheme="minorHAnsi"/>
        </w:rPr>
      </w:pPr>
      <w:r>
        <w:t>42.</w:t>
      </w:r>
      <w:r>
        <w:tab/>
        <w:t xml:space="preserve">zdôrazňuje, že v mnohých európskych krajinách neexistujú žiadne programy podpory zamerané na premietanie filmových diel; v tejto súvislosti zdôrazňuje význam zachovania primeraného financovania siete </w:t>
      </w:r>
      <w:proofErr w:type="spellStart"/>
      <w:r>
        <w:t>Europa</w:t>
      </w:r>
      <w:proofErr w:type="spellEnd"/>
      <w:r>
        <w:t xml:space="preserve"> </w:t>
      </w:r>
      <w:proofErr w:type="spellStart"/>
      <w:r>
        <w:t>Cinemas</w:t>
      </w:r>
      <w:proofErr w:type="spellEnd"/>
      <w:r>
        <w:t>, hlavnej iniciatívy v rámci podprogramu MEDIA, ktorá prispieva k obehu európskych filmov v kinách;</w:t>
      </w:r>
    </w:p>
    <w:p>
      <w:pPr>
        <w:pStyle w:val="NormalHanging12a"/>
      </w:pPr>
      <w:r>
        <w:t>43.</w:t>
      </w:r>
      <w:r>
        <w:tab/>
        <w:t>zdôrazňuje, že nariadením o programe Kreatívna Európa na roky 2021 – 2027 sa rozširuje poskytovanie podpory činností vytvárania sietí pre pracovníkov audiovizuálneho sektora vrátane tvorcov; upozorňuje, že toto opatrenie ešte nebolo realizované; vyzýva preto Komisiu, aby včas uskutočnila osobitnú akciu s cieľom podporiť činnosti zamerané na vytváranie sietí a spoluprácu európskych profesijných a kultúrnych organizácií v rámci audiovizuálneho hodnotového reťazca;</w:t>
      </w:r>
    </w:p>
    <w:p>
      <w:pPr>
        <w:pStyle w:val="NormalHanging12a"/>
      </w:pPr>
      <w:r>
        <w:t>44.</w:t>
      </w:r>
      <w:r>
        <w:tab/>
        <w:t xml:space="preserve">pripomína úspech prípravnej akcie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a navrhuje, aby Komisia zahrnula ciele sledované touto akciou do programu Kreatívna Európa;</w:t>
      </w:r>
    </w:p>
    <w:p>
      <w:pPr>
        <w:pStyle w:val="NormalHanging12a"/>
        <w:rPr>
          <w:rFonts w:eastAsiaTheme="minorHAnsi"/>
        </w:rPr>
      </w:pPr>
      <w:r>
        <w:t>45.</w:t>
      </w:r>
      <w:r>
        <w:tab/>
        <w:t>víta zavedenie osobitnej akcie na podporu vývoja videohier a </w:t>
      </w:r>
      <w:proofErr w:type="spellStart"/>
      <w:r>
        <w:t>imerzívneho</w:t>
      </w:r>
      <w:proofErr w:type="spellEnd"/>
      <w:r>
        <w:t xml:space="preserve"> obsahu, ktorá v tomto sektore vyvolala značný záujem; vyzýva Komisiu, aby podporovala kultúrny a kreatívny rozmer tohto sektora tým, že pri vypracúvaní príslušných výziev na predkladanie návrhov zohľadní jeho špecifické charakteristiky a súvisiace potreby vrátane potreby testovať nové obchodné modely vo virtuálnom svete s cieľom umožniť rozvoj zručností v tejto oblasti s osobitným dôrazom na účasť žien; konštatuje však, že súčasný rozpočet by na to nemusel byť dostatočný, a žiada ďalšie finančné prostriedky na podporu rastu európskeho ekosystému videohier a na podporu rozvoja a udržania európskych talentov;</w:t>
      </w:r>
    </w:p>
    <w:p>
      <w:pPr>
        <w:pStyle w:val="NormalHanging12a"/>
        <w:rPr>
          <w:rFonts w:eastAsiaTheme="minorHAnsi"/>
        </w:rPr>
      </w:pPr>
      <w:r>
        <w:t>46.</w:t>
      </w:r>
      <w:r>
        <w:tab/>
        <w:t>zdôrazňuje, že rastúca inflácia na vysoko konkurenčnom audiovizuálnom trhu má vplyv na produkčné náklady; vyzýva preto Komisiu, aby zvýšila stropy financovania s cieľom zabezpečiť, aby podprogram MEDIA poskytoval podporu audiovizuálnemu priemyslu;</w:t>
      </w:r>
    </w:p>
    <w:p>
      <w:pPr>
        <w:pStyle w:val="NormalHanging12a"/>
        <w:rPr>
          <w:rFonts w:eastAsiaTheme="minorHAnsi"/>
        </w:rPr>
      </w:pPr>
      <w:r>
        <w:t>47.</w:t>
      </w:r>
      <w:r>
        <w:tab/>
        <w:t>uznáva úspech výzvy zameranej na siete európskych festivalov, ktorá podporila 71 festivalov v rámci 12 sietí a spolupracovala okrem iného na podpore zapojenia publika; vyzýva preto Komisiu, aby v nasledujúcich rokoch naďalej financovala dve vzájomne sa dopĺňajúce opatrenia, európske festivaly a sieť európskych festivalov;</w:t>
      </w:r>
    </w:p>
    <w:p>
      <w:pPr>
        <w:pStyle w:val="NormalHanging12a"/>
        <w:rPr>
          <w:rFonts w:eastAsiaTheme="minorHAnsi"/>
        </w:rPr>
      </w:pPr>
      <w:r>
        <w:t>48.</w:t>
      </w:r>
      <w:r>
        <w:tab/>
        <w:t xml:space="preserve">konštatuje, že keďže nástroj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Invest</w:t>
      </w:r>
      <w:proofErr w:type="spellEnd"/>
      <w:r>
        <w:t xml:space="preserve"> pritiahol veľký počet žiadostí, na jeho budúcu implementáciu sa musí zabezpečiť väčšia rozpočtová synergia s Programom </w:t>
      </w:r>
      <w:proofErr w:type="spellStart"/>
      <w:r>
        <w:t>InvestEU</w:t>
      </w:r>
      <w:proofErr w:type="spellEnd"/>
      <w:r>
        <w:t>; vyzýva Komisiu, aby ďalej zlepšovala propagáciu tohto nástroja v audiovizuálnom sektore;</w:t>
      </w:r>
    </w:p>
    <w:p>
      <w:pPr>
        <w:pStyle w:val="NormalHanging12a"/>
        <w:rPr>
          <w:rFonts w:eastAsiaTheme="minorHAnsi"/>
        </w:rPr>
      </w:pPr>
      <w:r>
        <w:lastRenderedPageBreak/>
        <w:t>49.</w:t>
      </w:r>
      <w:r>
        <w:tab/>
        <w:t>pripomína, že návrhom Komisie na európsky akt o slobode médií zo septembra 2022 sa zriaďuje nová Európska rada pre mediálne služby, ktorá nahradí skupinu európskych regulačných orgánov pre audiovizuálne mediálne služby (ERGA) vytvorenú smernicou 2010/13/EÚ</w:t>
      </w:r>
      <w:r>
        <w:rPr>
          <w:rStyle w:val="FootnoteReference"/>
          <w:rFonts w:eastAsiaTheme="minorHAnsi"/>
        </w:rPr>
        <w:footnoteReference w:id="15"/>
      </w:r>
      <w:r>
        <w:t>; vzhľadom na obmedzené finančné zdroje, ktoré sú k dispozícii na vykonávanie cieľov programu, zdôrazňuje, že rozpočet pridelený na podprogram MEDIA a iné rozpočtové položky programu sa nesmie vyčleniť na financovanie tejto rady;</w:t>
      </w:r>
    </w:p>
    <w:p>
      <w:pPr>
        <w:pStyle w:val="NormalHanging12a"/>
        <w:rPr>
          <w:rFonts w:eastAsiaTheme="minorHAnsi"/>
          <w:b/>
          <w:i/>
        </w:rPr>
      </w:pPr>
      <w:proofErr w:type="spellStart"/>
      <w:r>
        <w:rPr>
          <w:b/>
          <w:i/>
        </w:rPr>
        <w:t>Medzisektorový</w:t>
      </w:r>
      <w:proofErr w:type="spellEnd"/>
      <w:r>
        <w:rPr>
          <w:b/>
          <w:i/>
        </w:rPr>
        <w:t xml:space="preserve"> podprogram</w:t>
      </w:r>
    </w:p>
    <w:p>
      <w:pPr>
        <w:pStyle w:val="NormalHanging12a"/>
        <w:rPr>
          <w:rFonts w:eastAsiaTheme="minorHAnsi"/>
        </w:rPr>
      </w:pPr>
      <w:r>
        <w:t>50.</w:t>
      </w:r>
      <w:r>
        <w:tab/>
        <w:t xml:space="preserve">vyjadruje poľutovanie nad tým, že opatrenia naplánované v rámci </w:t>
      </w:r>
      <w:proofErr w:type="spellStart"/>
      <w:r>
        <w:t>Medzisektorového</w:t>
      </w:r>
      <w:proofErr w:type="spellEnd"/>
      <w:r>
        <w:t xml:space="preserve"> podprogramu zaznamenali najväčšie oneskorenie v realizácii, najmä v roku 2021, a to v dôsledku noviniek zavedených v tomto podprograme;</w:t>
      </w:r>
    </w:p>
    <w:p>
      <w:pPr>
        <w:pStyle w:val="NormalHanging12a"/>
        <w:rPr>
          <w:rFonts w:eastAsiaTheme="minorHAnsi"/>
        </w:rPr>
      </w:pPr>
      <w:r>
        <w:t>51.</w:t>
      </w:r>
      <w:r>
        <w:tab/>
        <w:t>konštatuje, že v rokoch 2021 – 2022 sa najviac žiadostí podalo v rámci výziev Partnerstvá v oblasti žurnalistiky a Mediálna gramotnosť, čo zdôrazňuje naliehavú potrebu zvýšenia finančnej podpory európskeho mediálneho sektora;</w:t>
      </w:r>
    </w:p>
    <w:p>
      <w:pPr>
        <w:pStyle w:val="NormalHanging12a"/>
        <w:rPr>
          <w:rFonts w:eastAsiaTheme="minorHAnsi"/>
        </w:rPr>
      </w:pPr>
      <w:r>
        <w:t>52.</w:t>
      </w:r>
      <w:r>
        <w:tab/>
        <w:t xml:space="preserve">konštatuje, že nízka miera úspešnosti žiadostí v rámci </w:t>
      </w:r>
      <w:proofErr w:type="spellStart"/>
      <w:r>
        <w:t>Medzisektorového</w:t>
      </w:r>
      <w:proofErr w:type="spellEnd"/>
      <w:r>
        <w:t xml:space="preserve"> podprogramu napriek celkovo vysokej kvalite predložených žiadostí poukazuje na vysoký dopyt po finančnej podpore, ktorý, bohužiaľ, nemožno uspokojiť súčasnými finančnými prostriedkami;</w:t>
      </w:r>
    </w:p>
    <w:p>
      <w:pPr>
        <w:pStyle w:val="NormalHanging12a"/>
        <w:rPr>
          <w:rFonts w:eastAsiaTheme="minorHAnsi"/>
        </w:rPr>
      </w:pPr>
      <w:r>
        <w:t>53.</w:t>
      </w:r>
      <w:r>
        <w:tab/>
        <w:t>vyzýva Komisiu, aby zabezpečila, aby v zostávajúcej časti programového obdobia bolo najmenej 9 %</w:t>
      </w:r>
      <w:r>
        <w:rPr>
          <w:rStyle w:val="FootnoteReference"/>
        </w:rPr>
        <w:footnoteReference w:id="16"/>
      </w:r>
      <w:r>
        <w:t xml:space="preserve"> celkového rozpočtu na roky 2021 – 2027 vyčlenených na podporu cieľov </w:t>
      </w:r>
      <w:proofErr w:type="spellStart"/>
      <w:r>
        <w:t>Medzisektorového</w:t>
      </w:r>
      <w:proofErr w:type="spellEnd"/>
      <w:r>
        <w:t xml:space="preserve"> podprogramu;</w:t>
      </w:r>
    </w:p>
    <w:p>
      <w:pPr>
        <w:pStyle w:val="NormalHanging12a"/>
        <w:widowControl/>
        <w:ind w:left="0" w:firstLine="0"/>
        <w:jc w:val="center"/>
        <w:rPr>
          <w:rFonts w:eastAsiaTheme="minorHAnsi"/>
        </w:rPr>
      </w:pPr>
      <w:r>
        <w:rPr>
          <w:rFonts w:eastAsiaTheme="minorHAnsi"/>
        </w:rPr>
        <w:t>°</w:t>
      </w:r>
    </w:p>
    <w:p>
      <w:pPr>
        <w:pStyle w:val="NormalHanging12a"/>
        <w:widowControl/>
        <w:ind w:left="0" w:firstLine="0"/>
        <w:jc w:val="center"/>
        <w:rPr>
          <w:rFonts w:eastAsiaTheme="minorHAnsi"/>
        </w:rPr>
      </w:pPr>
      <w:r>
        <w:rPr>
          <w:rFonts w:eastAsiaTheme="minorHAnsi"/>
        </w:rPr>
        <w:t>°     °</w:t>
      </w:r>
    </w:p>
    <w:p>
      <w:pPr>
        <w:pStyle w:val="NormalHanging12a"/>
      </w:pPr>
      <w:r>
        <w:t>54.</w:t>
      </w:r>
      <w:r>
        <w:tab/>
        <w:t xml:space="preserve">poveruje svoju predsedníčku, aby toto uznesenie postúpila Rade, Komisii </w:t>
      </w:r>
      <w:r>
        <w:rPr>
          <w:snapToGrid w:val="0"/>
        </w:rPr>
        <w:t>a národným kanceláriám programu Kreatívna Európa.</w:t>
      </w:r>
    </w:p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189, 28.5.2021, s. 34.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347, 20.12.2013, s. 221.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108, 26.3.2021, s. 934.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110, 22.3.2019, s. 87.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168, 16.5.2019, s. 37.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466, 7.12.2022, s. 1.</w:t>
      </w:r>
    </w:p>
  </w:footnote>
  <w:footnote w:id="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P9_TA(2023)0329.</w:t>
      </w:r>
    </w:p>
  </w:footnote>
  <w:footnote w:id="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177, 17.5.2023, s. 78.</w:t>
      </w:r>
    </w:p>
  </w:footnote>
  <w:footnote w:id="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184, 5.5.2022, s. 71.</w:t>
      </w:r>
    </w:p>
  </w:footnote>
  <w:footnote w:id="1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316, 6.8.2021, s. 2.</w:t>
      </w:r>
    </w:p>
  </w:footnote>
  <w:footnote w:id="1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385, 22.9.2021, s. 2.</w:t>
      </w:r>
    </w:p>
  </w:footnote>
  <w:footnote w:id="1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385, 22.9.2021, s. 152.</w:t>
      </w:r>
    </w:p>
  </w:footnote>
  <w:footnote w:id="1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fldChar w:fldCharType="begin"/>
      </w:r>
      <w:r>
        <w:rPr>
          <w:lang w:val="sk-SK"/>
        </w:rPr>
        <w:instrText xml:space="preserve"> HYPERLINK "https://ec.europa.eu/eurostat/web/products-eurostat-news/w/ddn-20230309-2" </w:instrText>
      </w:r>
      <w:r>
        <w:fldChar w:fldCharType="separate"/>
      </w:r>
      <w:r>
        <w:rPr>
          <w:rStyle w:val="Hyperlink"/>
          <w:sz w:val="24"/>
          <w:lang w:val="sk-SK"/>
        </w:rPr>
        <w:t>https://ec.europa.eu/eurostat/web/products-eurostat-news/w/ddn-20230309-2</w:t>
      </w:r>
      <w:r>
        <w:rPr>
          <w:rStyle w:val="Hyperlink"/>
          <w:sz w:val="24"/>
          <w:lang w:val="sk-SK"/>
        </w:rPr>
        <w:fldChar w:fldCharType="end"/>
      </w:r>
    </w:p>
  </w:footnote>
  <w:footnote w:id="1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2016/679 z 27. apríla 2016 o ochrane fyzických osôb pri spracúvaní osobných údajov a o voľnom pohybe takýchto údajov, ktorým sa zrušuje smernica 95/46/ES (Ú. v. EÚ L 119, 4.5.2016, s. 1).</w:t>
      </w:r>
    </w:p>
  </w:footnote>
  <w:footnote w:id="1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2010/13/EÚ z 10. marca 2010 o koordinácii niektorých ustanovení upravených zákonom, iným právnym predpisom alebo správnym opatrením v členských štátoch týkajúcich sa poskytovania audiovizuálnych mediálnych služieb (smernica o audiovizuálnych mediálnych službách) (Ú. v. EÚ L 95, 15.4.2010, s. 1).</w:t>
      </w:r>
    </w:p>
  </w:footnote>
  <w:footnote w:id="1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Článok 8 nariadenia (EÚ) 2021/818, ktorým sa zriaďuje program Kreatívna Európa (2021 – 2027).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5/2023"/>
    <w:docVar w:name="dvlangue" w:val="SK"/>
    <w:docVar w:name="dvnumam" w:val="0"/>
    <w:docVar w:name="dvpe" w:val="750.020"/>
    <w:docVar w:name="dvrapporteur" w:val="Spravodajca: "/>
    <w:docVar w:name="dvtitre" w:val="Uznesenie Európskeho parlamentu z xx. januara 2024 o vykonávaní programu Kreatívna Európa na roky 2021 – 2027(2023/2003(INI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E908D-0888-4004-9490-3D4637D8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 reference number,Times 10 Point,Exposant 3 Point,Ref,de nota al pie,note TESI,SUPERS,EN Footnote Reference,EN Footnote text,Footnote Reference Number,Footnote Reference_LVL6,Footnote Reference_LVL61,R,Footnote"/>
    <w:uiPriority w:val="99"/>
    <w:qFormat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9E7D5-C1D4-4742-8268-7D14F4320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4515</Words>
  <Characters>28287</Characters>
  <Application>Microsoft Office Word</Application>
  <DocSecurity>0</DocSecurity>
  <Lines>235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2024-01-16T10:38:00Z</dcterms:created>
  <dcterms:modified xsi:type="dcterms:W3CDTF">2024-01-16T10:38:00Z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A9-0425/2023</vt:lpwstr>
  </property>
  <property fmtid="{D5CDD505-2E9C-101B-9397-08002B2CF9AE}" pid="4" name="&lt;Type&gt;">
    <vt:lpwstr>RR</vt:lpwstr>
  </property>
</Properties>
</file>