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10A8" w:rsidTr="0010095E">
        <w:trPr>
          <w:trHeight w:hRule="exact" w:val="1418"/>
        </w:trPr>
        <w:tc>
          <w:tcPr>
            <w:tcW w:w="6804" w:type="dxa"/>
            <w:shd w:val="clear" w:color="auto" w:fill="auto"/>
            <w:vAlign w:val="center"/>
          </w:tcPr>
          <w:p w:rsidR="00751A4A" w:rsidRPr="00AD10A8" w:rsidRDefault="007111C8" w:rsidP="0010095E">
            <w:pPr>
              <w:pStyle w:val="EPName"/>
            </w:pPr>
            <w:r w:rsidRPr="00AD10A8">
              <w:t>Europaparlamentet</w:t>
            </w:r>
          </w:p>
          <w:p w:rsidR="00751A4A" w:rsidRPr="00AD10A8" w:rsidRDefault="00817416" w:rsidP="00756632">
            <w:pPr>
              <w:pStyle w:val="EPTerm"/>
              <w:rPr>
                <w:rStyle w:val="HideTWBExt"/>
                <w:noProof w:val="0"/>
                <w:vanish w:val="0"/>
                <w:color w:val="auto"/>
              </w:rPr>
            </w:pPr>
            <w:r w:rsidRPr="00AD10A8">
              <w:t>2019-2024</w:t>
            </w:r>
          </w:p>
        </w:tc>
        <w:tc>
          <w:tcPr>
            <w:tcW w:w="2268" w:type="dxa"/>
            <w:shd w:val="clear" w:color="auto" w:fill="auto"/>
          </w:tcPr>
          <w:p w:rsidR="00751A4A" w:rsidRPr="00AD10A8" w:rsidRDefault="00187494" w:rsidP="0010095E">
            <w:pPr>
              <w:pStyle w:val="EPLogo"/>
            </w:pPr>
            <w:r w:rsidRPr="00AD10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10A8" w:rsidRDefault="00D058B8" w:rsidP="004C5D52">
      <w:pPr>
        <w:pStyle w:val="LineTop"/>
      </w:pPr>
    </w:p>
    <w:p w:rsidR="00680577" w:rsidRPr="00AD10A8" w:rsidRDefault="007111C8" w:rsidP="00680577">
      <w:pPr>
        <w:pStyle w:val="EPBodyTA1"/>
      </w:pPr>
      <w:r w:rsidRPr="00AD10A8">
        <w:t>ANTAGNA TEXTER</w:t>
      </w:r>
    </w:p>
    <w:p w:rsidR="00D058B8" w:rsidRPr="00AD10A8" w:rsidRDefault="00D058B8" w:rsidP="00D058B8">
      <w:pPr>
        <w:pStyle w:val="LineBottom"/>
      </w:pPr>
    </w:p>
    <w:p w:rsidR="007111C8" w:rsidRPr="00AD10A8" w:rsidRDefault="007111C8" w:rsidP="007111C8">
      <w:pPr>
        <w:pStyle w:val="ATHeading1"/>
      </w:pPr>
      <w:bookmarkStart w:id="0" w:name="TANumber"/>
      <w:r w:rsidRPr="00AD10A8">
        <w:t>P9_TA(2024)000</w:t>
      </w:r>
      <w:r w:rsidR="00BD2EF1">
        <w:t>8</w:t>
      </w:r>
      <w:bookmarkEnd w:id="0"/>
    </w:p>
    <w:p w:rsidR="007111C8" w:rsidRPr="00AD10A8" w:rsidRDefault="007111C8" w:rsidP="007111C8">
      <w:pPr>
        <w:pStyle w:val="ATHeading2"/>
      </w:pPr>
      <w:bookmarkStart w:id="1" w:name="title"/>
      <w:r w:rsidRPr="00AD10A8">
        <w:t>Genomförandet av programmet Kreativa Europa 2021–2027</w:t>
      </w:r>
      <w:bookmarkEnd w:id="1"/>
    </w:p>
    <w:p w:rsidR="007111C8" w:rsidRPr="00AD10A8" w:rsidRDefault="007111C8" w:rsidP="007111C8">
      <w:pPr>
        <w:rPr>
          <w:i/>
          <w:vanish/>
        </w:rPr>
      </w:pPr>
      <w:r w:rsidRPr="00AD10A8">
        <w:rPr>
          <w:i/>
        </w:rPr>
        <w:fldChar w:fldCharType="begin"/>
      </w:r>
      <w:r w:rsidRPr="00AD10A8">
        <w:rPr>
          <w:i/>
        </w:rPr>
        <w:instrText xml:space="preserve"> TC"(</w:instrText>
      </w:r>
      <w:bookmarkStart w:id="2" w:name="DocNumber"/>
      <w:r w:rsidRPr="00AD10A8">
        <w:rPr>
          <w:i/>
        </w:rPr>
        <w:instrText>A9-0425/2023</w:instrText>
      </w:r>
      <w:bookmarkEnd w:id="2"/>
      <w:r w:rsidRPr="00AD10A8">
        <w:rPr>
          <w:i/>
        </w:rPr>
        <w:instrText xml:space="preserve"> - Föredragande: Massimiliano Smeriglio)"\l3 \n&gt; \* MERGEFORMAT </w:instrText>
      </w:r>
      <w:r w:rsidRPr="00AD10A8">
        <w:rPr>
          <w:i/>
        </w:rPr>
        <w:fldChar w:fldCharType="end"/>
      </w:r>
    </w:p>
    <w:p w:rsidR="007111C8" w:rsidRPr="00AD10A8" w:rsidRDefault="007111C8" w:rsidP="007111C8">
      <w:pPr>
        <w:rPr>
          <w:vanish/>
        </w:rPr>
      </w:pPr>
      <w:bookmarkStart w:id="3" w:name="Commission"/>
      <w:r w:rsidRPr="00AD10A8">
        <w:rPr>
          <w:vanish/>
        </w:rPr>
        <w:t>Utskottet för kultur och utbildning</w:t>
      </w:r>
      <w:bookmarkEnd w:id="3"/>
    </w:p>
    <w:p w:rsidR="007111C8" w:rsidRPr="00AD10A8" w:rsidRDefault="007111C8" w:rsidP="007111C8">
      <w:pPr>
        <w:rPr>
          <w:vanish/>
        </w:rPr>
      </w:pPr>
      <w:bookmarkStart w:id="4" w:name="PE"/>
      <w:r w:rsidRPr="00AD10A8">
        <w:rPr>
          <w:vanish/>
        </w:rPr>
        <w:t>PE750.020</w:t>
      </w:r>
      <w:bookmarkEnd w:id="4"/>
    </w:p>
    <w:p w:rsidR="007111C8" w:rsidRPr="00AD10A8" w:rsidRDefault="007111C8" w:rsidP="007111C8">
      <w:pPr>
        <w:pStyle w:val="ATHeading3"/>
      </w:pPr>
      <w:bookmarkStart w:id="5" w:name="Sujet"/>
      <w:r w:rsidRPr="00AD10A8">
        <w:t xml:space="preserve">Europaparlamentets resolution av den </w:t>
      </w:r>
      <w:r w:rsidR="001B7373">
        <w:t>16</w:t>
      </w:r>
      <w:r w:rsidRPr="00AD10A8">
        <w:t xml:space="preserve"> </w:t>
      </w:r>
      <w:r w:rsidR="0066084C">
        <w:t>januari</w:t>
      </w:r>
      <w:r w:rsidRPr="00AD10A8">
        <w:t xml:space="preserve"> 2024 om genomförandet av programmet Kreativa Europa 2021–2027</w:t>
      </w:r>
      <w:bookmarkEnd w:id="5"/>
      <w:r w:rsidRPr="00AD10A8">
        <w:t xml:space="preserve"> </w:t>
      </w:r>
      <w:bookmarkStart w:id="6" w:name="References"/>
      <w:r w:rsidRPr="00AD10A8">
        <w:t>(2023/2003(INI))</w:t>
      </w:r>
      <w:bookmarkEnd w:id="6"/>
    </w:p>
    <w:p w:rsidR="008E6B6A" w:rsidRPr="00AD10A8" w:rsidRDefault="008E6B6A" w:rsidP="008E6B6A">
      <w:pPr>
        <w:pStyle w:val="EPComma"/>
        <w:widowControl/>
      </w:pPr>
      <w:bookmarkStart w:id="7" w:name="TextBodyBegin"/>
      <w:bookmarkEnd w:id="7"/>
      <w:r w:rsidRPr="00AD10A8">
        <w:rPr>
          <w:i/>
          <w:iCs/>
        </w:rPr>
        <w:t>Europaparlamentet utfärdar denna resolution</w:t>
      </w:r>
      <w:bookmarkStart w:id="8" w:name="_GoBack"/>
      <w:bookmarkEnd w:id="8"/>
    </w:p>
    <w:p w:rsidR="008E6B6A" w:rsidRPr="00AD10A8" w:rsidRDefault="008E6B6A" w:rsidP="008E6B6A">
      <w:pPr>
        <w:pStyle w:val="NormalHanging12a"/>
        <w:widowControl/>
      </w:pPr>
      <w:r w:rsidRPr="00AD10A8">
        <w:t>–</w:t>
      </w:r>
      <w:r w:rsidRPr="00AD10A8">
        <w:tab/>
        <w:t>med beaktande av fördraget om Europeiska unionens funktionssätt, särskilt artiklarna 167, 173.3 och 294.7,</w:t>
      </w:r>
    </w:p>
    <w:p w:rsidR="008E6B6A" w:rsidRPr="00AD10A8" w:rsidRDefault="008E6B6A" w:rsidP="008E6B6A">
      <w:pPr>
        <w:pStyle w:val="NormalHanging12a"/>
        <w:widowControl/>
      </w:pPr>
      <w:r w:rsidRPr="00AD10A8">
        <w:t>–</w:t>
      </w:r>
      <w:r w:rsidRPr="00AD10A8">
        <w:tab/>
        <w:t>med beaktande av Europaparlamentets och rådets förordning (EU) 2021/818 av den 20 maj 2021 om inrättande av programmet Kreativa Europa (2021–2027)</w:t>
      </w:r>
      <w:r w:rsidRPr="00AD10A8">
        <w:rPr>
          <w:rStyle w:val="FootnoteReference"/>
        </w:rPr>
        <w:footnoteReference w:id="1"/>
      </w:r>
      <w:r w:rsidRPr="00AD10A8">
        <w:t>,</w:t>
      </w:r>
    </w:p>
    <w:p w:rsidR="008E6B6A" w:rsidRPr="00AD10A8" w:rsidRDefault="008E6B6A" w:rsidP="008E6B6A">
      <w:pPr>
        <w:pStyle w:val="NormalHanging12a"/>
        <w:widowControl/>
      </w:pPr>
      <w:r w:rsidRPr="00AD10A8">
        <w:t>–</w:t>
      </w:r>
      <w:r w:rsidRPr="00AD10A8">
        <w:tab/>
        <w:t>med beaktande av Europaparlamentets och rådets förordning (EU) nr 1295/2013 av den 11 december 2013 om inrättande av programmet Kreativa Europa (2014–2020)</w:t>
      </w:r>
      <w:r w:rsidRPr="00AD10A8">
        <w:rPr>
          <w:rStyle w:val="FootnoteReference"/>
          <w:color w:val="000000"/>
          <w:szCs w:val="24"/>
        </w:rPr>
        <w:footnoteReference w:id="2"/>
      </w:r>
      <w:r w:rsidRPr="00AD10A8">
        <w:t>,</w:t>
      </w:r>
    </w:p>
    <w:p w:rsidR="008E6B6A" w:rsidRPr="00AD10A8" w:rsidRDefault="008E6B6A" w:rsidP="008E6B6A">
      <w:pPr>
        <w:pStyle w:val="NormalHanging12a"/>
        <w:widowControl/>
      </w:pPr>
      <w:r w:rsidRPr="00AD10A8">
        <w:t>–</w:t>
      </w:r>
      <w:r w:rsidRPr="00AD10A8">
        <w:tab/>
        <w:t>med beaktande av kommissionens förslag av den 5 maj 2018 om Europaparlamentets och rådets förordning om inrättande av programmet Kreativa Europa (2021–2027) och om upphävande av förordning (EU) nr 1295/2013 (COM(2018)0366),</w:t>
      </w:r>
    </w:p>
    <w:p w:rsidR="008E6B6A" w:rsidRPr="00AD10A8" w:rsidRDefault="008E6B6A" w:rsidP="008E6B6A">
      <w:pPr>
        <w:pStyle w:val="NormalHanging12a"/>
        <w:widowControl/>
      </w:pPr>
      <w:r w:rsidRPr="00AD10A8">
        <w:t>–</w:t>
      </w:r>
      <w:r w:rsidRPr="00AD10A8">
        <w:tab/>
        <w:t>med beaktande av sin ståndpunkt vid första behandlingen den 28 mars 2019 om förslaget till Europaparlamentets och rådets förordning om inrättande av programmet Kreativa Europa (2021–2027) och om upphävande av förordning (EU) nr 1295/2013</w:t>
      </w:r>
      <w:r w:rsidRPr="00AD10A8">
        <w:rPr>
          <w:rStyle w:val="FootnoteReference"/>
          <w:color w:val="000000"/>
        </w:rPr>
        <w:footnoteReference w:id="3"/>
      </w:r>
      <w:r w:rsidRPr="00AD10A8">
        <w:t>,</w:t>
      </w:r>
    </w:p>
    <w:p w:rsidR="008E6B6A" w:rsidRPr="00AD10A8" w:rsidRDefault="008E6B6A" w:rsidP="008E6B6A">
      <w:pPr>
        <w:pStyle w:val="NormalHanging12a"/>
        <w:widowControl/>
      </w:pPr>
      <w:r w:rsidRPr="00AD10A8">
        <w:t>–</w:t>
      </w:r>
      <w:r w:rsidRPr="00AD10A8">
        <w:tab/>
        <w:t>med beaktande av Europeiska ekonomiska och sociala kommitténs yttrande av den 12 december 2018 om förslaget till Europaparlamentets och rådets förordning om inrättande av programmet Kreativa Europa (2021–2027) och om upphävande av förordning (EU) nr 1295/2013</w:t>
      </w:r>
      <w:r w:rsidRPr="00AD10A8">
        <w:rPr>
          <w:rStyle w:val="FootnoteReference"/>
        </w:rPr>
        <w:footnoteReference w:id="4"/>
      </w:r>
      <w:r w:rsidRPr="00AD10A8">
        <w:t>,</w:t>
      </w:r>
    </w:p>
    <w:p w:rsidR="008E6B6A" w:rsidRPr="00AD10A8" w:rsidRDefault="008E6B6A" w:rsidP="008E6B6A">
      <w:pPr>
        <w:pStyle w:val="NormalHanging12a"/>
        <w:widowControl/>
      </w:pPr>
      <w:r w:rsidRPr="00AD10A8">
        <w:lastRenderedPageBreak/>
        <w:t>–</w:t>
      </w:r>
      <w:r w:rsidRPr="00AD10A8">
        <w:tab/>
        <w:t>med beaktande av Europeiska regionkommitténs yttrande av den 6 februari 2019 om Kreativa Europa och en ny europeisk agenda för kultur</w:t>
      </w:r>
      <w:r w:rsidRPr="00AD10A8">
        <w:rPr>
          <w:rStyle w:val="FootnoteReference"/>
          <w:color w:val="000000"/>
          <w:szCs w:val="24"/>
        </w:rPr>
        <w:footnoteReference w:id="5"/>
      </w:r>
      <w:r w:rsidRPr="00AD10A8">
        <w:t>,</w:t>
      </w:r>
    </w:p>
    <w:p w:rsidR="008E6B6A" w:rsidRPr="00AD10A8" w:rsidRDefault="008E6B6A" w:rsidP="008E6B6A">
      <w:pPr>
        <w:pStyle w:val="NormalHanging12a"/>
        <w:widowControl/>
      </w:pPr>
      <w:r w:rsidRPr="00AD10A8">
        <w:t>–</w:t>
      </w:r>
      <w:r w:rsidRPr="00AD10A8">
        <w:tab/>
        <w:t xml:space="preserve">med beaktande av kommissionens rapport av den 30 april 2018 </w:t>
      </w:r>
      <w:r w:rsidRPr="00AD10A8">
        <w:rPr>
          <w:i/>
          <w:iCs/>
        </w:rPr>
        <w:t>Halvtidsutvärdering av programmet Kreativa Europa (2014-2020)</w:t>
      </w:r>
      <w:r w:rsidRPr="00AD10A8">
        <w:t xml:space="preserve"> (COM(2018)0248),</w:t>
      </w:r>
    </w:p>
    <w:p w:rsidR="008E6B6A" w:rsidRPr="00AD10A8" w:rsidRDefault="008E6B6A" w:rsidP="008E6B6A">
      <w:pPr>
        <w:pStyle w:val="NormalHanging12a"/>
        <w:widowControl/>
      </w:pPr>
      <w:r w:rsidRPr="00AD10A8">
        <w:t>–</w:t>
      </w:r>
      <w:r w:rsidRPr="00AD10A8">
        <w:tab/>
        <w:t>med beaktande av kommissionens genomförandebeslut C(2023)3227 av den 5 juni 2023 om ändring av genomförandebeslut C(2021)3563 om finansieringen av programmet Kreativa Europa för 2021–2025 och antagandet av arbetsprogrammen för 2021, 2022 och 2023,</w:t>
      </w:r>
    </w:p>
    <w:p w:rsidR="008E6B6A" w:rsidRPr="00AD10A8" w:rsidRDefault="008E6B6A" w:rsidP="008E6B6A">
      <w:pPr>
        <w:pStyle w:val="NormalHanging12a"/>
        <w:widowControl/>
      </w:pPr>
      <w:r w:rsidRPr="00AD10A8">
        <w:t>–</w:t>
      </w:r>
      <w:r w:rsidRPr="00AD10A8">
        <w:tab/>
        <w:t>med beaktande av kommissionens genomförandebeslut C(2022)6138 av den 31 augusti 2022 om ändring av genomförandebeslut C(2021)3563 om finansieringen av programmet Kreativa Europa för 2021–2023 och antagandet av arbetsprogrammen för 2021 och 2022,</w:t>
      </w:r>
    </w:p>
    <w:p w:rsidR="008E6B6A" w:rsidRPr="00AD10A8" w:rsidRDefault="008E6B6A" w:rsidP="008E6B6A">
      <w:pPr>
        <w:pStyle w:val="NormalHanging12a"/>
        <w:widowControl/>
      </w:pPr>
      <w:r w:rsidRPr="00AD10A8">
        <w:t>–</w:t>
      </w:r>
      <w:r w:rsidRPr="00AD10A8">
        <w:tab/>
        <w:t>med beaktande av kommissionens genomförandebeslut C(2021)3563 av den 26 maj 2021 om antagande av arbetsprogrammet för genomförandet av programmet Kreativa Europa för 2021,</w:t>
      </w:r>
    </w:p>
    <w:p w:rsidR="008E6B6A" w:rsidRPr="00AD10A8" w:rsidRDefault="008E6B6A" w:rsidP="008E6B6A">
      <w:pPr>
        <w:pStyle w:val="NormalHanging12a"/>
        <w:widowControl/>
      </w:pPr>
      <w:r w:rsidRPr="00AD10A8">
        <w:t>–</w:t>
      </w:r>
      <w:r w:rsidRPr="00AD10A8">
        <w:tab/>
        <w:t>med beaktande av kommissionens årliga arbetsprogram för genomförandet av programmet Kreativa Europa 2022,</w:t>
      </w:r>
    </w:p>
    <w:p w:rsidR="008E6B6A" w:rsidRPr="00AD10A8" w:rsidRDefault="008E6B6A" w:rsidP="008E6B6A">
      <w:pPr>
        <w:pStyle w:val="NormalHanging12a"/>
        <w:widowControl/>
      </w:pPr>
      <w:r w:rsidRPr="00AD10A8">
        <w:t>–</w:t>
      </w:r>
      <w:r w:rsidRPr="00AD10A8">
        <w:tab/>
        <w:t>med beaktande av kommissionens årliga arbetsprogram för genomförandet av programmet Kreativa Europa 2021,</w:t>
      </w:r>
    </w:p>
    <w:p w:rsidR="008E6B6A" w:rsidRPr="00AD10A8" w:rsidRDefault="008E6B6A" w:rsidP="008E6B6A">
      <w:pPr>
        <w:pStyle w:val="NormalHanging12a"/>
        <w:widowControl/>
      </w:pPr>
      <w:r w:rsidRPr="00AD10A8">
        <w:t>–</w:t>
      </w:r>
      <w:r w:rsidRPr="00AD10A8">
        <w:tab/>
        <w:t xml:space="preserve">med beaktande av kommissionens meddelande av den 11 juli 2023 med titeln </w:t>
      </w:r>
      <w:r w:rsidRPr="00AD10A8">
        <w:rPr>
          <w:i/>
          <w:iCs/>
        </w:rPr>
        <w:t>Ett EU-initiativ om webb 4.0 och virtuella världar: ett försprång i nästa tekniska omställning</w:t>
      </w:r>
      <w:r w:rsidRPr="00AD10A8">
        <w:t xml:space="preserve"> (COM(2023)0442),</w:t>
      </w:r>
    </w:p>
    <w:p w:rsidR="008E6B6A" w:rsidRPr="00AD10A8" w:rsidRDefault="008E6B6A" w:rsidP="008E6B6A">
      <w:pPr>
        <w:pStyle w:val="NormalHanging12a"/>
        <w:widowControl/>
      </w:pPr>
      <w:r w:rsidRPr="00AD10A8">
        <w:t>–</w:t>
      </w:r>
      <w:r w:rsidRPr="00AD10A8">
        <w:tab/>
        <w:t xml:space="preserve">med beaktande av kommissionens meddelande av den 3 december 2020 </w:t>
      </w:r>
      <w:r w:rsidRPr="00AD10A8">
        <w:rPr>
          <w:i/>
          <w:iCs/>
        </w:rPr>
        <w:t>Europas medier i det digitala decenniet: En handlingsplan för att stödja återhämtning och omvandling</w:t>
      </w:r>
      <w:r w:rsidRPr="00AD10A8">
        <w:t xml:space="preserve"> (COM(2020)0784),</w:t>
      </w:r>
    </w:p>
    <w:p w:rsidR="008E6B6A" w:rsidRPr="00AD10A8" w:rsidRDefault="008E6B6A" w:rsidP="008E6B6A">
      <w:pPr>
        <w:pStyle w:val="NormalHanging12a"/>
        <w:widowControl/>
      </w:pPr>
      <w:r w:rsidRPr="00AD10A8">
        <w:t>–</w:t>
      </w:r>
      <w:r w:rsidRPr="00AD10A8">
        <w:tab/>
        <w:t xml:space="preserve">med beaktande av kommissionens meddelande av den 22 maj 2018 </w:t>
      </w:r>
      <w:r w:rsidRPr="00AD10A8">
        <w:rPr>
          <w:i/>
          <w:iCs/>
        </w:rPr>
        <w:t>En ny europeisk agenda för kultur</w:t>
      </w:r>
      <w:r w:rsidRPr="00AD10A8">
        <w:t xml:space="preserve"> (COM(2018)0267),</w:t>
      </w:r>
    </w:p>
    <w:p w:rsidR="008E6B6A" w:rsidRPr="00AD10A8" w:rsidRDefault="008E6B6A" w:rsidP="008E6B6A">
      <w:pPr>
        <w:pStyle w:val="NormalHanging12a"/>
        <w:widowControl/>
      </w:pPr>
      <w:r w:rsidRPr="00AD10A8">
        <w:t>–</w:t>
      </w:r>
      <w:r w:rsidRPr="00AD10A8">
        <w:tab/>
        <w:t>med beaktande av rådets resolution av den 7 december 2022 om EU:s arbetsplan för kultur 2023–2026</w:t>
      </w:r>
      <w:r w:rsidRPr="00AD10A8">
        <w:rPr>
          <w:rStyle w:val="FootnoteReference"/>
          <w:color w:val="000000"/>
          <w:szCs w:val="24"/>
        </w:rPr>
        <w:footnoteReference w:id="6"/>
      </w:r>
      <w:r w:rsidRPr="00AD10A8">
        <w:t>,</w:t>
      </w:r>
    </w:p>
    <w:p w:rsidR="008E6B6A" w:rsidRPr="00AD10A8" w:rsidRDefault="008E6B6A" w:rsidP="008E6B6A">
      <w:pPr>
        <w:pStyle w:val="NormalHanging12a"/>
        <w:widowControl/>
      </w:pPr>
      <w:r w:rsidRPr="00AD10A8">
        <w:t>–</w:t>
      </w:r>
      <w:r w:rsidRPr="00AD10A8">
        <w:tab/>
        <w:t>med beaktande av sin resolution av den 14 september 2023 om framtiden för den europeiska boksektorn</w:t>
      </w:r>
      <w:r w:rsidRPr="00AD10A8">
        <w:rPr>
          <w:rStyle w:val="FootnoteReference"/>
        </w:rPr>
        <w:footnoteReference w:id="7"/>
      </w:r>
      <w:r w:rsidRPr="00AD10A8">
        <w:t>,</w:t>
      </w:r>
    </w:p>
    <w:p w:rsidR="008E6B6A" w:rsidRPr="00AD10A8" w:rsidRDefault="008E6B6A" w:rsidP="008E6B6A">
      <w:pPr>
        <w:pStyle w:val="NormalHanging12a"/>
        <w:widowControl/>
      </w:pPr>
      <w:r w:rsidRPr="00AD10A8">
        <w:t>–</w:t>
      </w:r>
      <w:r w:rsidRPr="00AD10A8">
        <w:tab/>
        <w:t>med beaktande av sin resolution av den 14 december 2022 om genomförande av den nya europeiska agendan för kultur och EU-strategin för internationella kulturella förbindelser</w:t>
      </w:r>
      <w:r w:rsidRPr="00AD10A8">
        <w:rPr>
          <w:rStyle w:val="FootnoteReference"/>
          <w:color w:val="000000"/>
          <w:szCs w:val="24"/>
        </w:rPr>
        <w:footnoteReference w:id="8"/>
      </w:r>
      <w:r w:rsidRPr="00AD10A8">
        <w:t>,</w:t>
      </w:r>
    </w:p>
    <w:p w:rsidR="008E6B6A" w:rsidRPr="00AD10A8" w:rsidRDefault="008E6B6A" w:rsidP="008E6B6A">
      <w:pPr>
        <w:pStyle w:val="NormalHanging12a"/>
        <w:widowControl/>
      </w:pPr>
      <w:r w:rsidRPr="00AD10A8">
        <w:lastRenderedPageBreak/>
        <w:t>–</w:t>
      </w:r>
      <w:r w:rsidRPr="00AD10A8">
        <w:tab/>
        <w:t xml:space="preserve">med beaktande av sin resolution av den 20 oktober 2021 </w:t>
      </w:r>
      <w:r w:rsidRPr="00AD10A8">
        <w:rPr>
          <w:i/>
          <w:iCs/>
        </w:rPr>
        <w:t>Europas medier i det digitala decenniet: En handlingsplan för att stödja återhämtning och omvandling</w:t>
      </w:r>
      <w:r w:rsidRPr="00AD10A8">
        <w:rPr>
          <w:rStyle w:val="FootnoteReference"/>
          <w:color w:val="000000"/>
          <w:szCs w:val="24"/>
        </w:rPr>
        <w:footnoteReference w:id="9"/>
      </w:r>
      <w:r w:rsidRPr="00AD10A8">
        <w:t>,</w:t>
      </w:r>
    </w:p>
    <w:p w:rsidR="008E6B6A" w:rsidRPr="00AD10A8" w:rsidRDefault="008E6B6A" w:rsidP="008E6B6A">
      <w:pPr>
        <w:pStyle w:val="NormalHanging12a"/>
        <w:widowControl/>
      </w:pPr>
      <w:r w:rsidRPr="00AD10A8">
        <w:t>–</w:t>
      </w:r>
      <w:r w:rsidRPr="00AD10A8">
        <w:tab/>
        <w:t>med beaktande av sin resolution av den 17 april 2020 om en samordnad EU-insats mot covid-19-pandemin och dess konsekvenser</w:t>
      </w:r>
      <w:r w:rsidRPr="00AD10A8">
        <w:rPr>
          <w:rStyle w:val="FootnoteReference"/>
          <w:color w:val="000000"/>
          <w:szCs w:val="24"/>
        </w:rPr>
        <w:footnoteReference w:id="10"/>
      </w:r>
      <w:r w:rsidRPr="00AD10A8">
        <w:t>,</w:t>
      </w:r>
    </w:p>
    <w:p w:rsidR="008E6B6A" w:rsidRPr="00AD10A8" w:rsidRDefault="008E6B6A" w:rsidP="008E6B6A">
      <w:pPr>
        <w:pStyle w:val="NormalHanging12a"/>
        <w:widowControl/>
      </w:pPr>
      <w:r w:rsidRPr="00AD10A8">
        <w:t>–</w:t>
      </w:r>
      <w:r w:rsidRPr="00AD10A8">
        <w:tab/>
        <w:t>med beaktande av sin resolution av den 15 september 2020 om effektiva åtgärder för att göra Erasmus+, Kreativa Europa och Europeiska solidaritetskåren grönare</w:t>
      </w:r>
      <w:r w:rsidRPr="00AD10A8">
        <w:rPr>
          <w:rStyle w:val="FootnoteReference"/>
        </w:rPr>
        <w:footnoteReference w:id="11"/>
      </w:r>
      <w:r w:rsidRPr="00AD10A8">
        <w:t>,</w:t>
      </w:r>
    </w:p>
    <w:p w:rsidR="008E6B6A" w:rsidRPr="00AD10A8" w:rsidRDefault="008E6B6A" w:rsidP="008E6B6A">
      <w:pPr>
        <w:pStyle w:val="NormalHanging12a"/>
        <w:widowControl/>
      </w:pPr>
      <w:r w:rsidRPr="00AD10A8">
        <w:t>–</w:t>
      </w:r>
      <w:r w:rsidRPr="00AD10A8">
        <w:tab/>
        <w:t>med beaktande av sin resolution av den 17 september 2020 om kulturell återhämtning i Europa</w:t>
      </w:r>
      <w:r w:rsidRPr="00AD10A8">
        <w:rPr>
          <w:rStyle w:val="FootnoteReference"/>
        </w:rPr>
        <w:footnoteReference w:id="12"/>
      </w:r>
      <w:r w:rsidRPr="00AD10A8">
        <w:t xml:space="preserve">, </w:t>
      </w:r>
    </w:p>
    <w:p w:rsidR="008E6B6A" w:rsidRPr="00AD10A8" w:rsidRDefault="008E6B6A" w:rsidP="008E6B6A">
      <w:pPr>
        <w:pStyle w:val="NormalHanging12a"/>
        <w:widowControl/>
      </w:pPr>
      <w:r w:rsidRPr="00AD10A8">
        <w:t>–</w:t>
      </w:r>
      <w:r w:rsidRPr="00AD10A8">
        <w:tab/>
        <w:t>med beaktande av artikel 54 i arbetsordningen och artikel 1.1 e och bilaga 3 i talmanskonferensens beslut av den 12 december 2002 om förfarandet för beviljande av tillstånd att utarbeta initiativbetänkanden,</w:t>
      </w:r>
    </w:p>
    <w:p w:rsidR="008E6B6A" w:rsidRPr="00AD10A8" w:rsidRDefault="008E6B6A" w:rsidP="008E6B6A">
      <w:pPr>
        <w:pStyle w:val="NormalHanging12a"/>
        <w:widowControl/>
      </w:pPr>
      <w:r w:rsidRPr="00AD10A8">
        <w:t>–</w:t>
      </w:r>
      <w:r w:rsidRPr="00AD10A8">
        <w:tab/>
        <w:t>med beaktande av betänkandet från utskottet för kultur och utbildning (A9-0425/2023), och av följande skäl:</w:t>
      </w:r>
    </w:p>
    <w:p w:rsidR="008E6B6A" w:rsidRPr="00AD10A8" w:rsidRDefault="008E6B6A" w:rsidP="008E6B6A">
      <w:pPr>
        <w:pStyle w:val="NormalHanging12a"/>
        <w:widowControl/>
        <w:rPr>
          <w:rFonts w:eastAsiaTheme="minorHAnsi"/>
        </w:rPr>
      </w:pPr>
      <w:r w:rsidRPr="00AD10A8">
        <w:t>A.</w:t>
      </w:r>
      <w:r w:rsidRPr="00AD10A8">
        <w:tab/>
        <w:t>De insamlade uppgifterna bekräftar de kulturella och kreativa sektorernas stora intresse för programmet. Högre medfinansieringsgrader för olika åtgärder inom programområdena Kultur och Media har visat sig vara till nytta för att stödja de kulturella och kreativa ekosystemen och har även skapat bättre chanser för mindre projekt, särskilt efter pandemin.</w:t>
      </w:r>
    </w:p>
    <w:p w:rsidR="008E6B6A" w:rsidRPr="00AD10A8" w:rsidRDefault="008E6B6A" w:rsidP="008E6B6A">
      <w:pPr>
        <w:pStyle w:val="NormalHanging12a"/>
        <w:widowControl/>
        <w:rPr>
          <w:rFonts w:eastAsiaTheme="minorHAnsi"/>
        </w:rPr>
      </w:pPr>
      <w:r w:rsidRPr="00AD10A8">
        <w:t>B.</w:t>
      </w:r>
      <w:r w:rsidRPr="00AD10A8">
        <w:tab/>
        <w:t>Programmet Kreativa Europa 2021–2027 uppvisar en total budgetökning på omkring 68 % jämfört med dess föregångare. Denna ökning tappar avsevärt i värde på grund av den ständigt ökande inflationstakten</w:t>
      </w:r>
      <w:r w:rsidRPr="00AD10A8">
        <w:rPr>
          <w:rStyle w:val="FootnoteReference"/>
          <w:rFonts w:eastAsiaTheme="minorHAnsi"/>
          <w:lang w:eastAsia="en-US"/>
        </w:rPr>
        <w:footnoteReference w:id="13"/>
      </w:r>
      <w:r w:rsidRPr="00AD10A8">
        <w:t xml:space="preserve"> och tillhörande energikostnader. Den totala budgeten har tidigarelagts med en tredjedel av det finansiella anslaget för 2021 och 2022 för att bland annat ta itu med följderna av covid-19-pandemin.</w:t>
      </w:r>
    </w:p>
    <w:p w:rsidR="008E6B6A" w:rsidRPr="00AD10A8" w:rsidRDefault="008E6B6A" w:rsidP="008E6B6A">
      <w:pPr>
        <w:pStyle w:val="NormalHanging12a"/>
        <w:widowControl/>
        <w:rPr>
          <w:rFonts w:eastAsiaTheme="minorHAnsi"/>
        </w:rPr>
      </w:pPr>
      <w:r w:rsidRPr="00AD10A8">
        <w:t>C.</w:t>
      </w:r>
      <w:r w:rsidRPr="00AD10A8">
        <w:tab/>
        <w:t>Kreativa Europa är det enda programmet som endast ger stöd till alla kulturella och kreativa sektorer med verksamhet grundad på kulturella och konstnärliga värden, särskilt genom att stödja kreatörer och konstnärer, såsom författare och artister, utöver småskaliga projekt.</w:t>
      </w:r>
    </w:p>
    <w:p w:rsidR="008E6B6A" w:rsidRPr="00AD10A8" w:rsidRDefault="008E6B6A" w:rsidP="008E6B6A">
      <w:pPr>
        <w:pStyle w:val="NormalHanging12a"/>
        <w:widowControl/>
        <w:rPr>
          <w:rFonts w:eastAsiaTheme="minorHAnsi"/>
        </w:rPr>
      </w:pPr>
      <w:r w:rsidRPr="00AD10A8">
        <w:t>D.</w:t>
      </w:r>
      <w:r w:rsidRPr="00AD10A8">
        <w:tab/>
        <w:t>Programmet lyfter fram kulturens inneboende och konstnärliga värde, som bör fortsätta att utgöra ett nav för programmet, och bejakar samtidigt på jämbördig fot kulturens bredare bidrag till innovation och tillväxt. Som ett EU-finansierat program bör Kreativa Europa bidra till genomförandet av principerna i den europeiska pelaren för sociala rättigheter samt främja god sed och rättvisa arbetsvillkor i de kulturella och kreativa sektorerna.</w:t>
      </w:r>
    </w:p>
    <w:p w:rsidR="008E6B6A" w:rsidRPr="00AD10A8" w:rsidRDefault="008E6B6A" w:rsidP="008E6B6A">
      <w:pPr>
        <w:pStyle w:val="NormalHanging12a"/>
        <w:widowControl/>
        <w:rPr>
          <w:rFonts w:eastAsiaTheme="minorHAnsi"/>
        </w:rPr>
      </w:pPr>
      <w:r w:rsidRPr="00AD10A8">
        <w:t>E.</w:t>
      </w:r>
      <w:r w:rsidRPr="00AD10A8">
        <w:tab/>
        <w:t xml:space="preserve">En av programmets viktigaste nyheter är att det integrerar de övergripande prioriteringarna inkludering, mångfald, särskilt könsbalans, och miljöanpassning. I arbetsprogrammen för 2021 och 2022 ägnas särskild uppmärksamhet åt att främja social </w:t>
      </w:r>
      <w:r w:rsidRPr="00AD10A8">
        <w:lastRenderedPageBreak/>
        <w:t>inkludering och jämställdhet. Genomförandet av programmet bör säkerställa ett så brett kulturellt deltagande som möjligt i syfte att inkludera exempelvis personer med funktionsnedsättning och personer från missgynnade miljöer.</w:t>
      </w:r>
    </w:p>
    <w:p w:rsidR="008E6B6A" w:rsidRPr="00AD10A8" w:rsidRDefault="008E6B6A" w:rsidP="008E6B6A">
      <w:pPr>
        <w:pStyle w:val="NormalHanging12a"/>
        <w:widowControl/>
        <w:rPr>
          <w:rFonts w:eastAsiaTheme="minorHAnsi"/>
        </w:rPr>
      </w:pPr>
      <w:r w:rsidRPr="00AD10A8">
        <w:t>F.</w:t>
      </w:r>
      <w:r w:rsidRPr="00AD10A8">
        <w:tab/>
        <w:t>Programmet syftar till att stödja den digitala omställningen i de kulturella och kreativa sektorerna, då tekniken har förändrat hur dessa sektorer skapar, producerar och sprider innehåll i grunden. Digitaliseringen kan möjliggöra ett ökat kulturellt deltagande, men den kan också ge upphov till andra utmaningar än under den analoga tidsåldern.</w:t>
      </w:r>
    </w:p>
    <w:p w:rsidR="008E6B6A" w:rsidRPr="00AD10A8" w:rsidRDefault="008E6B6A" w:rsidP="008E6B6A">
      <w:pPr>
        <w:pStyle w:val="NormalHanging12a"/>
        <w:widowControl/>
        <w:rPr>
          <w:rFonts w:eastAsiaTheme="minorHAnsi"/>
        </w:rPr>
      </w:pPr>
      <w:r w:rsidRPr="00AD10A8">
        <w:t>G.</w:t>
      </w:r>
      <w:r w:rsidRPr="00AD10A8">
        <w:tab/>
        <w:t>De administrativa förvaltningsförfarandena i programmet Kreativa Europa (ansökan, utvärdering och rapportering) anses av ett stort antal stödmottagare och potentiella stödmottagare fortfarande vara mycket tidsödande och betungande, trots vissa framsteg när det gäller förenkling.</w:t>
      </w:r>
    </w:p>
    <w:p w:rsidR="008E6B6A" w:rsidRPr="00AD10A8" w:rsidRDefault="008E6B6A" w:rsidP="008E6B6A">
      <w:pPr>
        <w:pStyle w:val="NormalHanging12a"/>
        <w:widowControl/>
        <w:rPr>
          <w:rFonts w:eastAsiaTheme="minorHAnsi"/>
        </w:rPr>
      </w:pPr>
      <w:r w:rsidRPr="00AD10A8">
        <w:t>H.</w:t>
      </w:r>
      <w:r w:rsidRPr="00AD10A8">
        <w:tab/>
        <w:t>Betungande administrativa förvaltningsförfaranden avskräcker ofta mindre erfarna sökande, till exempel unga kreatörer, och små organisationer från att delta, särskilt sådana som kommer från missgynnade områden. Ansökningsförfarandet måste förenklas och förbättras, främst på grund av det ökade antalet steg i förfarandet och ett föga användarvänligt gränssnitt som eventuellt inte är kompatibelt med tillämpningar som används av många.</w:t>
      </w:r>
    </w:p>
    <w:p w:rsidR="008E6B6A" w:rsidRPr="00AD10A8" w:rsidRDefault="008E6B6A" w:rsidP="008E6B6A">
      <w:pPr>
        <w:pStyle w:val="NormalHanging12a"/>
        <w:widowControl/>
        <w:rPr>
          <w:rFonts w:eastAsiaTheme="minorHAnsi"/>
        </w:rPr>
      </w:pPr>
      <w:r w:rsidRPr="00AD10A8">
        <w:t>I.</w:t>
      </w:r>
      <w:r w:rsidRPr="00AD10A8">
        <w:tab/>
        <w:t>Programplattformen inbegriper ett komplext rapporteringsförfarande som är svårnavigerat och som inte utformats för den typ av projekt finansieras via programmet.</w:t>
      </w:r>
    </w:p>
    <w:p w:rsidR="008E6B6A" w:rsidRPr="00AD10A8" w:rsidRDefault="008E6B6A" w:rsidP="008E6B6A">
      <w:pPr>
        <w:pStyle w:val="NormalHanging12a"/>
        <w:widowControl/>
      </w:pPr>
      <w:r w:rsidRPr="00AD10A8">
        <w:t>J.</w:t>
      </w:r>
      <w:r w:rsidRPr="00AD10A8">
        <w:tab/>
        <w:t>Programområdet Kultur främjar nätverkande i kreativa gemenskaper och främjar gränsöverskridande samarbete, med särskilt fokus på samarbetsprojekt. Under de två första åren av genomförandet framstod samarbetsprojektsystemet som det mest populära inom ramen för programområdet Kultur, då det gav stöd till 291 projekt. Kommissionen bör överväga att utöka programområdet Kulturs utåtriktade verksamhet för att öka deltagandet från alla kulturella och kreativa samfund, även de som finns i randområden och landsbygdsområden.</w:t>
      </w:r>
    </w:p>
    <w:p w:rsidR="008E6B6A" w:rsidRPr="00AD10A8" w:rsidRDefault="008E6B6A" w:rsidP="008E6B6A">
      <w:pPr>
        <w:pStyle w:val="NormalHanging12a"/>
        <w:widowControl/>
      </w:pPr>
      <w:r w:rsidRPr="00AD10A8">
        <w:t>K.</w:t>
      </w:r>
      <w:r w:rsidRPr="00AD10A8">
        <w:tab/>
        <w:t>Programområdet Media spelar en viktig roll för att främja tillväxt och motståndskraft inom den audiovisuella sektorn. Det har lockat till sig 2 124 sökande under tvåårsperioden 2021–2022, med en genomsnittlig framgångsgrad på 66 %.</w:t>
      </w:r>
    </w:p>
    <w:p w:rsidR="008E6B6A" w:rsidRPr="00AD10A8" w:rsidRDefault="008E6B6A" w:rsidP="008E6B6A">
      <w:pPr>
        <w:pStyle w:val="NormalHanging12a"/>
        <w:widowControl/>
        <w:rPr>
          <w:rFonts w:eastAsiaTheme="minorHAnsi"/>
        </w:rPr>
      </w:pPr>
      <w:r w:rsidRPr="00AD10A8">
        <w:t>L.</w:t>
      </w:r>
      <w:r w:rsidRPr="00AD10A8">
        <w:tab/>
        <w:t>Den förberedande åtgärden ”Europeiskt skrivande", som understöds sedan 2021, har utvecklats i syfte att stödja upphovsmän, särskilt författare, i deras arbete med att utforma och utveckla högkvalitativa fiktionsserier som kan färdas över gränserna och nå en ny publik.</w:t>
      </w:r>
    </w:p>
    <w:p w:rsidR="008E6B6A" w:rsidRPr="00AD10A8" w:rsidRDefault="008E6B6A" w:rsidP="008E6B6A">
      <w:pPr>
        <w:pStyle w:val="NormalHanging12a"/>
        <w:widowControl/>
        <w:rPr>
          <w:rFonts w:eastAsiaTheme="minorHAnsi"/>
        </w:rPr>
      </w:pPr>
      <w:r w:rsidRPr="00AD10A8">
        <w:t>M.</w:t>
      </w:r>
      <w:r w:rsidRPr="00AD10A8">
        <w:tab/>
        <w:t>Det sektorsövergripande programområdet innehåller ett större antal nyheter som återspeglar nya mål. De övergripande åtgärder som stöder nyhetsmediesektorn utgör ett helt nytt fokus i programmet Kreativa Europa.</w:t>
      </w:r>
    </w:p>
    <w:p w:rsidR="008E6B6A" w:rsidRPr="00AD10A8" w:rsidRDefault="008E6B6A" w:rsidP="008E6B6A">
      <w:pPr>
        <w:pStyle w:val="NormalHanging12a"/>
        <w:widowControl/>
      </w:pPr>
      <w:r w:rsidRPr="00AD10A8">
        <w:t>N.</w:t>
      </w:r>
      <w:r w:rsidRPr="00AD10A8">
        <w:tab/>
        <w:t>Att öka rörligheten inom Europas kulturella och kreativa sektorer är ett specifikt programmål som eftersträvas genom ett särskilt nytt system inom ramen för programområdet Kultur.</w:t>
      </w:r>
    </w:p>
    <w:p w:rsidR="008E6B6A" w:rsidRPr="00AD10A8" w:rsidRDefault="008E6B6A" w:rsidP="008E6B6A">
      <w:pPr>
        <w:pStyle w:val="NormalHanging12a"/>
        <w:widowControl/>
        <w:rPr>
          <w:rFonts w:eastAsiaTheme="minorHAnsi"/>
        </w:rPr>
      </w:pPr>
      <w:r w:rsidRPr="00AD10A8">
        <w:t>O.</w:t>
      </w:r>
      <w:r w:rsidRPr="00AD10A8">
        <w:tab/>
        <w:t xml:space="preserve">Culture Moves Europe är EU:s största utbytesprogram för de kulturella och kreativa sektorerna och hade lockat till sig runt 660 ansökningar i mitten av 2023. Runt 85 % av ansökningarna kommer från sektorer såsom bildkonst, scenkonst och musik. </w:t>
      </w:r>
    </w:p>
    <w:p w:rsidR="008E6B6A" w:rsidRPr="00AD10A8" w:rsidRDefault="008E6B6A" w:rsidP="008E6B6A">
      <w:pPr>
        <w:pStyle w:val="NormalHanging12a"/>
        <w:widowControl/>
      </w:pPr>
      <w:r w:rsidRPr="00AD10A8">
        <w:lastRenderedPageBreak/>
        <w:t>P.</w:t>
      </w:r>
      <w:r w:rsidRPr="00AD10A8">
        <w:tab/>
        <w:t>Programmet tar fasta på musikbranschens betydelse som väsentlig del av Europas kulturella mångfald, som kan dra nytta av det horisontella upplägget inom programområdet Kultur. Under perioden 2021–2022 avsatte initiativet Music Moves Europe 5 miljoner euro åt att stärka konkurrenskraften, innovationen och mångfalden i den europeiska musikbranschen.</w:t>
      </w:r>
    </w:p>
    <w:p w:rsidR="008E6B6A" w:rsidRPr="00AD10A8" w:rsidRDefault="008E6B6A" w:rsidP="008E6B6A">
      <w:pPr>
        <w:pStyle w:val="NormalHanging12a"/>
        <w:widowControl/>
      </w:pPr>
      <w:r w:rsidRPr="00AD10A8">
        <w:t>Q.</w:t>
      </w:r>
      <w:r w:rsidRPr="00AD10A8">
        <w:tab/>
        <w:t>Åtgärden litterär översättning spelar en unik roll för att marknadsföra författare över gränserna, nå ut till en ny publik och bidra till ett kulturellt och språkligt mer diversifierat Europa.</w:t>
      </w:r>
    </w:p>
    <w:p w:rsidR="008E6B6A" w:rsidRPr="00AD10A8" w:rsidRDefault="008E6B6A" w:rsidP="008E6B6A">
      <w:pPr>
        <w:pStyle w:val="NormalHanging12a"/>
        <w:widowControl/>
      </w:pPr>
      <w:r w:rsidRPr="00AD10A8">
        <w:t>R.</w:t>
      </w:r>
      <w:r w:rsidRPr="00AD10A8">
        <w:tab/>
        <w:t>Källan till offentligt stöd för det audiovisuella ekosystemet i Europa kommer huvudsakligen från nationell nivå och programområdet Media kompletterar de nationella systemen genom att stödja projekt med långvariga effekter.</w:t>
      </w:r>
    </w:p>
    <w:p w:rsidR="008E6B6A" w:rsidRPr="00AD10A8" w:rsidRDefault="008E6B6A" w:rsidP="008E6B6A">
      <w:pPr>
        <w:pStyle w:val="NormalHanging12a"/>
        <w:widowControl/>
        <w:rPr>
          <w:rFonts w:eastAsiaTheme="minorHAnsi"/>
        </w:rPr>
      </w:pPr>
      <w:r w:rsidRPr="00AD10A8">
        <w:t>S.</w:t>
      </w:r>
      <w:r w:rsidRPr="00AD10A8">
        <w:tab/>
        <w:t>Kontaktkontoren för Kreativa Europa spelar en nyckelroll som mellanhänder mellan kommissionen, Europeiska genomförandeorganet för utbildning och kultur (Eacea), sökande och stödmottagare. Mer än 60 % av alla sökande under 2021–2022 kontaktade sitt lokala kontaktkontor innan de lämnade in en ansökan.</w:t>
      </w:r>
    </w:p>
    <w:p w:rsidR="008E6B6A" w:rsidRPr="00AD10A8" w:rsidRDefault="008E6B6A" w:rsidP="008E6B6A">
      <w:pPr>
        <w:pStyle w:val="NormalHanging12a"/>
        <w:widowControl/>
      </w:pPr>
      <w:r w:rsidRPr="00AD10A8">
        <w:t>T.</w:t>
      </w:r>
      <w:r w:rsidRPr="00AD10A8">
        <w:tab/>
        <w:t>Med tanke på vilken avgörande roll kontaktkontoren för Kreativa Europa har för att marknadsföra programmet och informera de kulturella och kreativa sektorerna om programmets alla aspekter måste samarbetet och utbytena mellan kommissionen – inbegripet Eacea – och Kreativa Europas kontaktkontor stärkas och omfatta utbyte av relevant information om kommande ansökningsomgångar.</w:t>
      </w:r>
    </w:p>
    <w:p w:rsidR="008E6B6A" w:rsidRPr="00AD10A8" w:rsidRDefault="008E6B6A" w:rsidP="008E6B6A">
      <w:pPr>
        <w:pStyle w:val="NormalHanging12a"/>
        <w:widowControl/>
      </w:pPr>
      <w:r w:rsidRPr="00AD10A8">
        <w:t>U.</w:t>
      </w:r>
      <w:r w:rsidRPr="00AD10A8">
        <w:tab/>
        <w:t>Programmet Kreativa Europa verkar inte bara för kulturell mångfald inom och utom Europa utan spelar också en strategisk roll i att främja den externa dimensionen i EU:s kulturförbindelser genom att främja partnerskap mellan olika aktörer i de kulturella och kreativa sektorerna med hjälp av en mellanmänsklig strategi.</w:t>
      </w:r>
    </w:p>
    <w:p w:rsidR="008E6B6A" w:rsidRPr="00AD10A8" w:rsidRDefault="008E6B6A" w:rsidP="008E6B6A">
      <w:pPr>
        <w:pStyle w:val="NormalHanging12a"/>
        <w:widowControl/>
      </w:pPr>
      <w:r w:rsidRPr="00AD10A8">
        <w:t>V.</w:t>
      </w:r>
      <w:r w:rsidRPr="00AD10A8">
        <w:tab/>
        <w:t>Programmet lyfter fram vikten av att skydda och marknadsföra konsthantverkssektorn, särskilt på kulturarvsområdet, och värdesätter dess avgörande roll både i fråga om att stödja stads- och landsbygdsbaserade ekonomier i hela Europa och att stärka den kulturella mångfalden.</w:t>
      </w:r>
    </w:p>
    <w:p w:rsidR="008E6B6A" w:rsidRPr="00AD10A8" w:rsidRDefault="008E6B6A" w:rsidP="008E6B6A">
      <w:pPr>
        <w:pStyle w:val="NormalHanging12a"/>
        <w:widowControl/>
      </w:pPr>
      <w:r w:rsidRPr="00AD10A8">
        <w:t>W.</w:t>
      </w:r>
      <w:r w:rsidRPr="00AD10A8">
        <w:tab/>
        <w:t xml:space="preserve">Spetskompetensstämpeln är ett nytt inslag i programmet Kreativa Europa 2021–2027 och infördes i syfte att stärka synergierna och göra det lättare att söka alternativ finansiering i händelse av budgetbegränsningar. </w:t>
      </w:r>
    </w:p>
    <w:p w:rsidR="008E6B6A" w:rsidRPr="00AD10A8" w:rsidRDefault="008E6B6A" w:rsidP="008E6B6A">
      <w:pPr>
        <w:pStyle w:val="NormalHanging12a"/>
        <w:widowControl/>
      </w:pPr>
      <w:r w:rsidRPr="00AD10A8">
        <w:t>X.</w:t>
      </w:r>
      <w:r w:rsidRPr="00AD10A8">
        <w:tab/>
        <w:t>Den europeiska kulturhuvudstaden som särskild åtgärd är ett prestigefyllt initiativ som intar en väletablerad plats i de globala kulturagendorna och som har lyft fram rikedomen och det unika i kulturers och städers mångfald sedan införandet 1985.</w:t>
      </w:r>
    </w:p>
    <w:p w:rsidR="008E6B6A" w:rsidRPr="00AD10A8" w:rsidRDefault="008E6B6A" w:rsidP="008E6B6A">
      <w:pPr>
        <w:pStyle w:val="NormalHanging12a"/>
        <w:widowControl/>
        <w:rPr>
          <w:rFonts w:eastAsiaTheme="minorHAnsi"/>
        </w:rPr>
      </w:pPr>
      <w:r w:rsidRPr="00AD10A8">
        <w:t>1.</w:t>
      </w:r>
      <w:r w:rsidRPr="00AD10A8">
        <w:tab/>
        <w:t>Europaparlamentet betonar att den nya generationen av programmet Kreativa Europa fortsätter att skapa ett betydande intresse inom de kulturella, kreativa och audiovisuella sektorerna, samt inom nyhetsmedierna, med ett ökande antal ansökningar som tas emot inom de tre programområdena, och en proportionerlig minskning av antalet framgångsrika ansökningar som följd, vilket kan vålla besvikelse över programmet inom dessa sektorer.</w:t>
      </w:r>
    </w:p>
    <w:p w:rsidR="008E6B6A" w:rsidRPr="00AD10A8" w:rsidRDefault="008E6B6A" w:rsidP="008E6B6A">
      <w:pPr>
        <w:pStyle w:val="NormalHanging12a"/>
        <w:widowControl/>
        <w:rPr>
          <w:rFonts w:eastAsiaTheme="minorHAnsi"/>
        </w:rPr>
      </w:pPr>
      <w:r w:rsidRPr="00AD10A8">
        <w:t>2.</w:t>
      </w:r>
      <w:r w:rsidRPr="00AD10A8">
        <w:tab/>
        <w:t xml:space="preserve">Europaparlamentet välkomnar programmets åtgärder för att mildra effekterna av covid-19-pandemin, som allvarligt störde de kulturella och kreativa sektorerna redan innan det </w:t>
      </w:r>
      <w:r w:rsidRPr="00AD10A8">
        <w:lastRenderedPageBreak/>
        <w:t>nuvarande programmet inleddes. Parlamentet upprepar dock sin uppmaning till kommissionen och medlemsstaterna att stärka insatserna för att hantera de långsiktiga effekterna som pandemin fått för kreatörer och kulturarbetare, särskilt vad gäller kompetenshöjning och omskolning för att möta de behov som utvecklingen och utmaningarna i dessa sektorer gett upphov till.</w:t>
      </w:r>
    </w:p>
    <w:p w:rsidR="008E6B6A" w:rsidRPr="00AD10A8" w:rsidRDefault="008E6B6A" w:rsidP="008E6B6A">
      <w:pPr>
        <w:pStyle w:val="NormalHanging12a"/>
        <w:widowControl/>
        <w:rPr>
          <w:rFonts w:eastAsiaTheme="minorHAnsi"/>
        </w:rPr>
      </w:pPr>
      <w:r w:rsidRPr="00AD10A8">
        <w:t>3.</w:t>
      </w:r>
      <w:r w:rsidRPr="00AD10A8">
        <w:tab/>
        <w:t>Europaparlamentet beklagar att inte samtliga medlemsstater avsatt minst 2 % av fonden för återhämtning och resiliens till att säkerställa dessa sektorers resiliens, såsom parlamentet hade begärt. Parlamentet uppmanar därför alla medlemsstater att stärka synergierna och säkerställa tillräckliga och riktade investeringar för dessa sektorer genom andra EU-program.</w:t>
      </w:r>
    </w:p>
    <w:p w:rsidR="008E6B6A" w:rsidRPr="00AD10A8" w:rsidRDefault="008E6B6A" w:rsidP="008E6B6A">
      <w:pPr>
        <w:pStyle w:val="NormalHanging12a"/>
        <w:widowControl/>
        <w:rPr>
          <w:rFonts w:eastAsiaTheme="minorHAnsi"/>
        </w:rPr>
      </w:pPr>
      <w:r w:rsidRPr="00AD10A8">
        <w:t>4.</w:t>
      </w:r>
      <w:r w:rsidRPr="00AD10A8">
        <w:tab/>
        <w:t>Europaparlamentet uttrycker sin erkänsla för den flexibilitet kommissionen och Eacea har vid genomförandet av programmet, som anpassats för att ta hänsyn till covid-19-pandemins konsekvenser. Parlamentet betonar dock behovet av att hitta en balans mellan å ena sidan harmoniserade förvaltningssystem för alla EU-program och å andra sidan olika stödmottagares särskilda behov. Parlamentet uppmanar därför kommissionen och Eacea att intensifiera sina insatser för att förenkla de administrativa förvaltningsförfarandena för programmet Kreativa Europa 2021–2027. Parlamentet betonar emellertid att uppstramning och förenkling inte får resultera i minskade ekonomiska och mänskliga resurser till övervakning och utvärdering av projekt.</w:t>
      </w:r>
    </w:p>
    <w:p w:rsidR="008E6B6A" w:rsidRPr="00AD10A8" w:rsidRDefault="008E6B6A" w:rsidP="008E6B6A">
      <w:pPr>
        <w:pStyle w:val="NormalHanging12a"/>
        <w:widowControl/>
        <w:rPr>
          <w:rFonts w:eastAsiaTheme="minorHAnsi"/>
        </w:rPr>
      </w:pPr>
      <w:r w:rsidRPr="00AD10A8">
        <w:t>5.</w:t>
      </w:r>
      <w:r w:rsidRPr="00AD10A8">
        <w:tab/>
        <w:t>Europaparlamentet är på det klara med att ansökningsprocessen ofta är komplex, särskilt för enskilda, mikroorganisationer och små organisationer med begränsade ekonomiska och mänskliga resurser. Parlamentet uppmanar därför kommissionen och Eacea att tillåta att kostnader med anknytning till ansökningsprocessen tas med i de sammanlagda beräknade budgetkostnaderna. Parlamentet uppmanar dessutom Kreativa Europas nationella kontaktkontor att ytterligare utöka sitt stöd till alla sökande.</w:t>
      </w:r>
    </w:p>
    <w:p w:rsidR="008E6B6A" w:rsidRPr="00AD10A8" w:rsidRDefault="008E6B6A" w:rsidP="008E6B6A">
      <w:pPr>
        <w:pStyle w:val="NormalHanging12a"/>
        <w:widowControl/>
        <w:rPr>
          <w:rFonts w:eastAsiaTheme="minorHAnsi"/>
        </w:rPr>
      </w:pPr>
      <w:r w:rsidRPr="00AD10A8">
        <w:t>6.</w:t>
      </w:r>
      <w:r w:rsidRPr="00AD10A8">
        <w:tab/>
        <w:t>Europaparlamentet uppmanar kommissionen att planera regelbundna kapacitetsuppbyggnadsutbyten med stödmottagare för att beskriva nyheter såsom nya krav inom ramen för rapporteringssystemet, inbegripet resultat som är förenliga med den allmänna dataskyddsförordningen</w:t>
      </w:r>
      <w:r w:rsidRPr="00AD10A8">
        <w:rPr>
          <w:rStyle w:val="FootnoteReference"/>
          <w:rFonts w:eastAsiaTheme="minorHAnsi"/>
          <w:lang w:eastAsia="en-US"/>
        </w:rPr>
        <w:footnoteReference w:id="14"/>
      </w:r>
      <w:r w:rsidRPr="00AD10A8">
        <w:t>. Parlamentet betonar att det som en del av programmets mål att stärka mångfald, inkludering och jämställdhet finns ett brådskande behov att förbättra rapporteringssystemet för att säkerställa att det är tillgängligt och lätt att använda för alla stödmottagare, även för dem med funktionsnedsättning.</w:t>
      </w:r>
    </w:p>
    <w:p w:rsidR="008E6B6A" w:rsidRPr="00AD10A8" w:rsidRDefault="008E6B6A" w:rsidP="008E6B6A">
      <w:pPr>
        <w:pStyle w:val="NormalHanging12a"/>
        <w:widowControl/>
        <w:rPr>
          <w:rFonts w:eastAsiaTheme="minorHAnsi"/>
        </w:rPr>
      </w:pPr>
      <w:r w:rsidRPr="00AD10A8">
        <w:t>7.</w:t>
      </w:r>
      <w:r w:rsidRPr="00AD10A8">
        <w:tab/>
        <w:t>Europaparlamentet uttrycker sin erkänsla för det successiva införandet av inkluderingsincitament inom alla programområden under de första två åren av programmets genomförande. Parlamentet noterar dock bristen på heltäckande uppgifter om hur man arbetar med att uppfylla programmålen på ett sätt som främjar inkludering, jämlikhet, mångfald och deltagande. Parlamentet uppmanar med kraft kommissionen att tillhandahålla en detaljerad rapport i detta syfte i sin interimsutvärdering.</w:t>
      </w:r>
    </w:p>
    <w:p w:rsidR="008E6B6A" w:rsidRPr="00AD10A8" w:rsidRDefault="008E6B6A" w:rsidP="008E6B6A">
      <w:pPr>
        <w:pStyle w:val="NormalHanging12a"/>
        <w:widowControl/>
        <w:rPr>
          <w:rFonts w:eastAsiaTheme="minorHAnsi"/>
        </w:rPr>
      </w:pPr>
      <w:r w:rsidRPr="00AD10A8">
        <w:t>8.</w:t>
      </w:r>
      <w:r w:rsidRPr="00AD10A8">
        <w:tab/>
        <w:t xml:space="preserve">Europaparlamentet uttrycker sin erkänsla för att programmet bidrar till klimat- och miljöhållbarhetsmålet genom sina åtgärder. Parlamentet noterar emellertid att </w:t>
      </w:r>
      <w:r w:rsidRPr="00AD10A8">
        <w:lastRenderedPageBreak/>
        <w:t>miljöanpassningsprioriteringar har införts på olika sätt i de tre programområdena. Parlamentet uppmanar kommissionen att noga övervaka genomförandet av miljöanpassningsprioriteringarna och deras inverkan på sektorerna och att regelbundet rapportera om sin bedömning. Parlamentet betonar vikten av att ta fram utbildningsinsatser och informationsåtgärder för att främja mer hållbara metoder inom de kulturella och kreativa sektorerna.</w:t>
      </w:r>
    </w:p>
    <w:p w:rsidR="008E6B6A" w:rsidRPr="00AD10A8" w:rsidRDefault="008E6B6A" w:rsidP="008E6B6A">
      <w:pPr>
        <w:pStyle w:val="NormalHanging12a"/>
        <w:widowControl/>
        <w:rPr>
          <w:rFonts w:eastAsiaTheme="minorHAnsi"/>
        </w:rPr>
      </w:pPr>
      <w:r w:rsidRPr="00AD10A8">
        <w:t>9.</w:t>
      </w:r>
      <w:r w:rsidRPr="00AD10A8">
        <w:tab/>
        <w:t>Europaparlamentet framhåller att det är viktigt att hjälpa kulturella och kreativa aktörer att navigera bland de möjligheter som finns på EU-nivå. Parlamentet välkomnar i detta sammanhang initiativet CulturEU, en flerspråkig interaktiv guide som kartlägger alla finansieringsmöjligheter som finns till hands. Parlamentet betonar den avgörande betydelsen av att upprätthålla regelbundna och, i förekommande fall, riktade utbyten med de kulturella, kreativa och audiovisuella sektorerna, samt med nyhetsmedierna, i syfte att uppnå ett gynnsamt samarbete. Parlamentet påminner kommissionen om vikten av att säkerställa ett lämpligt deltagande av berörda parter i utarbetandet av framtida årliga arbetsprogram. Parlamentet föreslår att kommissionen ska utvärdera huruvida det vore bättre om Kreativa Europa 2028–2034 genomfördes med ett arbetsprogram på ett eller två år.</w:t>
      </w:r>
    </w:p>
    <w:p w:rsidR="008E6B6A" w:rsidRPr="00AD10A8" w:rsidRDefault="008E6B6A" w:rsidP="008E6B6A">
      <w:pPr>
        <w:pStyle w:val="NormalHanging12a"/>
        <w:widowControl/>
        <w:rPr>
          <w:rFonts w:eastAsiaTheme="minorHAnsi"/>
        </w:rPr>
      </w:pPr>
      <w:r w:rsidRPr="00AD10A8">
        <w:t>10.</w:t>
      </w:r>
      <w:r w:rsidRPr="00AD10A8">
        <w:tab/>
        <w:t>Europaparlamentet uppmanar till stärkt kommunikation och utbyte mellan kommissionen, Eacea och Kreativa Europas kontaktkontor för att säkerställa att de sistnämnda har tillgång till all relevant information för att kunna tillhandahålla stöd och vägledning av god kvalitet till sökande och stödmottagare. Parlamentet påminner i detta avseende om betydelsen av insyn i spridningen av resultaten av ansökningsomgångar. Parlamentet uppmanar därför kommissionen att fortsätta att offentliggöra förteckningen över alla bidragsmottagare tillsammans med de tilldelade beloppen i god tid.</w:t>
      </w:r>
    </w:p>
    <w:p w:rsidR="008E6B6A" w:rsidRPr="00AD10A8" w:rsidRDefault="008E6B6A" w:rsidP="008E6B6A">
      <w:pPr>
        <w:pStyle w:val="NormalHanging12a"/>
        <w:widowControl/>
        <w:rPr>
          <w:rFonts w:eastAsiaTheme="minorHAnsi"/>
        </w:rPr>
      </w:pPr>
      <w:r w:rsidRPr="00AD10A8">
        <w:t>11.</w:t>
      </w:r>
      <w:r w:rsidRPr="00AD10A8">
        <w:tab/>
        <w:t>Europaparlamentet betonar vikten av att ge programmet en identitet och höja dess synlighet. Kommissionen uppmanas att rapportera till parlamentet om genomförandet av programmets kommunikationsstrategi, exempelvis användandet av officiella logotyper.</w:t>
      </w:r>
    </w:p>
    <w:p w:rsidR="008E6B6A" w:rsidRPr="00AD10A8" w:rsidRDefault="008E6B6A" w:rsidP="008E6B6A">
      <w:pPr>
        <w:pStyle w:val="NormalHanging12a"/>
        <w:widowControl/>
        <w:rPr>
          <w:rFonts w:eastAsiaTheme="minorHAnsi"/>
        </w:rPr>
      </w:pPr>
      <w:r w:rsidRPr="00AD10A8">
        <w:t>12.</w:t>
      </w:r>
      <w:r w:rsidRPr="00AD10A8">
        <w:tab/>
        <w:t>Europaparlamentet understryker att ett stort antal stödmottagare är villiga att dela med sig av sina resultat till de kulturella, kreativa och audiovisuella sektorerna samt till EU-medborgarna. Parlamentet påpekar i detta avseende att den plattform som gjorts tillgänglig för detta ändamål anses vara otillfredsställande och uppmanar därför kommissionen att involvera stödmottagarna i framtagandet av en lämpligare plattform.</w:t>
      </w:r>
    </w:p>
    <w:p w:rsidR="008E6B6A" w:rsidRPr="00AD10A8" w:rsidRDefault="008E6B6A" w:rsidP="008E6B6A">
      <w:pPr>
        <w:pStyle w:val="NormalHanging12a"/>
        <w:widowControl/>
      </w:pPr>
      <w:r w:rsidRPr="00AD10A8">
        <w:t>13.</w:t>
      </w:r>
      <w:r w:rsidRPr="00AD10A8">
        <w:tab/>
        <w:t>Europaparlamentet noterar att vissa medlemsstater inte tillhandahåller nationella ersättningssystem eller försäkringsskydd för att underlätta transporter av kulturföremål. Parlamentet är på det klara med att kommersiella försäkringskostnader kan vara betydande för många kulturella aktörer. Parlamentet föreslår i detta avseende kommissionen att offentliggöra en genomförbarhetsstudie om ett alleuropeiskt garantisystem för att täcka försäkringskostnader, som ett första steg mot att lösa detta problem.</w:t>
      </w:r>
    </w:p>
    <w:p w:rsidR="008E6B6A" w:rsidRPr="00AD10A8" w:rsidRDefault="008E6B6A" w:rsidP="008E6B6A">
      <w:pPr>
        <w:pStyle w:val="NormalHanging12a"/>
        <w:widowControl/>
      </w:pPr>
      <w:r w:rsidRPr="00AD10A8">
        <w:t>14.</w:t>
      </w:r>
      <w:r w:rsidRPr="00AD10A8">
        <w:tab/>
        <w:t xml:space="preserve">Europaparlamentet uppmanar med kraft kommissionen att främja en människocentrerad och transparent användning av artificiell intelligens i den konstnärliga och kreativa processen genom att ta fram etiska standarder för användningen av AI-teknik. Parlamentet uppmanar i detta avseende kommissionen att säkerställa att såväl sökande som stödmottagare informerar om AI-användningen i projekt, även vid produktion, </w:t>
      </w:r>
      <w:r w:rsidRPr="00AD10A8">
        <w:lastRenderedPageBreak/>
        <w:t>distribution och marknadsföring av kreativa verk, så att denna framväxande trend i de kulturella och kreativa sektorerna och dess inverkan på programmet kan bedömas.</w:t>
      </w:r>
    </w:p>
    <w:p w:rsidR="008E6B6A" w:rsidRPr="00AD10A8" w:rsidRDefault="008E6B6A" w:rsidP="008E6B6A">
      <w:pPr>
        <w:pStyle w:val="NormalHanging12a"/>
        <w:widowControl/>
      </w:pPr>
      <w:r w:rsidRPr="00AD10A8">
        <w:t>15.</w:t>
      </w:r>
      <w:r w:rsidRPr="00AD10A8">
        <w:tab/>
        <w:t>Europaparlamentet framhåller Kreativa Europa-programmets betydande potential att utveckla och stärka transnationella partnerskap och därmed även bidra till EU:s internationella förbindelser via kultur.</w:t>
      </w:r>
    </w:p>
    <w:p w:rsidR="008E6B6A" w:rsidRPr="00AD10A8" w:rsidRDefault="008E6B6A" w:rsidP="008E6B6A">
      <w:pPr>
        <w:pStyle w:val="NormalHanging12a"/>
        <w:widowControl/>
      </w:pPr>
      <w:r w:rsidRPr="00AD10A8">
        <w:t>16.</w:t>
      </w:r>
      <w:r w:rsidRPr="00AD10A8">
        <w:tab/>
        <w:t>Europaparlamentet uppmanar kommissionen att investera ändamålsenliga resurser i programmets externa dimension och att uppmuntra till vidare samarbete mellan kulturinstitut och kulturorganisationer i medlemsstaterna, samt med kluster av EU:s nationella kulturinstitut i tredjeländer. Parlamentet uppmanar därtill kommissionen att stödja och underlätta tredjeländers deltagande i programmet, när så är möjligt.</w:t>
      </w:r>
    </w:p>
    <w:p w:rsidR="008E6B6A" w:rsidRPr="00AD10A8" w:rsidRDefault="008E6B6A" w:rsidP="008E6B6A">
      <w:pPr>
        <w:pStyle w:val="NormalHanging12a"/>
        <w:widowControl/>
        <w:rPr>
          <w:rFonts w:eastAsiaTheme="minorHAnsi"/>
          <w:b/>
          <w:i/>
        </w:rPr>
      </w:pPr>
      <w:r w:rsidRPr="00AD10A8">
        <w:rPr>
          <w:b/>
          <w:i/>
        </w:rPr>
        <w:t>Budget</w:t>
      </w:r>
    </w:p>
    <w:p w:rsidR="008E6B6A" w:rsidRPr="00AD10A8" w:rsidRDefault="008E6B6A" w:rsidP="008E6B6A">
      <w:pPr>
        <w:pStyle w:val="NormalHanging12a"/>
        <w:widowControl/>
        <w:rPr>
          <w:rFonts w:eastAsiaTheme="minorHAnsi"/>
        </w:rPr>
      </w:pPr>
      <w:r w:rsidRPr="00AD10A8">
        <w:t>17.</w:t>
      </w:r>
      <w:r w:rsidRPr="00AD10A8">
        <w:tab/>
        <w:t>Europaparlamentet framhåller att det nuvarande programmet Kreativa Europa, trots den kraftigt ökade budgeten för perioden 2021–2027, fortfarande är överutnyttjat. Parlamentet uppmanar kommissionen och medlemsstaterna att i detta avseende avsevärt öka det finansiella anslaget till programmet Kreativa Europa 2028–2034.</w:t>
      </w:r>
    </w:p>
    <w:p w:rsidR="008E6B6A" w:rsidRPr="00AD10A8" w:rsidRDefault="008E6B6A" w:rsidP="008E6B6A">
      <w:pPr>
        <w:pStyle w:val="NormalHanging12a"/>
        <w:widowControl/>
        <w:rPr>
          <w:rFonts w:eastAsiaTheme="minorHAnsi"/>
        </w:rPr>
      </w:pPr>
      <w:r w:rsidRPr="00AD10A8">
        <w:t>18.</w:t>
      </w:r>
      <w:r w:rsidRPr="00AD10A8">
        <w:tab/>
        <w:t>Europaparlamentet erkänner det akuta behovet under tvåårsperioden 2021–2022 av att tidigarelägga utgifterna för att mildra effekterna av covid-19-pandemin och effekterna av Rysslands anfallskrig mot Ukraina. Parlamentet understryker dock den negativa inverkan som denna åtgärd kommer att få under den andra halvan av budgetcykeln.</w:t>
      </w:r>
    </w:p>
    <w:p w:rsidR="008E6B6A" w:rsidRPr="00AD10A8" w:rsidRDefault="008E6B6A" w:rsidP="008E6B6A">
      <w:pPr>
        <w:pStyle w:val="NormalHanging12a"/>
        <w:widowControl/>
        <w:rPr>
          <w:rFonts w:eastAsiaTheme="minorHAnsi"/>
        </w:rPr>
      </w:pPr>
      <w:r w:rsidRPr="00AD10A8">
        <w:t>19.</w:t>
      </w:r>
      <w:r w:rsidRPr="00AD10A8">
        <w:tab/>
        <w:t>Europaparlamentet uppmanar med kraft medlemsstaterna och kommissionen att, med tanke på de utmaningar som digitaliseringen och miljöanpassningen medför, utöver den höga nyttjandenivån, den skenande inflationen och dithörande höga energipriser – aspekter som alla allvarligt påverkar stödmottagarnas operativa kapacitet – säkerställa att inga budgetnedskärningar görs av programmets anslag under de kommande budgetåren.</w:t>
      </w:r>
    </w:p>
    <w:p w:rsidR="008E6B6A" w:rsidRPr="00AD10A8" w:rsidRDefault="008E6B6A" w:rsidP="008E6B6A">
      <w:pPr>
        <w:pStyle w:val="NormalHanging12a"/>
        <w:widowControl/>
        <w:rPr>
          <w:rFonts w:eastAsiaTheme="minorHAnsi"/>
        </w:rPr>
      </w:pPr>
      <w:r w:rsidRPr="00AD10A8">
        <w:t>20.</w:t>
      </w:r>
      <w:r w:rsidRPr="00AD10A8">
        <w:tab/>
        <w:t>Europaparlamentet beklagar att spetskompetensstämpeln ännu inte har genomförts. Parlamentet uppmanar kommissionen att omedelbart införa denna stämpel så att projekt kan utnyttja de möjligheter som erbjuds genom kumulativ och alternativ finansiering under denna programplaneringsperiod.</w:t>
      </w:r>
    </w:p>
    <w:p w:rsidR="008E6B6A" w:rsidRPr="00AD10A8" w:rsidRDefault="008E6B6A" w:rsidP="008E6B6A">
      <w:pPr>
        <w:pStyle w:val="NormalHanging12a"/>
        <w:widowControl/>
        <w:rPr>
          <w:rFonts w:eastAsiaTheme="minorHAnsi"/>
        </w:rPr>
      </w:pPr>
      <w:r w:rsidRPr="00AD10A8">
        <w:t>21.</w:t>
      </w:r>
      <w:r w:rsidRPr="00AD10A8">
        <w:tab/>
        <w:t>Europaparlamentet beklagar att det inom ramen för den fleråriga budgetramen för 2021–2027 inte finns någon flexibilitet för att komplettera programmet Kreativa Europa, och understryker att detta utesluter finansiering av nya initiativ, värdefulla pilotprojekt och förberedande åtgärder. Parlamentet påminner i detta avseende om att pilotprojekt och förberedande åtgärder är viktiga verktyg för att testa nya initiativ som kan omvandlas till permanenta EU-finansieringsprogram eller införlivas i befintliga sådana.</w:t>
      </w:r>
    </w:p>
    <w:p w:rsidR="008E6B6A" w:rsidRPr="00AD10A8" w:rsidRDefault="008E6B6A" w:rsidP="008E6B6A">
      <w:pPr>
        <w:pStyle w:val="NormalHanging12a"/>
        <w:widowControl/>
        <w:rPr>
          <w:rFonts w:eastAsiaTheme="minorHAnsi"/>
        </w:rPr>
      </w:pPr>
      <w:r w:rsidRPr="00AD10A8">
        <w:t>22.</w:t>
      </w:r>
      <w:r w:rsidRPr="00AD10A8">
        <w:tab/>
        <w:t xml:space="preserve">Europaparlamentet beklagar finansieringsklyftan mellan de två fleråriga budgetramarna som särskilt påverkade nätverkssystemet, och uppmanar kommissionen att se till att denna situation inte uppstår på nytt i framtiden. Med tanke på att detta system på ett avgörande sätt understöder de kulturella och kreativa sektorernas kapacitet att bedriva transnationell och internationell verksamhet uppmanar parlamentet kommissionen att </w:t>
      </w:r>
      <w:r w:rsidRPr="00AD10A8">
        <w:lastRenderedPageBreak/>
        <w:t>tillhandahålla tillräcklig finansiering och därtill överväga att införa driftsbidrag för denna åtgärd.</w:t>
      </w:r>
    </w:p>
    <w:p w:rsidR="008E6B6A" w:rsidRPr="00AD10A8" w:rsidRDefault="008E6B6A" w:rsidP="008E6B6A">
      <w:pPr>
        <w:pStyle w:val="NormalHanging12a"/>
        <w:widowControl/>
        <w:rPr>
          <w:rFonts w:eastAsiaTheme="minorHAnsi"/>
          <w:b/>
          <w:i/>
        </w:rPr>
      </w:pPr>
      <w:r w:rsidRPr="00AD10A8">
        <w:rPr>
          <w:b/>
          <w:i/>
        </w:rPr>
        <w:t>Programområdet Kultur</w:t>
      </w:r>
    </w:p>
    <w:p w:rsidR="008E6B6A" w:rsidRPr="00AD10A8" w:rsidRDefault="008E6B6A" w:rsidP="008E6B6A">
      <w:pPr>
        <w:pStyle w:val="NormalHanging12a"/>
        <w:widowControl/>
        <w:rPr>
          <w:rFonts w:eastAsiaTheme="minorHAnsi"/>
        </w:rPr>
      </w:pPr>
      <w:r w:rsidRPr="00AD10A8">
        <w:t>23.</w:t>
      </w:r>
      <w:r w:rsidRPr="00AD10A8">
        <w:tab/>
        <w:t>Europaparlamentet välkomnar införandet av den sektoriella strategin som ett nytt inslag i programområdet Kultur som kompletterar de horisontella åtgärderna. Parlamentet efterlyser en förstärkning av detta genom ett lämpligt budgetanslag som säkerställer att ingen sektor hamnar på efterkälken och att anslagen till de horisontella åtgärderna inte minskar.</w:t>
      </w:r>
    </w:p>
    <w:p w:rsidR="008E6B6A" w:rsidRPr="00AD10A8" w:rsidRDefault="008E6B6A" w:rsidP="008E6B6A">
      <w:pPr>
        <w:pStyle w:val="NormalHanging12a"/>
        <w:widowControl/>
        <w:rPr>
          <w:rFonts w:eastAsiaTheme="minorHAnsi"/>
        </w:rPr>
      </w:pPr>
      <w:r w:rsidRPr="00AD10A8">
        <w:t>24.</w:t>
      </w:r>
      <w:r w:rsidRPr="00AD10A8">
        <w:tab/>
        <w:t>Europaparlamentet erinrar om betydelsen av att fortsatt skydda och främja den konstnärliga yttrandefriheten, särskilt genom de finansieringsmöjligheter som programmet erbjuder inom ramen för kultursamarbetsprojekt och det europeiska nätverkssystemet.</w:t>
      </w:r>
    </w:p>
    <w:p w:rsidR="008E6B6A" w:rsidRPr="00AD10A8" w:rsidRDefault="008E6B6A" w:rsidP="008E6B6A">
      <w:pPr>
        <w:pStyle w:val="NormalHanging12a"/>
        <w:widowControl/>
      </w:pPr>
      <w:r w:rsidRPr="00AD10A8">
        <w:t>25.</w:t>
      </w:r>
      <w:r w:rsidRPr="00AD10A8">
        <w:tab/>
        <w:t>Europaparlamentet noterar att de ökade medfinansieringsnivåerna, särskilt för småskaliga samarbetsprojekt, är fördelaktiga och underlättar små organisationers deltagande. Parlamentet uppmanar i detta avseende kommissionen och Eacea att tillåta projektkonsortier att på ett oberoende sätt besluta hur finansieringen fördelas mellan sina partner, under förutsättning att den totala medfinansieringsgraden gäller på projektnivå.</w:t>
      </w:r>
    </w:p>
    <w:p w:rsidR="008E6B6A" w:rsidRPr="00AD10A8" w:rsidRDefault="008E6B6A" w:rsidP="008E6B6A">
      <w:pPr>
        <w:pStyle w:val="NormalHanging12a"/>
        <w:widowControl/>
      </w:pPr>
      <w:r w:rsidRPr="00AD10A8">
        <w:t>26.</w:t>
      </w:r>
      <w:r w:rsidRPr="00AD10A8">
        <w:tab/>
        <w:t>Europaparlamentet understryker betydelsen av gränsöverskridande utbyten för alla kreatörer, eftersom detta gynnar den kreativa processen genom förbättrade professionella möjligheter utomlands. Parlamentet välkomnar i detta avseende Culture Moves Europe, det nya utbytessystemet inom programmet Kreativa Europa.</w:t>
      </w:r>
    </w:p>
    <w:p w:rsidR="008E6B6A" w:rsidRPr="00AD10A8" w:rsidRDefault="008E6B6A" w:rsidP="008E6B6A">
      <w:pPr>
        <w:pStyle w:val="NormalHanging12a"/>
        <w:widowControl/>
      </w:pPr>
      <w:r w:rsidRPr="00AD10A8">
        <w:t>27.</w:t>
      </w:r>
      <w:r w:rsidRPr="00AD10A8">
        <w:tab/>
        <w:t>Europaparlamentet erkänner den höga kvaliteten på de ansökningar som tas emot inom ramen för utbytesprogrammet. Parlamentet uppmanar dock kommissionen att marknadsföra Culture Moves Europe till en bredare publik med hjälp och stöd från alla kontaktkontor för Kreativa Europa genom kommunikation och utåtriktad verksamhet. Parlamentet anser att dessa åtgärder särskilt bör vara inriktade på enskilda sektorer, kreatörer från alla marginaliserade grupper samt mindre företrädda länder och regioner, för att garantera geografisk balans.</w:t>
      </w:r>
    </w:p>
    <w:p w:rsidR="008E6B6A" w:rsidRPr="00AD10A8" w:rsidRDefault="008E6B6A" w:rsidP="008E6B6A">
      <w:pPr>
        <w:pStyle w:val="NormalHanging12a"/>
        <w:widowControl/>
      </w:pPr>
      <w:r w:rsidRPr="00AD10A8">
        <w:t>28.</w:t>
      </w:r>
      <w:r w:rsidRPr="00AD10A8">
        <w:tab/>
        <w:t>Europaparlamentet påpekar att det samtidigt som man erkänner de stora framgångarna med den nya utbytesåtgärden är absolut nödvändigt att analysera de viktigaste nya trenderna före utgången av 2024 i syfte att undersöka möjligheten att utöka åtgärden till att inkludera nya aktörer, exempelvis företrädare för boksektorn. Parlamentet uppmanar i detta avseende kommissionen att öka budgeten för denna åtgärd från och med 2025.</w:t>
      </w:r>
    </w:p>
    <w:p w:rsidR="008E6B6A" w:rsidRPr="00AD10A8" w:rsidRDefault="008E6B6A" w:rsidP="008E6B6A">
      <w:pPr>
        <w:pStyle w:val="NormalHanging12a"/>
        <w:widowControl/>
      </w:pPr>
      <w:r w:rsidRPr="00AD10A8">
        <w:t>29.</w:t>
      </w:r>
      <w:r w:rsidRPr="00AD10A8">
        <w:tab/>
        <w:t>Europaparlamentet betonar de positiva effekterna av de gröna tilläggen och familjetilläggen som genomförts för utbytessystemet, vilket utgör ett konkret exempel på hur programmet kan bli mer inkluderande. Parlamentet uppmanar därför kommissionen att överväga att genomföra denna strategi i andra åtgärder inom programmet Kreativa Europa.</w:t>
      </w:r>
    </w:p>
    <w:p w:rsidR="008E6B6A" w:rsidRPr="00AD10A8" w:rsidRDefault="008E6B6A" w:rsidP="008E6B6A">
      <w:pPr>
        <w:pStyle w:val="NormalHanging12a"/>
        <w:widowControl/>
      </w:pPr>
      <w:r w:rsidRPr="00AD10A8">
        <w:t>30.</w:t>
      </w:r>
      <w:r w:rsidRPr="00AD10A8">
        <w:tab/>
        <w:t xml:space="preserve">Europaparlamentet välkomnar ökningen av finansieringen av de europeiska plattformarna för främjande av nya konstnärer inom ramen för programområdet Kultur och betonar dess positiva inverkan på mångfalden genom att göra konstnärerna och </w:t>
      </w:r>
      <w:r w:rsidRPr="00AD10A8">
        <w:lastRenderedPageBreak/>
        <w:t>deras verk mer synliga internationellt. Parlamentet uppmanar därför kommissionen att fortsätta att utveckla denna åtgärd genom att säkerställa tillräcklig finansiering och tillräckligt främjande.</w:t>
      </w:r>
    </w:p>
    <w:p w:rsidR="008E6B6A" w:rsidRPr="00AD10A8" w:rsidRDefault="008E6B6A" w:rsidP="008E6B6A">
      <w:pPr>
        <w:pStyle w:val="NormalHanging12a"/>
        <w:widowControl/>
      </w:pPr>
      <w:r w:rsidRPr="00AD10A8">
        <w:t>31.</w:t>
      </w:r>
      <w:r w:rsidRPr="00AD10A8">
        <w:tab/>
        <w:t>Europaparlamentet framhåller nätverkssystemets viktiga roll i att tillhandahålla möjligheter till nätverkande och kapacitetsuppbyggnad som stärker mångfalden och konkurrenskraften i Europas kulturella och kreativa sektorer. Parlamentet uppmanar i detta avseende kommissionen att ge tillräcklig finansiering till denna åtgärd i syfte att stödja nuvarande stödmottagare och nya nätverk.</w:t>
      </w:r>
    </w:p>
    <w:p w:rsidR="008E6B6A" w:rsidRPr="00AD10A8" w:rsidRDefault="008E6B6A" w:rsidP="008E6B6A">
      <w:pPr>
        <w:pStyle w:val="NormalHanging12a"/>
        <w:widowControl/>
      </w:pPr>
      <w:r w:rsidRPr="00AD10A8">
        <w:t>32.</w:t>
      </w:r>
      <w:r w:rsidRPr="00AD10A8">
        <w:tab/>
        <w:t>Europaparlamentet understryker att den sektoriella strategin är ett utmärkt verktyg som stärker bok- och förlagsbranschen och möjliggör samordnade åtgärder som stödjer och stimulerar marknadstillträdet och en bredare spridning av europeiska verk.</w:t>
      </w:r>
    </w:p>
    <w:p w:rsidR="008E6B6A" w:rsidRPr="00AD10A8" w:rsidRDefault="008E6B6A" w:rsidP="008E6B6A">
      <w:pPr>
        <w:pStyle w:val="NormalHanging12a"/>
        <w:widowControl/>
      </w:pPr>
      <w:r w:rsidRPr="00AD10A8">
        <w:t>33.</w:t>
      </w:r>
      <w:r w:rsidRPr="00AD10A8">
        <w:tab/>
        <w:t>Europaparlamentet påminner om att åtgärden litterär översättning är det huvudsakliga stödsystemet för boksektorn. Parlamentet betonar dock behovet av att utöka systemet till att omfatta översättning av europeiska faktaböcker. Parlamentet uppmanar kommissionen att inför sin halvtidsöversyn av programmet ta fram mätbara mål för hur finansieringen anslås för att göra böckerna mer tillgängliga för personer med funktionsnedsättning.</w:t>
      </w:r>
    </w:p>
    <w:p w:rsidR="008E6B6A" w:rsidRPr="00AD10A8" w:rsidRDefault="008E6B6A" w:rsidP="008E6B6A">
      <w:pPr>
        <w:pStyle w:val="NormalHanging12a"/>
        <w:widowControl/>
      </w:pPr>
      <w:r w:rsidRPr="00AD10A8">
        <w:t>34.</w:t>
      </w:r>
      <w:r w:rsidRPr="00AD10A8">
        <w:tab/>
        <w:t>Europaparlamentet välkomnar det ökade antalet åtgärder som ger stöd till musiksektorn inom programområdet Kultur, vilket har lett till att fler musikrelaterade projekt läggs fram inom ramen för det nuvarande programmet. Parlamentet uppmanar dock kommissionen att utarbeta en mer strategisk och sektorsinriktad strategi för musiksektorn för att hantera nya och framväxande utmaningar och som bygger på resultaten av den förberedande åtgärden Music Moves Europe. Parlamentet betonar i detta avseende vikten av en regelbunden strukturerad dialog mellan ekosystemet för musik och kommissionen. Parlamentet uppmanar även kommissionen att i samarbete med sektorn samla in uppgifter om medlemsstaternas musikmarknader och rapportera om alla framväxande utmaningar som påverkar ekosystemet som helhet.</w:t>
      </w:r>
    </w:p>
    <w:p w:rsidR="008E6B6A" w:rsidRPr="00AD10A8" w:rsidRDefault="008E6B6A" w:rsidP="008E6B6A">
      <w:pPr>
        <w:pStyle w:val="NormalHanging12a"/>
        <w:widowControl/>
      </w:pPr>
      <w:r w:rsidRPr="00AD10A8">
        <w:t>35.</w:t>
      </w:r>
      <w:r w:rsidRPr="00AD10A8">
        <w:tab/>
        <w:t>Europaparlamentet betonar vikten av den europeiska kulturhuvudstadens särskilda åtgärd som en katalysator för kulturell och ekonomisk förnyelse av städerna och regionerna. Parlamentet betonar behovet som funnits sedan länge av ytterligare finansiering för denna särskilda åtgärd för att täcka de extra kostnader som uppstår till följd av de långsiktiga effekterna av covid-19-pandemin och den skenande inflationen. Parlamentet uppmanar därför kommissionen att öka finansieringen av Melina Mercouri-priset, som har tilldelats endast 1,5 miljoner euro under flera år. Parlamentet uppmanar dessutom medlemsstaterna att säkerställa att initiativet får ett bestående arv och att stödja dess utåtriktade verksamhet i syfte att öka deltagandet i de kulturella aktiviteter som utvecklats inom ramen för det.</w:t>
      </w:r>
    </w:p>
    <w:p w:rsidR="008E6B6A" w:rsidRPr="00AD10A8" w:rsidRDefault="008E6B6A" w:rsidP="008E6B6A">
      <w:pPr>
        <w:pStyle w:val="NormalHanging12a"/>
        <w:widowControl/>
      </w:pPr>
      <w:r w:rsidRPr="00AD10A8">
        <w:t>36.</w:t>
      </w:r>
      <w:r w:rsidRPr="00AD10A8">
        <w:tab/>
        <w:t>Europaparlamentet erkänner att det europeiska kulturarvsmärket är ett värdefullt initiativ som främjar den viktiga roll som dessa platser spelar i Europas historia och kultur, och noterar att 60 platser har beviljats märket under perioden 2013–2021. Parlamentet uppmanar dock kommissionen att öka synligheten för det europeiska kulturarvsmärket genom att utveckla synergier med andra relevanta EU-finansieringsinstrument.</w:t>
      </w:r>
    </w:p>
    <w:p w:rsidR="008E6B6A" w:rsidRPr="00AD10A8" w:rsidRDefault="008E6B6A" w:rsidP="008E6B6A">
      <w:pPr>
        <w:pStyle w:val="NormalHanging12a"/>
        <w:widowControl/>
      </w:pPr>
      <w:r w:rsidRPr="00AD10A8">
        <w:lastRenderedPageBreak/>
        <w:t>37.</w:t>
      </w:r>
      <w:r w:rsidRPr="00AD10A8">
        <w:tab/>
        <w:t>Europaparlamentet understryker vikten av de priser som stöds av programmet Kreativa Europa inom litteratur, arkitektur och kulturarv, musik (samtida, rock och pop) och audiovisuell konst. Parlamentet betonar att sektorerna känner väl till dessa långvariga initiativ och att de ökar synligheten för de europeiska kulturella och kreativa sektorerna genom att belöna resultat som uppnåtts på olika områden.</w:t>
      </w:r>
    </w:p>
    <w:p w:rsidR="008E6B6A" w:rsidRPr="00AD10A8" w:rsidRDefault="008E6B6A" w:rsidP="008E6B6A">
      <w:pPr>
        <w:pStyle w:val="NormalHanging12a"/>
        <w:widowControl/>
        <w:rPr>
          <w:rFonts w:eastAsiaTheme="minorHAnsi"/>
          <w:b/>
          <w:i/>
        </w:rPr>
      </w:pPr>
      <w:r w:rsidRPr="00AD10A8">
        <w:rPr>
          <w:b/>
          <w:i/>
        </w:rPr>
        <w:t>Programområdet Media</w:t>
      </w:r>
    </w:p>
    <w:p w:rsidR="008E6B6A" w:rsidRPr="00AD10A8" w:rsidRDefault="008E6B6A" w:rsidP="008E6B6A">
      <w:pPr>
        <w:pStyle w:val="NormalHanging12a"/>
        <w:widowControl/>
      </w:pPr>
      <w:r w:rsidRPr="00AD10A8">
        <w:t>38.</w:t>
      </w:r>
      <w:r w:rsidRPr="00AD10A8">
        <w:tab/>
        <w:t>Europaparlamentet noterar att programområdet Media fortfarande är det viktigaste europeiska instrumentet för strategiskt stöd till den oberoende audiovisuella sektorn, som främst består av små och medelstora företag. Parlamentet framhåller den hårda internationella konkurrens som den europeiska audiovisuella sektorn, filmsektorn och videospelssektorn utsätts för och det viktiga stöd som detta programområde erbjuder för återhämtningen och omvandlingen av dessa sektorer och för ett mer strategiskt oberoende EU. Parlamentet betonar i detta avseende vikten av att säkerställa ett tillräckligt budgetanslag för programområdet Media och insisterar på behovet av heltäckande uppgifter för att bedöma och övervaka huruvida och på vilket sätt programmet i praktiken lyckas öka dessa sektorers ekonomiska och kulturella potential.</w:t>
      </w:r>
    </w:p>
    <w:p w:rsidR="008E6B6A" w:rsidRPr="00AD10A8" w:rsidRDefault="008E6B6A" w:rsidP="008E6B6A">
      <w:pPr>
        <w:pStyle w:val="NormalHanging12a"/>
        <w:widowControl/>
      </w:pPr>
      <w:r w:rsidRPr="00AD10A8">
        <w:t>39.</w:t>
      </w:r>
      <w:r w:rsidRPr="00AD10A8">
        <w:tab/>
        <w:t>Europaparlamentet tar fasta på de positiva effekterna av de riktade åtgärder som införts inom ramen för programområdet Media för att bredda deltagandet i länder med avvikande audiovisuell kapacitet och för att stärka det gränsöverskridande samarbetet.</w:t>
      </w:r>
    </w:p>
    <w:p w:rsidR="008E6B6A" w:rsidRPr="00AD10A8" w:rsidRDefault="008E6B6A" w:rsidP="008E6B6A">
      <w:pPr>
        <w:pStyle w:val="NormalHanging12a"/>
        <w:widowControl/>
        <w:rPr>
          <w:rFonts w:eastAsiaTheme="minorHAnsi"/>
        </w:rPr>
      </w:pPr>
      <w:r w:rsidRPr="00AD10A8">
        <w:t>40.</w:t>
      </w:r>
      <w:r w:rsidRPr="00AD10A8">
        <w:tab/>
        <w:t>Europaparlamentet betonar att ett stort antal högkvalitativa projekt inom ramen för systemen för gemensam utveckling och utveckling av små projektpaket avslogs 2021–2022 på grund av budgetbegränsningar. Parlamentet uppmanar därför kommissionen att anslå en större budget för det framtida genomförandet av dessa system.</w:t>
      </w:r>
    </w:p>
    <w:p w:rsidR="008E6B6A" w:rsidRPr="00AD10A8" w:rsidRDefault="008E6B6A" w:rsidP="008E6B6A">
      <w:pPr>
        <w:pStyle w:val="NormalHanging12a"/>
        <w:widowControl/>
        <w:rPr>
          <w:rFonts w:eastAsiaTheme="minorHAnsi"/>
        </w:rPr>
      </w:pPr>
      <w:r w:rsidRPr="00AD10A8">
        <w:t>41.</w:t>
      </w:r>
      <w:r w:rsidRPr="00AD10A8">
        <w:tab/>
        <w:t>Europaparlamentet understryker den viktiga roll som stödsystemen för europeisk filmdistribution och europeisk filmförsäljning spelar för att bidra till den europeiska audiovisuella sektorns kulturella mångfald genom att öka den gränsöverskridande spridningen av europeiska filmer och kompensera för vissa av de risker som distributörerna tar när de investerar i produktion, distribution och marknadsföring av icke-nationella europeiska filmer. Parlamentet betonar därför att det är avgörande att finansieringen för båda systemen ökar och att satsa mer på att säkerställa en bredare spridning av europeiska produktioner och att göra dem tillgängliga online.</w:t>
      </w:r>
    </w:p>
    <w:p w:rsidR="008E6B6A" w:rsidRPr="00AD10A8" w:rsidRDefault="008E6B6A" w:rsidP="008E6B6A">
      <w:pPr>
        <w:pStyle w:val="NormalHanging12a"/>
        <w:widowControl/>
        <w:rPr>
          <w:rFonts w:eastAsiaTheme="minorHAnsi"/>
        </w:rPr>
      </w:pPr>
      <w:r w:rsidRPr="00AD10A8">
        <w:t>42.</w:t>
      </w:r>
      <w:r w:rsidRPr="00AD10A8">
        <w:tab/>
        <w:t>Europaparlamentet understryker att det i många europeiska länder inte finns några stödsystem för biovisningar. Parlamentet betonar i detta avseende vikten av att det finns tillräcklig finansiering för nätverket Europa Cinemas, ett flaggskeppsinitiativ inom programområdet Media, som bidrar till spridningen av europeiska filmer på biografer.</w:t>
      </w:r>
    </w:p>
    <w:p w:rsidR="008E6B6A" w:rsidRPr="00AD10A8" w:rsidRDefault="008E6B6A" w:rsidP="008E6B6A">
      <w:pPr>
        <w:pStyle w:val="NormalHanging12a"/>
        <w:widowControl/>
      </w:pPr>
      <w:r w:rsidRPr="00AD10A8">
        <w:t>43.</w:t>
      </w:r>
      <w:r w:rsidRPr="00AD10A8">
        <w:tab/>
        <w:t>Europaparlamentet betonar att förordningen om Kreativa Europa 2021–2027 utökar stödet till nätverksaktiviteter för audiovisuellt yrkesverksamma, inbegripet kreatörer. Parlamentet påpekar att denna åtgärd ännu inte har genomförts. Parlamentet uppmanar därför kommissionen att genomföra en särskild åtgärd i syfte att stödja aktiviteter som är avsedda för nätverksarbete och samarbete mellan europeiska yrkesorganisationer och kulturella organisationer inom den audiovisuella värdekedjan i god tid.</w:t>
      </w:r>
    </w:p>
    <w:p w:rsidR="008E6B6A" w:rsidRPr="00AD10A8" w:rsidRDefault="008E6B6A" w:rsidP="008E6B6A">
      <w:pPr>
        <w:pStyle w:val="NormalHanging12a"/>
        <w:widowControl/>
      </w:pPr>
      <w:r w:rsidRPr="00AD10A8">
        <w:lastRenderedPageBreak/>
        <w:t>44.</w:t>
      </w:r>
      <w:r w:rsidRPr="00AD10A8">
        <w:tab/>
        <w:t>Europaparlamentet påminner om den framgångsrika förberedande åtgärden Europeiskt skrivande och föreslår att kommissionen införlivar målen för denna åtgärd i programmet Kreativa Europa.</w:t>
      </w:r>
    </w:p>
    <w:p w:rsidR="008E6B6A" w:rsidRPr="00AD10A8" w:rsidRDefault="008E6B6A" w:rsidP="008E6B6A">
      <w:pPr>
        <w:pStyle w:val="NormalHanging12a"/>
        <w:widowControl/>
        <w:rPr>
          <w:rFonts w:eastAsiaTheme="minorHAnsi"/>
        </w:rPr>
      </w:pPr>
      <w:r w:rsidRPr="00AD10A8">
        <w:t>45.</w:t>
      </w:r>
      <w:r w:rsidRPr="00AD10A8">
        <w:tab/>
        <w:t>Europaparlamentet välkomnar införandet av en särskild åtgärd för att stödja utvecklingen av videospel och immersivt innehåll, vilket har väckt stort intresse inom sektorn. Parlamentet uppmanar kommissionen att stödja denna sektors kulturella och kreativa dimension genom att ta hänsyn till dess särdrag och särskilda behov när den utformar de berörda ansökningsomgångarna, inbegripet behovet att testa nya affärsmodeller i den virtuella världen för att stödja kompetensutveckling på det här området, med särskilt fokus på kvinnors deltagande. Parlamentet konstaterar dock att den nuvarande budgeten kanske inte räcker till för detta och efterlyser extra finansiering för att stödja tillväxten i det europeiska videospelsekosystemet och uppmuntra utvecklingen och bevarandet av europeiska talanger.</w:t>
      </w:r>
    </w:p>
    <w:p w:rsidR="008E6B6A" w:rsidRPr="00AD10A8" w:rsidRDefault="008E6B6A" w:rsidP="008E6B6A">
      <w:pPr>
        <w:pStyle w:val="NormalHanging12a"/>
        <w:widowControl/>
        <w:rPr>
          <w:rFonts w:eastAsiaTheme="minorHAnsi"/>
        </w:rPr>
      </w:pPr>
      <w:r w:rsidRPr="00AD10A8">
        <w:t>46.</w:t>
      </w:r>
      <w:r w:rsidRPr="00AD10A8">
        <w:tab/>
        <w:t>Europaparlamentet betonar att en stigande inflation på en mycket konkurrensutsatt audiovisuell marknad påverkar produktionskostnaderna. Parlamentet uppmanar därför kommissionen att anpassa finansieringstaken uppåt i syfte att säkerställa att programområdet Media ger sitt stöd till den audiovisuella branschen.</w:t>
      </w:r>
    </w:p>
    <w:p w:rsidR="008E6B6A" w:rsidRPr="00AD10A8" w:rsidRDefault="008E6B6A" w:rsidP="008E6B6A">
      <w:pPr>
        <w:pStyle w:val="NormalHanging12a"/>
        <w:widowControl/>
        <w:rPr>
          <w:rFonts w:eastAsiaTheme="minorHAnsi"/>
        </w:rPr>
      </w:pPr>
      <w:r w:rsidRPr="00AD10A8">
        <w:t>47.</w:t>
      </w:r>
      <w:r w:rsidRPr="00AD10A8">
        <w:tab/>
        <w:t>Europaparlamentet erkänner framgången med ansökningsomgången för nätverken för europeiska festivaler, som har gett stöd till 71 festivaler inom 12 nätverk, där man bland annat har samarbetat för att främja publikengagemang. Parlamentet uppmanar därför kommissionen att fortsätta att finansiera de två kompletterande åtgärderna, nämligen de europeiska festivalerna och nätverket för europeiska festivaler, vartannat år.</w:t>
      </w:r>
    </w:p>
    <w:p w:rsidR="008E6B6A" w:rsidRPr="00AD10A8" w:rsidRDefault="008E6B6A" w:rsidP="008E6B6A">
      <w:pPr>
        <w:pStyle w:val="NormalHanging12a"/>
        <w:widowControl/>
        <w:rPr>
          <w:rFonts w:eastAsiaTheme="minorHAnsi"/>
        </w:rPr>
      </w:pPr>
      <w:r w:rsidRPr="00AD10A8">
        <w:t>48.</w:t>
      </w:r>
      <w:r w:rsidRPr="00AD10A8">
        <w:tab/>
        <w:t>Europaparlamentet noterar att eftersom Media Invest-faciliteten lockade till sig ett stort antal ansökningar måste mer omfattande budgetsynergier med InvestEU-programmet säkerställas för dess framtida genomförande. Parlamentet uppmanar kommissionen att ytterligare förbättra marknadsföringen av denna facilitet i den audiovisuella sektorn.</w:t>
      </w:r>
    </w:p>
    <w:p w:rsidR="008E6B6A" w:rsidRPr="00AD10A8" w:rsidRDefault="008E6B6A" w:rsidP="008E6B6A">
      <w:pPr>
        <w:pStyle w:val="NormalHanging12a"/>
        <w:widowControl/>
        <w:rPr>
          <w:rFonts w:eastAsiaTheme="minorHAnsi"/>
        </w:rPr>
      </w:pPr>
      <w:r w:rsidRPr="00AD10A8">
        <w:t>49.</w:t>
      </w:r>
      <w:r w:rsidRPr="00AD10A8">
        <w:tab/>
        <w:t>Europaparlamentet påminner om att kommissionens förslag från september 2022 om en europeisk mediefrihetsakt inrättar en europeisk medienämnd som ska ersätta den europeiska gruppen av regleringsmyndigheter för audiovisuella medietjänster (Erga) som inrättades genom direktiv 2010/13/EU</w:t>
      </w:r>
      <w:r w:rsidRPr="00AD10A8">
        <w:rPr>
          <w:rStyle w:val="FootnoteReference"/>
          <w:rFonts w:eastAsiaTheme="minorHAnsi"/>
        </w:rPr>
        <w:footnoteReference w:id="15"/>
      </w:r>
      <w:r w:rsidRPr="00AD10A8">
        <w:t>. Med tanke på de begränsade finansiella resurser som finns tillgängliga för genomförandet av programmets mål betonar parlamentet att budgeten som avsatts för programområdet Media och andra budgetposter i programmet inte får gå till att finansiera nämnden.</w:t>
      </w:r>
    </w:p>
    <w:p w:rsidR="008E6B6A" w:rsidRPr="00AD10A8" w:rsidRDefault="008E6B6A" w:rsidP="008E6B6A">
      <w:pPr>
        <w:pStyle w:val="NormalHanging12a"/>
        <w:widowControl/>
        <w:rPr>
          <w:rFonts w:eastAsiaTheme="minorHAnsi"/>
          <w:b/>
          <w:i/>
        </w:rPr>
      </w:pPr>
      <w:r w:rsidRPr="00AD10A8">
        <w:rPr>
          <w:b/>
          <w:i/>
        </w:rPr>
        <w:t>Det sektorsövergripande programområdet</w:t>
      </w:r>
    </w:p>
    <w:p w:rsidR="008E6B6A" w:rsidRPr="00AD10A8" w:rsidRDefault="008E6B6A" w:rsidP="008E6B6A">
      <w:pPr>
        <w:pStyle w:val="NormalHanging12a"/>
        <w:widowControl/>
        <w:rPr>
          <w:rFonts w:eastAsiaTheme="minorHAnsi"/>
        </w:rPr>
      </w:pPr>
      <w:r w:rsidRPr="00AD10A8">
        <w:t>50.</w:t>
      </w:r>
      <w:r w:rsidRPr="00AD10A8">
        <w:tab/>
        <w:t>Europaparlamentet beklagar att de åtgärder som planerats inom det sektorsövergripande programområdet har drabbats av de största förseningarna i genomförandet, särskilt under 2021, på grund av de nyheter som införts inom programområdet.</w:t>
      </w:r>
    </w:p>
    <w:p w:rsidR="008E6B6A" w:rsidRPr="00AD10A8" w:rsidRDefault="008E6B6A" w:rsidP="008E6B6A">
      <w:pPr>
        <w:pStyle w:val="NormalHanging12a"/>
        <w:widowControl/>
        <w:rPr>
          <w:rFonts w:eastAsiaTheme="minorHAnsi"/>
        </w:rPr>
      </w:pPr>
      <w:r w:rsidRPr="00AD10A8">
        <w:t>51.</w:t>
      </w:r>
      <w:r w:rsidRPr="00AD10A8">
        <w:tab/>
        <w:t xml:space="preserve">Europaparlamentet noterar att ansökningsomgångarna för journalistikpartnerskap och för mediekompetens lockade till sig flest ansökningar under 2021–2022, vilket </w:t>
      </w:r>
      <w:r w:rsidRPr="00AD10A8">
        <w:lastRenderedPageBreak/>
        <w:t>understryker det akuta behovet av ökat ekonomiskt stöd till den europeiska mediesektorn.</w:t>
      </w:r>
    </w:p>
    <w:p w:rsidR="008E6B6A" w:rsidRPr="00AD10A8" w:rsidRDefault="008E6B6A" w:rsidP="008E6B6A">
      <w:pPr>
        <w:pStyle w:val="NormalHanging12a"/>
        <w:widowControl/>
        <w:rPr>
          <w:rFonts w:eastAsiaTheme="minorHAnsi"/>
        </w:rPr>
      </w:pPr>
      <w:r w:rsidRPr="00AD10A8">
        <w:t>52.</w:t>
      </w:r>
      <w:r w:rsidRPr="00AD10A8">
        <w:tab/>
        <w:t>Europaparlamentet konstaterar att den låga andelen framgångsrika ansökningar inom det sektorsövergripande programområdet, trots den övergripande höga kvaliteten på inlagorna, tyder på en stor efterfrågan på ekonomiskt stöd som tyvärr inte kan hanteras genom det nuvarande finansieringsanslaget.</w:t>
      </w:r>
    </w:p>
    <w:p w:rsidR="008E6B6A" w:rsidRPr="00AD10A8" w:rsidRDefault="008E6B6A" w:rsidP="008E6B6A">
      <w:pPr>
        <w:pStyle w:val="NormalHanging12a"/>
        <w:widowControl/>
        <w:rPr>
          <w:rFonts w:eastAsiaTheme="minorHAnsi"/>
        </w:rPr>
      </w:pPr>
      <w:r w:rsidRPr="00AD10A8">
        <w:t>53.</w:t>
      </w:r>
      <w:r w:rsidRPr="00AD10A8">
        <w:tab/>
        <w:t>Europaparlamentet uppmanar kommissionen att se till att minst 9 %</w:t>
      </w:r>
      <w:r w:rsidRPr="00AD10A8">
        <w:rPr>
          <w:rStyle w:val="FootnoteReference"/>
        </w:rPr>
        <w:footnoteReference w:id="16"/>
      </w:r>
      <w:r w:rsidRPr="00AD10A8">
        <w:t xml:space="preserve"> av den totala budgeten för 2021–2027 avsätts för att stödja det sektorsövergripande programområdets mål under den återstående programperioden.</w:t>
      </w:r>
    </w:p>
    <w:p w:rsidR="008E6B6A" w:rsidRPr="00AD10A8" w:rsidRDefault="008E6B6A" w:rsidP="008E6B6A">
      <w:pPr>
        <w:pStyle w:val="NormalHanging12a"/>
        <w:widowControl/>
        <w:jc w:val="center"/>
        <w:rPr>
          <w:rFonts w:eastAsiaTheme="minorHAnsi"/>
        </w:rPr>
      </w:pPr>
      <w:r w:rsidRPr="00AD10A8">
        <w:t>°</w:t>
      </w:r>
    </w:p>
    <w:p w:rsidR="008E6B6A" w:rsidRPr="00AD10A8" w:rsidRDefault="008E6B6A" w:rsidP="008E6B6A">
      <w:pPr>
        <w:pStyle w:val="NormalHanging12a"/>
        <w:widowControl/>
        <w:jc w:val="center"/>
        <w:rPr>
          <w:rFonts w:eastAsiaTheme="minorHAnsi"/>
        </w:rPr>
      </w:pPr>
      <w:r w:rsidRPr="00AD10A8">
        <w:t>°</w:t>
      </w:r>
      <w:r w:rsidRPr="00AD10A8">
        <w:tab/>
        <w:t>°</w:t>
      </w:r>
    </w:p>
    <w:p w:rsidR="008E6B6A" w:rsidRPr="00AD10A8" w:rsidRDefault="008E6B6A" w:rsidP="008E6B6A">
      <w:pPr>
        <w:pStyle w:val="NormalHanging12a"/>
        <w:widowControl/>
      </w:pPr>
      <w:r w:rsidRPr="00AD10A8">
        <w:t>54.</w:t>
      </w:r>
      <w:r w:rsidRPr="00AD10A8">
        <w:tab/>
        <w:t>Europaparlamentet uppdrar åt talmannen att översända denna resolution till rådet och kommissionen</w:t>
      </w:r>
      <w:r w:rsidRPr="00AD10A8">
        <w:rPr>
          <w:snapToGrid w:val="0"/>
        </w:rPr>
        <w:t>, samt till de nationella kontaktkontoren för Kreativa Europa.</w:t>
      </w:r>
    </w:p>
    <w:p w:rsidR="008E6B6A" w:rsidRPr="00AD10A8" w:rsidRDefault="008E6B6A" w:rsidP="008E6B6A"/>
    <w:sectPr w:rsidR="008E6B6A" w:rsidRPr="00AD10A8" w:rsidSect="00AD10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1C8" w:rsidRPr="00AD10A8" w:rsidRDefault="007111C8">
      <w:r w:rsidRPr="00AD10A8">
        <w:separator/>
      </w:r>
    </w:p>
  </w:endnote>
  <w:endnote w:type="continuationSeparator" w:id="0">
    <w:p w:rsidR="007111C8" w:rsidRPr="00AD10A8" w:rsidRDefault="007111C8">
      <w:r w:rsidRPr="00AD10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0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0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0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1C8" w:rsidRPr="00AD10A8" w:rsidRDefault="007111C8">
      <w:r w:rsidRPr="00AD10A8">
        <w:separator/>
      </w:r>
    </w:p>
  </w:footnote>
  <w:footnote w:type="continuationSeparator" w:id="0">
    <w:p w:rsidR="007111C8" w:rsidRPr="00AD10A8" w:rsidRDefault="007111C8">
      <w:r w:rsidRPr="00AD10A8">
        <w:continuationSeparator/>
      </w:r>
    </w:p>
  </w:footnote>
  <w:footnote w:id="1">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L 189, 28.5.2021, s. 34.</w:t>
      </w:r>
    </w:p>
  </w:footnote>
  <w:footnote w:id="2">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L 347, 20.12.2013, s. 221.</w:t>
      </w:r>
    </w:p>
  </w:footnote>
  <w:footnote w:id="3">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C 108, 26.3.2021, s. 934.</w:t>
      </w:r>
    </w:p>
  </w:footnote>
  <w:footnote w:id="4">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C 110, 22.3.2019, s. 87.</w:t>
      </w:r>
    </w:p>
  </w:footnote>
  <w:footnote w:id="5">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C 168, 16.5.2019, s. 37.</w:t>
      </w:r>
    </w:p>
  </w:footnote>
  <w:footnote w:id="6">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C 466, 7.12.2022, s. 1.</w:t>
      </w:r>
    </w:p>
  </w:footnote>
  <w:footnote w:id="7">
    <w:p w:rsidR="008E6B6A" w:rsidRPr="00AD10A8" w:rsidRDefault="008E6B6A" w:rsidP="00AD10A8">
      <w:pPr>
        <w:pStyle w:val="FootnoteText"/>
        <w:ind w:left="567" w:hanging="567"/>
        <w:rPr>
          <w:sz w:val="24"/>
          <w:lang w:val="sv-SE"/>
        </w:rPr>
      </w:pPr>
      <w:r w:rsidRPr="00AD10A8">
        <w:rPr>
          <w:rStyle w:val="FootnoteReference"/>
          <w:sz w:val="24"/>
          <w:lang w:val="sv-SE"/>
        </w:rPr>
        <w:footnoteRef/>
      </w:r>
      <w:r w:rsidR="00AD10A8" w:rsidRPr="00AD10A8">
        <w:rPr>
          <w:sz w:val="24"/>
          <w:lang w:val="sv-SE"/>
        </w:rPr>
        <w:t xml:space="preserve"> </w:t>
      </w:r>
      <w:r w:rsidR="00AD10A8" w:rsidRPr="00AD10A8">
        <w:rPr>
          <w:sz w:val="24"/>
          <w:lang w:val="sv-SE"/>
        </w:rPr>
        <w:tab/>
      </w:r>
      <w:r w:rsidRPr="00AD10A8">
        <w:rPr>
          <w:sz w:val="24"/>
          <w:lang w:val="sv-SE"/>
        </w:rPr>
        <w:t>Antagna texter, P9_TA(2023)0329.</w:t>
      </w:r>
    </w:p>
  </w:footnote>
  <w:footnote w:id="8">
    <w:p w:rsidR="008E6B6A" w:rsidRPr="00AD10A8" w:rsidRDefault="008E6B6A" w:rsidP="00AD10A8">
      <w:pPr>
        <w:pStyle w:val="FootnoteText"/>
        <w:ind w:left="567" w:hanging="567"/>
        <w:rPr>
          <w:sz w:val="24"/>
          <w:lang w:val="sv-SE"/>
        </w:rPr>
      </w:pPr>
      <w:r w:rsidRPr="00AD10A8">
        <w:rPr>
          <w:rStyle w:val="FootnoteReference"/>
          <w:sz w:val="24"/>
          <w:lang w:val="sv-SE"/>
        </w:rPr>
        <w:footnoteRef/>
      </w:r>
      <w:r w:rsidR="00AD10A8" w:rsidRPr="00AD10A8">
        <w:rPr>
          <w:sz w:val="24"/>
          <w:lang w:val="sv-SE"/>
        </w:rPr>
        <w:t xml:space="preserve"> </w:t>
      </w:r>
      <w:r w:rsidR="00AD10A8" w:rsidRPr="00AD10A8">
        <w:rPr>
          <w:sz w:val="24"/>
          <w:lang w:val="sv-SE"/>
        </w:rPr>
        <w:tab/>
      </w:r>
      <w:r w:rsidRPr="00AD10A8">
        <w:rPr>
          <w:sz w:val="24"/>
          <w:lang w:val="sv-SE"/>
        </w:rPr>
        <w:t>EUT C 177, 17.5.2023, s. 78.</w:t>
      </w:r>
    </w:p>
  </w:footnote>
  <w:footnote w:id="9">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C 184, 5.5.2022, s. 71.</w:t>
      </w:r>
    </w:p>
  </w:footnote>
  <w:footnote w:id="10">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C 316, 6.8.2021, s. 2.</w:t>
      </w:r>
    </w:p>
  </w:footnote>
  <w:footnote w:id="11">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C 385, 22.9.2021, s. 2.</w:t>
      </w:r>
    </w:p>
  </w:footnote>
  <w:footnote w:id="12">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r w:rsidRPr="001B7373">
        <w:rPr>
          <w:sz w:val="24"/>
        </w:rPr>
        <w:t>EUT C 385, 22.9.2021, s. 152.</w:t>
      </w:r>
    </w:p>
  </w:footnote>
  <w:footnote w:id="13">
    <w:p w:rsidR="008E6B6A" w:rsidRPr="001B7373" w:rsidRDefault="008E6B6A" w:rsidP="00AD10A8">
      <w:pPr>
        <w:pStyle w:val="FootnoteText"/>
        <w:ind w:left="567" w:hanging="567"/>
        <w:rPr>
          <w:sz w:val="24"/>
        </w:rPr>
      </w:pPr>
      <w:r w:rsidRPr="00AD10A8">
        <w:rPr>
          <w:rStyle w:val="FootnoteReference"/>
          <w:sz w:val="24"/>
          <w:lang w:val="sv-SE"/>
        </w:rPr>
        <w:footnoteRef/>
      </w:r>
      <w:r w:rsidR="00AD10A8" w:rsidRPr="001B7373">
        <w:rPr>
          <w:sz w:val="24"/>
        </w:rPr>
        <w:t xml:space="preserve"> </w:t>
      </w:r>
      <w:r w:rsidR="00AD10A8" w:rsidRPr="001B7373">
        <w:rPr>
          <w:sz w:val="24"/>
        </w:rPr>
        <w:tab/>
      </w:r>
      <w:bookmarkStart w:id="9" w:name="_Hlk156144129"/>
      <w:r w:rsidR="004E7C6E">
        <w:rPr>
          <w:sz w:val="24"/>
          <w:lang w:val="sv-SE"/>
        </w:rPr>
        <w:fldChar w:fldCharType="begin"/>
      </w:r>
      <w:r w:rsidR="004E7C6E" w:rsidRPr="001B7373">
        <w:rPr>
          <w:sz w:val="24"/>
        </w:rPr>
        <w:instrText xml:space="preserve"> HYPERLINK "https://ec.europa.eu/eurostat/web/products-eurostat-news/w/ddn-20230309-2" </w:instrText>
      </w:r>
      <w:r w:rsidR="004E7C6E">
        <w:rPr>
          <w:sz w:val="24"/>
          <w:lang w:val="sv-SE"/>
        </w:rPr>
        <w:fldChar w:fldCharType="separate"/>
      </w:r>
      <w:r w:rsidR="004E7C6E" w:rsidRPr="001B7373">
        <w:rPr>
          <w:rStyle w:val="Hyperlink"/>
          <w:sz w:val="24"/>
        </w:rPr>
        <w:t>https://ec.europa.eu/eurostat/web/products-eurostat-news/w/ddn-20230309-2</w:t>
      </w:r>
      <w:bookmarkEnd w:id="9"/>
      <w:r w:rsidR="004E7C6E">
        <w:rPr>
          <w:sz w:val="24"/>
          <w:lang w:val="sv-SE"/>
        </w:rPr>
        <w:fldChar w:fldCharType="end"/>
      </w:r>
      <w:r w:rsidRPr="001B7373">
        <w:rPr>
          <w:sz w:val="24"/>
        </w:rPr>
        <w:t>.</w:t>
      </w:r>
    </w:p>
  </w:footnote>
  <w:footnote w:id="14">
    <w:p w:rsidR="008E6B6A" w:rsidRPr="00AD10A8" w:rsidRDefault="008E6B6A" w:rsidP="00AD10A8">
      <w:pPr>
        <w:pStyle w:val="FootnoteText"/>
        <w:ind w:left="567" w:hanging="567"/>
        <w:rPr>
          <w:sz w:val="24"/>
          <w:lang w:val="sv-SE"/>
        </w:rPr>
      </w:pPr>
      <w:r w:rsidRPr="00AD10A8">
        <w:rPr>
          <w:rStyle w:val="FootnoteReference"/>
          <w:sz w:val="24"/>
          <w:lang w:val="sv-SE"/>
        </w:rPr>
        <w:footnoteRef/>
      </w:r>
      <w:r w:rsidR="00AD10A8" w:rsidRPr="00AD10A8">
        <w:rPr>
          <w:sz w:val="24"/>
          <w:lang w:val="sv-SE"/>
        </w:rPr>
        <w:t xml:space="preserve"> </w:t>
      </w:r>
      <w:r w:rsidR="00AD10A8" w:rsidRPr="00AD10A8">
        <w:rPr>
          <w:sz w:val="24"/>
          <w:lang w:val="sv-SE"/>
        </w:rPr>
        <w:tab/>
      </w:r>
      <w:r w:rsidRPr="00AD10A8">
        <w:rPr>
          <w:sz w:val="24"/>
          <w:lang w:val="sv-SE"/>
        </w:rPr>
        <w:t xml:space="preserve">Europaparlamentets och rådets förordning (EU) 2016/679 av den 27 april 2016 om skydd för fysiska personer med avseende på behandling av personuppgifter och om det fria flödet av sådana uppgifter och om upphävande av direktiv 95/46/EG </w:t>
      </w:r>
      <w:r w:rsidR="004E7C6E">
        <w:rPr>
          <w:sz w:val="24"/>
          <w:lang w:val="sv-SE"/>
        </w:rPr>
        <w:t>(</w:t>
      </w:r>
      <w:r w:rsidRPr="00AD10A8">
        <w:rPr>
          <w:sz w:val="24"/>
          <w:lang w:val="sv-SE"/>
        </w:rPr>
        <w:t>EUT L 119, 4.5.2016, s. 1</w:t>
      </w:r>
      <w:r w:rsidR="004E7C6E">
        <w:rPr>
          <w:sz w:val="24"/>
          <w:lang w:val="sv-SE"/>
        </w:rPr>
        <w:t>)</w:t>
      </w:r>
      <w:r w:rsidRPr="00AD10A8">
        <w:rPr>
          <w:sz w:val="24"/>
          <w:lang w:val="sv-SE"/>
        </w:rPr>
        <w:t>.</w:t>
      </w:r>
    </w:p>
  </w:footnote>
  <w:footnote w:id="15">
    <w:p w:rsidR="008E6B6A" w:rsidRPr="00AD10A8" w:rsidRDefault="008E6B6A" w:rsidP="00AD10A8">
      <w:pPr>
        <w:pStyle w:val="FootnoteText"/>
        <w:ind w:left="567" w:hanging="567"/>
        <w:rPr>
          <w:sz w:val="24"/>
          <w:lang w:val="sv-SE"/>
        </w:rPr>
      </w:pPr>
      <w:r w:rsidRPr="00AD10A8">
        <w:rPr>
          <w:rStyle w:val="FootnoteReference"/>
          <w:sz w:val="24"/>
          <w:lang w:val="sv-SE"/>
        </w:rPr>
        <w:footnoteRef/>
      </w:r>
      <w:r w:rsidR="00AD10A8" w:rsidRPr="00AD10A8">
        <w:rPr>
          <w:sz w:val="24"/>
          <w:lang w:val="sv-SE"/>
        </w:rPr>
        <w:t xml:space="preserve"> </w:t>
      </w:r>
      <w:r w:rsidR="00AD10A8" w:rsidRPr="00AD10A8">
        <w:rPr>
          <w:sz w:val="24"/>
          <w:lang w:val="sv-SE"/>
        </w:rPr>
        <w:tab/>
      </w:r>
      <w:r w:rsidRPr="00AD10A8">
        <w:rPr>
          <w:sz w:val="24"/>
          <w:lang w:val="sv-SE"/>
        </w:rPr>
        <w:t xml:space="preserve">Europaparlamentets och rådets direktiv 2010/13/EU av den 10 mars 2010 om samordning av vissa bestämmelser som fastställs i medlemsstaternas lagar och andra författningar om tillhandahållande av audiovisuella medietjänster (direktiv om audiovisuella medietjänster) </w:t>
      </w:r>
      <w:r w:rsidR="004E7C6E">
        <w:rPr>
          <w:sz w:val="24"/>
          <w:lang w:val="sv-SE"/>
        </w:rPr>
        <w:t>(</w:t>
      </w:r>
      <w:r w:rsidRPr="00AD10A8">
        <w:rPr>
          <w:sz w:val="24"/>
          <w:lang w:val="sv-SE"/>
        </w:rPr>
        <w:t>EUT L 95, 15.4.2010, s. 1</w:t>
      </w:r>
      <w:r w:rsidR="004E7C6E">
        <w:rPr>
          <w:sz w:val="24"/>
          <w:lang w:val="sv-SE"/>
        </w:rPr>
        <w:t>)</w:t>
      </w:r>
      <w:r w:rsidRPr="00AD10A8">
        <w:rPr>
          <w:sz w:val="24"/>
          <w:lang w:val="sv-SE"/>
        </w:rPr>
        <w:t>.</w:t>
      </w:r>
    </w:p>
  </w:footnote>
  <w:footnote w:id="16">
    <w:p w:rsidR="008E6B6A" w:rsidRPr="00AD10A8" w:rsidRDefault="008E6B6A" w:rsidP="00AD10A8">
      <w:pPr>
        <w:pStyle w:val="FootnoteText"/>
        <w:ind w:left="567" w:hanging="567"/>
        <w:rPr>
          <w:sz w:val="24"/>
          <w:lang w:val="sv-SE"/>
        </w:rPr>
      </w:pPr>
      <w:r w:rsidRPr="00AD10A8">
        <w:rPr>
          <w:rStyle w:val="FootnoteReference"/>
          <w:sz w:val="24"/>
          <w:lang w:val="sv-SE"/>
        </w:rPr>
        <w:footnoteRef/>
      </w:r>
      <w:r w:rsidR="00AD10A8" w:rsidRPr="00AD10A8">
        <w:rPr>
          <w:sz w:val="24"/>
          <w:lang w:val="sv-SE"/>
        </w:rPr>
        <w:t xml:space="preserve"> </w:t>
      </w:r>
      <w:r w:rsidR="00AD10A8" w:rsidRPr="00AD10A8">
        <w:rPr>
          <w:sz w:val="24"/>
          <w:lang w:val="sv-SE"/>
        </w:rPr>
        <w:tab/>
      </w:r>
      <w:r w:rsidRPr="00AD10A8">
        <w:rPr>
          <w:sz w:val="24"/>
          <w:lang w:val="sv-SE"/>
        </w:rPr>
        <w:t>Artikel 8 i förordning (EU) 2021/818 om inrättande av programmet Kreativa Europa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0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0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0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SV"/>
    <w:docVar w:name="dvnumam" w:val="0"/>
    <w:docVar w:name="dvpe" w:val="750.020"/>
    <w:docVar w:name="dvrapporteur" w:val="Föredragande: "/>
    <w:docVar w:name="dvtitre" w:val="Europaparlamentets resolution av den xx xx 2024 om genomförandet av programmet Kreativa Europa 2021–2027(2023/2003(INI))"/>
  </w:docVars>
  <w:rsids>
    <w:rsidRoot w:val="007111C8"/>
    <w:rsid w:val="00002272"/>
    <w:rsid w:val="00064002"/>
    <w:rsid w:val="000677B9"/>
    <w:rsid w:val="000831BA"/>
    <w:rsid w:val="000A42CC"/>
    <w:rsid w:val="000E7DD9"/>
    <w:rsid w:val="0010095E"/>
    <w:rsid w:val="00125B37"/>
    <w:rsid w:val="00187494"/>
    <w:rsid w:val="001B737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C6E"/>
    <w:rsid w:val="0050519A"/>
    <w:rsid w:val="005072A1"/>
    <w:rsid w:val="00514517"/>
    <w:rsid w:val="00545827"/>
    <w:rsid w:val="00560270"/>
    <w:rsid w:val="005C2568"/>
    <w:rsid w:val="006037C0"/>
    <w:rsid w:val="0066084C"/>
    <w:rsid w:val="006631B6"/>
    <w:rsid w:val="00680577"/>
    <w:rsid w:val="006F74FA"/>
    <w:rsid w:val="007111C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B6A"/>
    <w:rsid w:val="00930C23"/>
    <w:rsid w:val="0093193B"/>
    <w:rsid w:val="009509D8"/>
    <w:rsid w:val="00950B64"/>
    <w:rsid w:val="00981893"/>
    <w:rsid w:val="00A1687D"/>
    <w:rsid w:val="00A43E52"/>
    <w:rsid w:val="00A4678D"/>
    <w:rsid w:val="00A778C7"/>
    <w:rsid w:val="00AB441E"/>
    <w:rsid w:val="00AB6293"/>
    <w:rsid w:val="00AD10A8"/>
    <w:rsid w:val="00AE0928"/>
    <w:rsid w:val="00AF3B82"/>
    <w:rsid w:val="00B12E95"/>
    <w:rsid w:val="00B22876"/>
    <w:rsid w:val="00B558F0"/>
    <w:rsid w:val="00BD2EF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448FE"/>
  <w15:chartTrackingRefBased/>
  <w15:docId w15:val="{53B84D98-6CB2-4775-9A94-55B5B38C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E6B6A"/>
    <w:pPr>
      <w:spacing w:after="240"/>
      <w:ind w:left="567" w:hanging="567"/>
    </w:pPr>
  </w:style>
  <w:style w:type="paragraph" w:customStyle="1" w:styleId="EPComma">
    <w:name w:val="EPComma"/>
    <w:basedOn w:val="Normal"/>
    <w:rsid w:val="008E6B6A"/>
    <w:pPr>
      <w:spacing w:before="480" w:after="240"/>
    </w:pPr>
  </w:style>
  <w:style w:type="character" w:styleId="Hyperlink">
    <w:name w:val="Hyperlink"/>
    <w:basedOn w:val="DefaultParagraphFont"/>
    <w:rsid w:val="004E7C6E"/>
    <w:rPr>
      <w:color w:val="0563C1" w:themeColor="hyperlink"/>
      <w:u w:val="single"/>
    </w:rPr>
  </w:style>
  <w:style w:type="character" w:styleId="FollowedHyperlink">
    <w:name w:val="FollowedHyperlink"/>
    <w:basedOn w:val="DefaultParagraphFont"/>
    <w:rsid w:val="004E7C6E"/>
    <w:rPr>
      <w:color w:val="954F72" w:themeColor="followedHyperlink"/>
      <w:u w:val="single"/>
    </w:rPr>
  </w:style>
  <w:style w:type="paragraph" w:styleId="BalloonText">
    <w:name w:val="Balloon Text"/>
    <w:basedOn w:val="Normal"/>
    <w:link w:val="BalloonTextChar"/>
    <w:rsid w:val="001B7373"/>
    <w:rPr>
      <w:rFonts w:ascii="Segoe UI" w:hAnsi="Segoe UI" w:cs="Segoe UI"/>
      <w:sz w:val="18"/>
      <w:szCs w:val="18"/>
    </w:rPr>
  </w:style>
  <w:style w:type="character" w:customStyle="1" w:styleId="BalloonTextChar">
    <w:name w:val="Balloon Text Char"/>
    <w:basedOn w:val="DefaultParagraphFont"/>
    <w:link w:val="BalloonText"/>
    <w:rsid w:val="001B737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29947-8BEF-496E-B3F6-68459AC85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4714</Words>
  <Characters>31070</Characters>
  <Application>Microsoft Office Word</Application>
  <DocSecurity>0</DocSecurity>
  <Lines>258</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2024-01-16T14:32:00Z</dcterms:created>
  <dcterms:modified xsi:type="dcterms:W3CDTF">2024-01-16T14:32:00Z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P9_TA-PROV(2024)0008_A9-0425_2023_SV_r</vt:lpwstr>
  </property>
  <property fmtid="{D5CDD505-2E9C-101B-9397-08002B2CF9AE}" pid="4" name="&lt;Type&gt;">
    <vt:lpwstr>RR</vt:lpwstr>
  </property>
</Properties>
</file>