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533D" w:rsidTr="0010095E">
        <w:trPr>
          <w:trHeight w:hRule="exact" w:val="1418"/>
        </w:trPr>
        <w:tc>
          <w:tcPr>
            <w:tcW w:w="6804" w:type="dxa"/>
            <w:shd w:val="clear" w:color="auto" w:fill="auto"/>
            <w:vAlign w:val="center"/>
          </w:tcPr>
          <w:p w:rsidR="00751A4A" w:rsidRPr="0060533D" w:rsidRDefault="00F119F2" w:rsidP="0010095E">
            <w:pPr>
              <w:pStyle w:val="EPName"/>
            </w:pPr>
            <w:r w:rsidRPr="0060533D">
              <w:t>Европейски</w:t>
            </w:r>
            <w:r w:rsidR="008D040B" w:rsidRPr="0060533D">
              <w:t xml:space="preserve"> парламент</w:t>
            </w:r>
          </w:p>
          <w:p w:rsidR="00751A4A" w:rsidRPr="0060533D" w:rsidRDefault="00817416" w:rsidP="00756632">
            <w:pPr>
              <w:pStyle w:val="EPTerm"/>
              <w:rPr>
                <w:rStyle w:val="HideTWBExt"/>
                <w:noProof w:val="0"/>
                <w:vanish w:val="0"/>
                <w:color w:val="auto"/>
              </w:rPr>
            </w:pPr>
            <w:r w:rsidRPr="0060533D">
              <w:t>2019</w:t>
            </w:r>
            <w:r w:rsidR="00F119F2">
              <w:t> – </w:t>
            </w:r>
            <w:r w:rsidRPr="0060533D">
              <w:t>2024</w:t>
            </w:r>
          </w:p>
        </w:tc>
        <w:tc>
          <w:tcPr>
            <w:tcW w:w="2268" w:type="dxa"/>
            <w:shd w:val="clear" w:color="auto" w:fill="auto"/>
          </w:tcPr>
          <w:p w:rsidR="00751A4A" w:rsidRPr="0060533D" w:rsidRDefault="00187494" w:rsidP="0010095E">
            <w:pPr>
              <w:pStyle w:val="EPLogo"/>
            </w:pPr>
            <w:r w:rsidRPr="006053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533D" w:rsidRDefault="00D058B8" w:rsidP="004C5D52">
      <w:pPr>
        <w:pStyle w:val="LineTop"/>
      </w:pPr>
    </w:p>
    <w:p w:rsidR="00680577" w:rsidRPr="0060533D" w:rsidRDefault="008D040B" w:rsidP="00680577">
      <w:pPr>
        <w:pStyle w:val="EPBodyTA1"/>
      </w:pPr>
      <w:r w:rsidRPr="0060533D">
        <w:t>ПРИЕТИ ТЕКСТОВЕ</w:t>
      </w:r>
    </w:p>
    <w:p w:rsidR="00D058B8" w:rsidRPr="0060533D" w:rsidRDefault="00D058B8" w:rsidP="00D058B8">
      <w:pPr>
        <w:pStyle w:val="LineBottom"/>
      </w:pPr>
    </w:p>
    <w:p w:rsidR="008D040B" w:rsidRPr="0060533D" w:rsidRDefault="008D040B" w:rsidP="008D040B">
      <w:pPr>
        <w:pStyle w:val="ATHeading1"/>
      </w:pPr>
      <w:bookmarkStart w:id="0" w:name="TANumber"/>
      <w:r w:rsidRPr="0060533D">
        <w:t>P9_TA(2024)000</w:t>
      </w:r>
      <w:r w:rsidR="00C245BE">
        <w:rPr>
          <w:lang w:val="en-GB"/>
        </w:rPr>
        <w:t>9</w:t>
      </w:r>
      <w:bookmarkEnd w:id="0"/>
    </w:p>
    <w:p w:rsidR="008D040B" w:rsidRPr="0060533D" w:rsidRDefault="008D040B" w:rsidP="00F119F2">
      <w:pPr>
        <w:pStyle w:val="ATHeading2"/>
      </w:pPr>
      <w:bookmarkStart w:id="1" w:name="title"/>
      <w:r w:rsidRPr="0060533D">
        <w:t>Изпълнение на програмата „Граждани, равенство, права и ценности“ за периода 2021 – 2027 г.</w:t>
      </w:r>
      <w:r w:rsidR="00F119F2">
        <w:t xml:space="preserve"> </w:t>
      </w:r>
      <w:r w:rsidRPr="0060533D">
        <w:t>– гражданска ангажираност и участие</w:t>
      </w:r>
      <w:bookmarkEnd w:id="1"/>
    </w:p>
    <w:p w:rsidR="008D040B" w:rsidRPr="0060533D" w:rsidRDefault="008D040B" w:rsidP="008D040B">
      <w:pPr>
        <w:rPr>
          <w:i/>
          <w:vanish/>
        </w:rPr>
      </w:pPr>
      <w:r w:rsidRPr="0060533D">
        <w:rPr>
          <w:i/>
        </w:rPr>
        <w:fldChar w:fldCharType="begin"/>
      </w:r>
      <w:r w:rsidRPr="0060533D">
        <w:rPr>
          <w:i/>
        </w:rPr>
        <w:instrText xml:space="preserve"> TC"(</w:instrText>
      </w:r>
      <w:bookmarkStart w:id="2" w:name="DocNumber"/>
      <w:r w:rsidRPr="0060533D">
        <w:rPr>
          <w:i/>
        </w:rPr>
        <w:instrText>A9-0392/2023</w:instrText>
      </w:r>
      <w:bookmarkEnd w:id="2"/>
      <w:r w:rsidRPr="0060533D">
        <w:rPr>
          <w:i/>
        </w:rPr>
        <w:instrText xml:space="preserve"> - Докладчик: Лукаш Кохут)"\l3 \n&gt; \* MERGEFORMAT </w:instrText>
      </w:r>
      <w:r w:rsidRPr="0060533D">
        <w:rPr>
          <w:i/>
        </w:rPr>
        <w:fldChar w:fldCharType="end"/>
      </w:r>
    </w:p>
    <w:p w:rsidR="008D040B" w:rsidRPr="0060533D" w:rsidRDefault="008D040B" w:rsidP="008D040B">
      <w:pPr>
        <w:rPr>
          <w:vanish/>
        </w:rPr>
      </w:pPr>
      <w:bookmarkStart w:id="3" w:name="Commission"/>
      <w:r w:rsidRPr="0060533D">
        <w:rPr>
          <w:vanish/>
        </w:rPr>
        <w:t>Комисия по култура и образование</w:t>
      </w:r>
      <w:bookmarkEnd w:id="3"/>
    </w:p>
    <w:p w:rsidR="008D040B" w:rsidRPr="0060533D" w:rsidRDefault="008D040B" w:rsidP="008D040B">
      <w:pPr>
        <w:rPr>
          <w:vanish/>
        </w:rPr>
      </w:pPr>
      <w:bookmarkStart w:id="4" w:name="PE"/>
      <w:r w:rsidRPr="0060533D">
        <w:rPr>
          <w:vanish/>
        </w:rPr>
        <w:t>PE750.184</w:t>
      </w:r>
      <w:bookmarkEnd w:id="4"/>
    </w:p>
    <w:p w:rsidR="008D040B" w:rsidRPr="0060533D" w:rsidRDefault="008D040B" w:rsidP="00F119F2">
      <w:pPr>
        <w:pStyle w:val="ATHeading3"/>
      </w:pPr>
      <w:bookmarkStart w:id="5" w:name="Sujet"/>
      <w:r w:rsidRPr="0060533D">
        <w:t xml:space="preserve">Резолюция на Европейския парламент от </w:t>
      </w:r>
      <w:r w:rsidR="00C245BE">
        <w:rPr>
          <w:lang w:val="en-GB"/>
        </w:rPr>
        <w:t>16</w:t>
      </w:r>
      <w:r w:rsidR="00F119F2">
        <w:t xml:space="preserve"> януари</w:t>
      </w:r>
      <w:r w:rsidRPr="0060533D">
        <w:t xml:space="preserve"> 2024 г. относно </w:t>
      </w:r>
      <w:r w:rsidR="00F119F2">
        <w:t>изпълнение</w:t>
      </w:r>
      <w:r w:rsidR="00F119F2" w:rsidRPr="0060533D">
        <w:t xml:space="preserve"> </w:t>
      </w:r>
      <w:r w:rsidRPr="0060533D">
        <w:t>на програмата „Граждани, равенство, права и ценности“ за периода 2021 – 2027 г. – гражданска ангажираност и участие</w:t>
      </w:r>
      <w:bookmarkEnd w:id="5"/>
      <w:r w:rsidRPr="0060533D">
        <w:t xml:space="preserve"> </w:t>
      </w:r>
      <w:bookmarkStart w:id="6" w:name="References"/>
      <w:r w:rsidRPr="0060533D">
        <w:t>(2023/2004(ΙΝΙ))</w:t>
      </w:r>
      <w:bookmarkEnd w:id="6"/>
    </w:p>
    <w:p w:rsidR="009359FF" w:rsidRPr="0060533D" w:rsidRDefault="009359FF" w:rsidP="009359FF">
      <w:pPr>
        <w:pStyle w:val="EPComma"/>
      </w:pPr>
      <w:bookmarkStart w:id="7" w:name="TextBodyBegin"/>
      <w:bookmarkEnd w:id="7"/>
      <w:r w:rsidRPr="0060533D">
        <w:rPr>
          <w:i/>
        </w:rPr>
        <w:t>Европейският парламент</w:t>
      </w:r>
      <w:r w:rsidRPr="0060533D">
        <w:t>,</w:t>
      </w:r>
    </w:p>
    <w:p w:rsidR="009359FF" w:rsidRPr="0060533D" w:rsidRDefault="009359FF" w:rsidP="009359FF">
      <w:pPr>
        <w:pStyle w:val="NormalHanging12a"/>
      </w:pPr>
      <w:r w:rsidRPr="0060533D">
        <w:t>–</w:t>
      </w:r>
      <w:r w:rsidRPr="0060533D">
        <w:tab/>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w:t>
      </w:r>
      <w:r w:rsidRPr="0060533D">
        <w:rPr>
          <w:vertAlign w:val="superscript"/>
        </w:rPr>
        <w:footnoteReference w:id="1"/>
      </w:r>
      <w:r w:rsidRPr="0060533D">
        <w:t>,</w:t>
      </w:r>
    </w:p>
    <w:p w:rsidR="009359FF" w:rsidRPr="0060533D" w:rsidRDefault="009359FF" w:rsidP="009359FF">
      <w:pPr>
        <w:pStyle w:val="NormalHanging12a"/>
      </w:pPr>
      <w:r w:rsidRPr="0060533D">
        <w:t>–</w:t>
      </w:r>
      <w:r w:rsidRPr="0060533D">
        <w:tab/>
        <w:t>като взе предвид работния документ на службите на Комисията от 30 май 2018 г., озаглавен „Оценка на въздействието, придружаваща: Предложението за регламент за създаване на програма „Права и ценности“, Предложението за регламент за създаване на програма „Правосъдие“, Предложението за регламент за създаване на програма „Творческа Европа“ (SWD(2018)0290),</w:t>
      </w:r>
    </w:p>
    <w:p w:rsidR="009359FF" w:rsidRPr="0060533D" w:rsidRDefault="009359FF" w:rsidP="009359FF">
      <w:pPr>
        <w:pStyle w:val="NormalHanging12a"/>
      </w:pPr>
      <w:r w:rsidRPr="0060533D">
        <w:t>–</w:t>
      </w:r>
      <w:r w:rsidRPr="0060533D">
        <w:tab/>
        <w:t>като взе предвид Доклада за гражданството на ЕС за 2020 г.,</w:t>
      </w:r>
    </w:p>
    <w:p w:rsidR="009359FF" w:rsidRPr="0060533D" w:rsidRDefault="009359FF" w:rsidP="009359FF">
      <w:pPr>
        <w:pStyle w:val="NormalHanging12a"/>
      </w:pPr>
      <w:r w:rsidRPr="0060533D">
        <w:t>–</w:t>
      </w:r>
      <w:r w:rsidRPr="0060533D">
        <w:tab/>
        <w:t>като взе предвид Хартата на основните права на Европейския съюз,</w:t>
      </w:r>
    </w:p>
    <w:p w:rsidR="009359FF" w:rsidRPr="0060533D" w:rsidRDefault="009359FF" w:rsidP="009359FF">
      <w:pPr>
        <w:pStyle w:val="NormalHanging12a"/>
      </w:pPr>
      <w:r w:rsidRPr="0060533D">
        <w:t>–</w:t>
      </w:r>
      <w:r w:rsidRPr="0060533D">
        <w:tab/>
        <w:t>като взе предвид член 20 от Договора за функционирането на Европейския съюз и член 9 от Договора за Европейския съюз,</w:t>
      </w:r>
    </w:p>
    <w:p w:rsidR="009359FF" w:rsidRPr="0060533D" w:rsidRDefault="009359FF" w:rsidP="009359FF">
      <w:pPr>
        <w:pStyle w:val="NormalHanging12a"/>
      </w:pPr>
      <w:r w:rsidRPr="0060533D">
        <w:t>–</w:t>
      </w:r>
      <w:r w:rsidRPr="0060533D">
        <w:rPr>
          <w:b/>
          <w:i/>
        </w:rPr>
        <w:tab/>
      </w:r>
      <w:r w:rsidRPr="0060533D">
        <w:t>като взе предвид доклада на Европейския парламент от 6 април 2022 г. относно прилагането на мерки за гражданско образование (2021/2008(INI)),</w:t>
      </w:r>
    </w:p>
    <w:p w:rsidR="009359FF" w:rsidRPr="0060533D" w:rsidRDefault="009359FF" w:rsidP="009359FF">
      <w:pPr>
        <w:pStyle w:val="NormalHanging12a"/>
        <w:rPr>
          <w:b/>
          <w:i/>
        </w:rPr>
      </w:pPr>
      <w:r w:rsidRPr="0060533D">
        <w:t>–</w:t>
      </w:r>
      <w:r w:rsidRPr="0060533D">
        <w:tab/>
        <w:t>като взе предвид препоръката на Съвета от 22 май 2018 г. относно утвърждаването на общите ценности, приобщаващото образование и европейското измерение на преподаването,</w:t>
      </w:r>
    </w:p>
    <w:p w:rsidR="009359FF" w:rsidRPr="0060533D" w:rsidRDefault="009359FF" w:rsidP="009359FF">
      <w:pPr>
        <w:pStyle w:val="NormalHanging12a"/>
      </w:pPr>
      <w:r w:rsidRPr="0060533D">
        <w:t>–</w:t>
      </w:r>
      <w:r w:rsidRPr="0060533D">
        <w:tab/>
        <w:t>като взе предвид съобщението на Комисията от 3 декември 2020 г., озаглавено „План за действие за европейската демокрация“ (COM(2020)</w:t>
      </w:r>
      <w:r w:rsidR="00F119F2">
        <w:t>0</w:t>
      </w:r>
      <w:r w:rsidRPr="0060533D">
        <w:t>790),</w:t>
      </w:r>
    </w:p>
    <w:p w:rsidR="009359FF" w:rsidRPr="0060533D" w:rsidRDefault="009359FF" w:rsidP="009359FF">
      <w:pPr>
        <w:pStyle w:val="NormalHanging12a"/>
      </w:pPr>
      <w:r w:rsidRPr="0060533D">
        <w:t>–</w:t>
      </w:r>
      <w:r w:rsidRPr="0060533D">
        <w:tab/>
        <w:t xml:space="preserve">като взе предвид съобщението на Комисията от 2 декември 2020 г., озаглавено </w:t>
      </w:r>
      <w:r w:rsidRPr="0060533D">
        <w:lastRenderedPageBreak/>
        <w:t>„Стратегия за подобряване на прилагането на Хартата на основните права в ЕС“ (COM(2020)</w:t>
      </w:r>
      <w:r w:rsidR="00F119F2">
        <w:t>0</w:t>
      </w:r>
      <w:r w:rsidRPr="0060533D">
        <w:t>711),</w:t>
      </w:r>
    </w:p>
    <w:p w:rsidR="009359FF" w:rsidRPr="0060533D" w:rsidRDefault="009359FF" w:rsidP="009359FF">
      <w:pPr>
        <w:pStyle w:val="NormalHanging12a"/>
      </w:pPr>
      <w:r w:rsidRPr="0060533D">
        <w:t>–</w:t>
      </w:r>
      <w:r w:rsidRPr="0060533D">
        <w:tab/>
        <w:t>като взе предвид съобщението на Комисията от 18 септември 2020 г., озаглавено: „Съюз на равенство: План за действие на ЕС за борба с расизма за периода 2020 – 2025 г. (COM(2020)</w:t>
      </w:r>
      <w:r w:rsidR="00F119F2">
        <w:t>0</w:t>
      </w:r>
      <w:r w:rsidRPr="0060533D">
        <w:t>565).</w:t>
      </w:r>
    </w:p>
    <w:p w:rsidR="009359FF" w:rsidRPr="0060533D" w:rsidRDefault="009359FF" w:rsidP="009359FF">
      <w:pPr>
        <w:pStyle w:val="NormalHanging12a"/>
      </w:pPr>
      <w:r w:rsidRPr="0060533D">
        <w:t>–</w:t>
      </w:r>
      <w:r w:rsidRPr="0060533D">
        <w:tab/>
        <w:t>като взе предвид съобщението на Комисията от 12 ноември 2020 г., озаглавено „Съюз на равенство: Стратегия за равнопоставеност на ЛГБТИК за 2020 – 2025 г.“ (COM(2020)</w:t>
      </w:r>
      <w:r w:rsidR="00F119F2">
        <w:t>0</w:t>
      </w:r>
      <w:r w:rsidRPr="0060533D">
        <w:t>698),</w:t>
      </w:r>
    </w:p>
    <w:p w:rsidR="009359FF" w:rsidRPr="0060533D" w:rsidRDefault="009359FF" w:rsidP="009359FF">
      <w:pPr>
        <w:pStyle w:val="NormalHanging12a"/>
      </w:pPr>
      <w:r w:rsidRPr="0060533D">
        <w:t>–</w:t>
      </w:r>
      <w:r w:rsidRPr="0060533D">
        <w:tab/>
        <w:t>като взе предвид съобщението на Комисията от 5 март 2020 г., озаглавено „Съюз на равенство: Стратегия за равенство между половете (2020 – 2025 г.)“ (COM(2020)</w:t>
      </w:r>
      <w:r w:rsidR="00F119F2">
        <w:t>0</w:t>
      </w:r>
      <w:r w:rsidRPr="0060533D">
        <w:t>152),</w:t>
      </w:r>
    </w:p>
    <w:p w:rsidR="009359FF" w:rsidRPr="0060533D" w:rsidRDefault="009359FF" w:rsidP="009359FF">
      <w:pPr>
        <w:pStyle w:val="NormalHanging12a"/>
      </w:pPr>
      <w:r w:rsidRPr="0060533D">
        <w:t>–</w:t>
      </w:r>
      <w:r w:rsidRPr="0060533D">
        <w:tab/>
        <w:t>като взе предвид съобщението на Комисията от 5 октомври 2021 г., озаглавено „Стратегия на ЕС за борба с антисемитизма и подкрепа на еврейския живот“ (2021 – 2030 г.) (COM(2021)</w:t>
      </w:r>
      <w:r w:rsidR="00F119F2">
        <w:t>0</w:t>
      </w:r>
      <w:r w:rsidRPr="0060533D">
        <w:t>615),</w:t>
      </w:r>
    </w:p>
    <w:p w:rsidR="009359FF" w:rsidRPr="0060533D" w:rsidRDefault="009359FF" w:rsidP="009359FF">
      <w:pPr>
        <w:pStyle w:val="NormalHanging12a"/>
        <w:rPr>
          <w:b/>
          <w:i/>
        </w:rPr>
      </w:pPr>
      <w:r w:rsidRPr="0060533D">
        <w:t>–</w:t>
      </w:r>
      <w:r w:rsidRPr="0060533D">
        <w:rPr>
          <w:b/>
          <w:i/>
        </w:rPr>
        <w:tab/>
      </w:r>
      <w:r w:rsidRPr="0060533D">
        <w:t xml:space="preserve">като взе предвид съобщението на Комисията от 7 октомври 2020 г., озаглавено „Съюз на равенство: стратегическа рамка на ЕС за равенство, приобщаване </w:t>
      </w:r>
      <w:r w:rsidR="00BB3999">
        <w:t>и участие на ромите“ (COM(2020)</w:t>
      </w:r>
      <w:bookmarkStart w:id="8" w:name="_GoBack"/>
      <w:bookmarkEnd w:id="8"/>
      <w:r w:rsidR="00BB3999">
        <w:t>0</w:t>
      </w:r>
      <w:r w:rsidRPr="0060533D">
        <w:t>620),</w:t>
      </w:r>
    </w:p>
    <w:p w:rsidR="009359FF" w:rsidRPr="0060533D" w:rsidRDefault="009359FF" w:rsidP="009359FF">
      <w:pPr>
        <w:pStyle w:val="NormalHanging12a"/>
      </w:pPr>
      <w:r w:rsidRPr="0060533D">
        <w:t>–</w:t>
      </w:r>
      <w:r w:rsidRPr="0060533D">
        <w:tab/>
        <w:t>като взе предвид съобщението на Комисията от 24 март 2021 г., озаглавено „Стратегия на ЕС в областта на правата на детето“ (COM(2021)</w:t>
      </w:r>
      <w:r w:rsidR="00F119F2">
        <w:t>0</w:t>
      </w:r>
      <w:r w:rsidRPr="0060533D">
        <w:t>142),</w:t>
      </w:r>
    </w:p>
    <w:p w:rsidR="009359FF" w:rsidRPr="0060533D" w:rsidRDefault="009359FF" w:rsidP="009359FF">
      <w:pPr>
        <w:pStyle w:val="NormalHanging12a"/>
      </w:pPr>
      <w:r w:rsidRPr="0060533D">
        <w:t>–</w:t>
      </w:r>
      <w:r w:rsidRPr="0060533D">
        <w:tab/>
        <w:t>като взе предвид член 54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на изготвянето на доклади по собствена инициатива и приложение 3 към него,</w:t>
      </w:r>
    </w:p>
    <w:p w:rsidR="009359FF" w:rsidRPr="0060533D" w:rsidRDefault="009359FF" w:rsidP="009359FF">
      <w:pPr>
        <w:pStyle w:val="NormalHanging12a"/>
      </w:pPr>
      <w:r w:rsidRPr="0060533D">
        <w:t>–</w:t>
      </w:r>
      <w:r w:rsidRPr="0060533D">
        <w:tab/>
        <w:t>като взе предвид доклада на комисията по култура и образование (A9-0392/2023),</w:t>
      </w:r>
    </w:p>
    <w:p w:rsidR="009359FF" w:rsidRPr="0060533D" w:rsidRDefault="009359FF" w:rsidP="009359FF">
      <w:pPr>
        <w:pStyle w:val="NormalHanging12a"/>
      </w:pPr>
      <w:r w:rsidRPr="0060533D">
        <w:t>А.</w:t>
      </w:r>
      <w:r w:rsidRPr="0060533D">
        <w:tab/>
        <w:t>като има предвид, че активното участие в политическия и културния живот е основно право, което следва да бъде еднакво достъпно за всички; като има предвид, че Всеобщата декларация за правата на човека предвижда правото на участие в управлението и свободните избори, правото на участие в културния живот на общността и правото на мирно събиране и сдружаване, което дава възможност за пълноценно участие в обществото;</w:t>
      </w:r>
    </w:p>
    <w:p w:rsidR="009359FF" w:rsidRPr="0060533D" w:rsidRDefault="009359FF" w:rsidP="009359FF">
      <w:pPr>
        <w:pStyle w:val="NormalHanging12a"/>
        <w:rPr>
          <w:szCs w:val="24"/>
        </w:rPr>
      </w:pPr>
      <w:r w:rsidRPr="0060533D">
        <w:t>Б.</w:t>
      </w:r>
      <w:r w:rsidRPr="0060533D">
        <w:tab/>
        <w:t>като има предвид, че гражданството на Съюза дава на хората различни права, по-специално правото да подават петиции до Парламента по всеки въпрос в рамките на отговорността на ЕС, правото да сезират Европейския омбудсман за случаи на лоша администрация от страна на всяка институция на ЕС, правото да пишат до всяка институция на ЕС на един от официалните езици на ЕС и да получават отговор на същия език и правото на достъп до документи на Парламента, Съвета и Комисията в съответствие с приложимите правила на ЕС;</w:t>
      </w:r>
    </w:p>
    <w:p w:rsidR="009359FF" w:rsidRPr="0060533D" w:rsidRDefault="009359FF" w:rsidP="009359FF">
      <w:pPr>
        <w:pStyle w:val="NormalHanging12a"/>
        <w:rPr>
          <w:szCs w:val="24"/>
        </w:rPr>
      </w:pPr>
      <w:r w:rsidRPr="0060533D">
        <w:t>В.</w:t>
      </w:r>
      <w:r w:rsidRPr="0060533D">
        <w:tab/>
        <w:t xml:space="preserve">като има предвид, че настоящите и възникващите системни предизвикателства, като например кризата в областта на климата, глобалните пандемии, преминаването към цифровизация и социалните неравенства, изискват адаптирането на структурите и подходите, осигуряващи активно участие на </w:t>
      </w:r>
      <w:r w:rsidRPr="0060533D">
        <w:lastRenderedPageBreak/>
        <w:t>гражданите в обществото; като има предвид, че активното цифрово ангажиране на гражданите следва да вземе предвид и да обърне внимание на цифровото разделение между поколенията, социалните групи, както и между добре свързаните градски райони и селските и отдалечените райони, като същевременно се подобрява цифровата грамотност като цяло;</w:t>
      </w:r>
    </w:p>
    <w:p w:rsidR="009359FF" w:rsidRPr="0060533D" w:rsidRDefault="009359FF" w:rsidP="009359FF">
      <w:pPr>
        <w:pStyle w:val="NormalHanging12a"/>
        <w:rPr>
          <w:szCs w:val="24"/>
        </w:rPr>
      </w:pPr>
      <w:r w:rsidRPr="0060533D">
        <w:t>Г.</w:t>
      </w:r>
      <w:r w:rsidRPr="0060533D">
        <w:tab/>
        <w:t>като има предвид, че програмите на ЕС за насърчаване на гражданската ангажираност, правата и ценностите, чувството за принадлежност и увеличаването на социално-гражданските компетентности и критичното мислене са по-важни от всякога;</w:t>
      </w:r>
    </w:p>
    <w:p w:rsidR="009359FF" w:rsidRPr="0060533D" w:rsidRDefault="009359FF" w:rsidP="009359FF">
      <w:pPr>
        <w:pStyle w:val="NormalHanging12a"/>
        <w:rPr>
          <w:szCs w:val="24"/>
        </w:rPr>
      </w:pPr>
      <w:r w:rsidRPr="0060533D">
        <w:t>Д.</w:t>
      </w:r>
      <w:r w:rsidRPr="0060533D">
        <w:tab/>
        <w:t>като има предвид, че ангажирането на гражданите трябва да се разбира като многостепенно, обхващащо местните, регионалните, националните, европейските и световните процеси, чрез които хората придобиват информация и знания и изразяват мнението си, като участват и оказват влияние върху решенията, които засягат живота им; като има предвид, че участниците от селските и отдалечените райони трябва да бъдат насърчавани да участват в програмата; като има предвид, че текущите процеси на глобализация и европейска интеграция ще изискват новото поколение европейци да се ангажират политически във все по-голяма степен на множество равнища, за да могат да живеят и да работят в международен план и да се ориентират в различията в ежедневието си; като има предвид, че обществата стават все по-многообразни, поради което зачитането на човешкото достойнство, многообразието от култури и произход и отхвърлянето на всякакъв вид дискриминация срещу жените, ЛГБТИК лицата, етническите малцинства и другите маргинализирани групи са от още по-голямо значение в Европа;</w:t>
      </w:r>
    </w:p>
    <w:p w:rsidR="009359FF" w:rsidRPr="0060533D" w:rsidRDefault="009359FF" w:rsidP="009359FF">
      <w:pPr>
        <w:pStyle w:val="NormalHanging12a"/>
        <w:rPr>
          <w:szCs w:val="24"/>
        </w:rPr>
      </w:pPr>
      <w:r w:rsidRPr="0060533D">
        <w:t>Е.</w:t>
      </w:r>
      <w:r w:rsidRPr="0060533D">
        <w:tab/>
        <w:t>като има предвид, че наблюдаваните в държавите членки социалнополитически промени, вариращи от социална поляризация и ниско доверие в институциите до отстъпление от демокрацията, подкопаване на принципите на правовата държава, свиващо се пространство за гражданското общество, изключващ национализъм и инструментализиране на евроскептицизма за политически цели, наред с възхода на екстремистките движения и авторитаризма, навлизането на религиозен фундаментализъм, както и кампаниите за дезинформация и невярна информация, могат да представляват сериозна заплаха за европейските демокрации и да дестабилизират Съюза като цяло; като има предвид, че укрепването на активното участие и ангажираност на гражданите чрез формалното, неформалното и информалното образование и чрез ученето и образованието през целия живот играе основна роля в противодействието на тази тенденция;</w:t>
      </w:r>
    </w:p>
    <w:p w:rsidR="009359FF" w:rsidRPr="0060533D" w:rsidRDefault="009359FF" w:rsidP="009359FF">
      <w:pPr>
        <w:pStyle w:val="NormalHanging12a"/>
        <w:rPr>
          <w:szCs w:val="24"/>
        </w:rPr>
      </w:pPr>
      <w:r w:rsidRPr="0060533D">
        <w:t>Ж.</w:t>
      </w:r>
      <w:r w:rsidRPr="0060533D">
        <w:tab/>
        <w:t xml:space="preserve">като има предвид, че появата на европейско гражданство беше възпрепятствана от липсата на знания и емоционална връзка, което често е свързано с погрешни схващания за ЕС, и поради това следва да бъде придружена и подсилена от набор от механизми, които дават възможност за участие на гражданите и за междукултурен диалог; като има предвид, че по-доброто разбиране на споделената ни европейска история и по-силната ангажираност на гражданите в социалния и политическия живот могат да имат благоприятно въздействие върху нововъзникващата европейска идентичност, която допълва множеството местни, регионални, национални, географски, културни или други идентичности на гражданите; като има предвид, че активното участие на гражданите и диалогът с тях са взаимосвързани с европейското измерение на гражданското образование и могат ефективно да допринесат за създаването на европейско гражданство с ясни </w:t>
      </w:r>
      <w:r w:rsidRPr="0060533D">
        <w:lastRenderedPageBreak/>
        <w:t>права и задължения;</w:t>
      </w:r>
    </w:p>
    <w:p w:rsidR="009359FF" w:rsidRPr="0060533D" w:rsidRDefault="009359FF" w:rsidP="009359FF">
      <w:pPr>
        <w:pStyle w:val="NormalHanging12a"/>
      </w:pPr>
      <w:r w:rsidRPr="0060533D">
        <w:t>З.</w:t>
      </w:r>
      <w:r w:rsidRPr="0060533D">
        <w:tab/>
        <w:t>като има предвид, че недостатъчната ангажираност на гражданите, ограничените познания за ЕС и слабото разбиране за неговата добавена стойност може да допринесат за усещането, че съществува демократичен дефицит, и водят до евроскептицизъм в държавите членки;</w:t>
      </w:r>
    </w:p>
    <w:p w:rsidR="009359FF" w:rsidRPr="0060533D" w:rsidRDefault="009359FF" w:rsidP="009359FF">
      <w:pPr>
        <w:pStyle w:val="NormalHanging12a"/>
      </w:pPr>
      <w:r w:rsidRPr="0060533D">
        <w:t>И.</w:t>
      </w:r>
      <w:r w:rsidRPr="0060533D">
        <w:tab/>
        <w:t>като има предвид, че свиването на гражданското пространство в Европейския съюз и други държави, участващи в програмата, засяга демократичното участие и способността на организациите на гражданското общество да действат като механизъм за контрол и баланс по отношение на принципите на правовата държава; като има предвид, че действията за подкрепа и осигуряване на участието на гражданското общество, включително на малцинствени и местни организации, които имат дългогодишна история и значителен опит, са от първостепенно значение за защитата на демокрацията, принципите на правовата държава и правата на човека в държавите членки;</w:t>
      </w:r>
    </w:p>
    <w:p w:rsidR="009359FF" w:rsidRPr="0060533D" w:rsidRDefault="009359FF" w:rsidP="009359FF">
      <w:pPr>
        <w:pStyle w:val="NormalHanging12a"/>
        <w:rPr>
          <w:b/>
          <w:i/>
        </w:rPr>
      </w:pPr>
      <w:r w:rsidRPr="0060533D">
        <w:t>Й.</w:t>
      </w:r>
      <w:r w:rsidRPr="0060533D">
        <w:tab/>
        <w:t>като има предвид, че организациите на гражданското общество на малцинствата са от ключово значение за самопредставителството и гражданската ангажираност на хората от малцинствените групи, особено за групите, които не разполагат с други официални пътища за политическо представителство;</w:t>
      </w:r>
    </w:p>
    <w:p w:rsidR="009359FF" w:rsidRPr="0060533D" w:rsidRDefault="009359FF" w:rsidP="009359FF">
      <w:pPr>
        <w:pStyle w:val="NormalHanging12a"/>
      </w:pPr>
      <w:r w:rsidRPr="0060533D">
        <w:t>К.</w:t>
      </w:r>
      <w:r w:rsidRPr="0060533D">
        <w:tab/>
        <w:t>като има предвид, че през 2020 г. в Съюза са пребивавали над 22 милиона граждани на държави извън ЕС; като има предвид, че тези групи нямат достъп до официални политически дейности, в резултат на което животът на милиони хора бива повлиян от решения, взети без тяхното участие или принос; като има предвид, че това представлява основен демократичен дефицит в целия ЕС на всички равнища и предизвикателство пред създаването на устойчиви, справедливи и ефективни политики и програми; като има предвид, че осъществяването на правата на човека, свързани с политическото и общественото участие на лицата, които не са граждани на ЕС, играе решаваща роля за насърчаването на демократичното управление, принципите на правовата държава, социалното приобщаване, икономическото развитие и премахването на маргинализацията и дискриминацията в ЕС;</w:t>
      </w:r>
    </w:p>
    <w:p w:rsidR="009359FF" w:rsidRPr="00C245BE" w:rsidRDefault="009359FF" w:rsidP="009359FF">
      <w:pPr>
        <w:pStyle w:val="NormalHanging12a"/>
        <w:ind w:left="0" w:firstLine="0"/>
        <w:rPr>
          <w:i/>
          <w:iCs/>
        </w:rPr>
      </w:pPr>
      <w:r w:rsidRPr="00C245BE">
        <w:rPr>
          <w:b/>
          <w:i/>
          <w:iCs/>
        </w:rPr>
        <w:t>Начални етапи от прилагането на програма „Граждани, равенство, права и ценности“ (2021 – 2027 г.): направление 3 – Ангажираност на гражданите</w:t>
      </w:r>
    </w:p>
    <w:p w:rsidR="009359FF" w:rsidRPr="0060533D" w:rsidRDefault="009359FF" w:rsidP="009359FF">
      <w:pPr>
        <w:pStyle w:val="NormalHanging12a"/>
        <w:rPr>
          <w:szCs w:val="24"/>
        </w:rPr>
      </w:pPr>
      <w:r w:rsidRPr="0060533D">
        <w:t>1.</w:t>
      </w:r>
      <w:r w:rsidRPr="0060533D">
        <w:tab/>
        <w:t xml:space="preserve">твърдо вярва, че програма „Граждани, равенство, права и ценности“ (CERV) оказва изключителен принос за засилване на гражданската ангажираност и участие от гледна точка на основните права чрез ефективно съчетаване на ценности, граждански диалог и гражданство, като същевременно насърчава социалното равенство и равенството между половете, многообразието чрез съдействие за опазване на регионалното наследство и историческото съзнание, както и борбата срещу дискриминацията и насилието; счита, че програма „Граждани, равенство, права и ценности“ е инструмент от съществено значение за бъдещето на ЕС и за справянето със социалнополитически предизвикателства като пропуските в знанията, евроскептицизма, свиването на гражданското пространство, както и подкопаването на принципите на правовата държава в цяла Европа и предизвикателствата пред тези принципи; насърчава идеята чрез програмата да се подкрепят действия, насочени към изграждане на устойчивост на </w:t>
      </w:r>
      <w:r w:rsidRPr="0060533D">
        <w:lastRenderedPageBreak/>
        <w:t>организациите на гражданското общество, включително тези, ориентирани към принципите на правовата държава и ценностите на ЕС;</w:t>
      </w:r>
    </w:p>
    <w:p w:rsidR="009359FF" w:rsidRPr="0060533D" w:rsidRDefault="009359FF" w:rsidP="009359FF">
      <w:pPr>
        <w:pStyle w:val="NormalHanging12a"/>
      </w:pPr>
      <w:r w:rsidRPr="0060533D">
        <w:t>2.</w:t>
      </w:r>
      <w:r w:rsidRPr="0060533D">
        <w:tab/>
        <w:t>припомня, че изпълнението на програма „Граждани, равенство, права и ценности“ все още е в началните етапи, тъй като регламентът за създаване на програмата беше приет едва през 2021 г.; посочва, че поради тази причина са завършени само няколко проекта по направление 3 и наличната информация от бенефициерите, която да позволи точна оценка на резултатите, е малко;</w:t>
      </w:r>
    </w:p>
    <w:p w:rsidR="009359FF" w:rsidRPr="0060533D" w:rsidRDefault="009359FF" w:rsidP="009359FF">
      <w:pPr>
        <w:pStyle w:val="NormalHanging12a"/>
        <w:rPr>
          <w:szCs w:val="24"/>
        </w:rPr>
      </w:pPr>
      <w:r w:rsidRPr="0060533D">
        <w:t>3.</w:t>
      </w:r>
      <w:r w:rsidRPr="0060533D">
        <w:tab/>
        <w:t>призовава Комисията да даде приоритет на събирането на данни за програмата „Граждани, равенство, права и ценности“, по-специално за групите в неравностойно положение, включително маргинализирани общности, малцинства и уязвими групи от населението, за да се преодолеят характерните за тях предизвикателства и да се насърчат изследвания относно тяхното положение; настоява, че трябва да бъдат създадени силни механизми за мониторинг и оценка; подчертава, че този подход ще бъде от полза за набавянето на информация при разработването на политики, като се гарантира пълноценното участие на групите в неравностойно положение в инициативи за гражданска ангажираност, ще даде повече гласност на тези групи и ще създаде по-приобщаваща и справедлива програма, като същевременно се гарантират по-добри бъдещи оценки като цяло;</w:t>
      </w:r>
    </w:p>
    <w:p w:rsidR="009359FF" w:rsidRPr="0060533D" w:rsidRDefault="009359FF" w:rsidP="009359FF">
      <w:pPr>
        <w:pStyle w:val="NormalHanging12a"/>
        <w:rPr>
          <w:szCs w:val="24"/>
        </w:rPr>
      </w:pPr>
      <w:r w:rsidRPr="0060533D">
        <w:t>4.</w:t>
      </w:r>
      <w:r w:rsidRPr="0060533D">
        <w:tab/>
        <w:t>подчертава, че програмата е изправена пред няколко предизвикателства, които възпрепятстваха първоначалните етапи на нейното изпълнение, много от които бяха външни фактори, като например пандемията от COVID-19 и агресивната война на Русия срещу Украйна, и че те нарушиха и компрометираха правата и участието на гражданите в демокрацията; отбелязва обаче, че след бавното начало изпълнението на програмата се ускори и тя вече функционира добре; освен това подчертава, че трябва да се организират кампании за повишаване на осведомеността, чрез които да се достигне до по-широк кръг от населението, особено от селските райони;</w:t>
      </w:r>
    </w:p>
    <w:p w:rsidR="009359FF" w:rsidRPr="0060533D" w:rsidRDefault="009359FF" w:rsidP="009359FF">
      <w:pPr>
        <w:pStyle w:val="NormalHanging12a"/>
        <w:rPr>
          <w:szCs w:val="24"/>
        </w:rPr>
      </w:pPr>
      <w:r w:rsidRPr="0060533D">
        <w:t>5.</w:t>
      </w:r>
      <w:r w:rsidRPr="0060533D">
        <w:tab/>
        <w:t>изразява загриженост, че използването и въвеждането на нови цифрови инструменти за прилагане на средствата на ЕС (напр. инструмента eGrants) изглежда ключов проблем за бенефициерите по отношение на развитието на програмата; изразява съжаление, че сложните процедури също възпрепятстват участието на по-малки организации, които не разполагат с необходимото време и ресурси, за да преминат през процеса на кандидатстване в рамките на определените срокове; счита, че проектирането на тези инструменти ограничава способността на програмата да се адаптира към новото развитие и променящите се потребности; призовава за премахване на административната тежест и опростяване на процесите на кандидатстване, възлагане на договори и докладване; подчертава, че опростяването на административните изисквания включва и по-ефективен и гъвкав процес на кандидатстване за организациите, които са подписали многогодишни рамкови споразумения за партньорство, също и с цел да се предвидят промените в политиките; подчертава освен това необходимостта порталът за кандидатстване да стане по-лесен за ползване, особено за малките организации, и да се осигури превод на всички езици на ЕС на всички документи, свързани с процедурата, за да се разшири участието от всички държави членки и да се гарантира културното многообразие;</w:t>
      </w:r>
    </w:p>
    <w:p w:rsidR="009359FF" w:rsidRPr="0060533D" w:rsidRDefault="009359FF" w:rsidP="009359FF">
      <w:pPr>
        <w:pStyle w:val="NormalHanging12a"/>
      </w:pPr>
      <w:r w:rsidRPr="0060533D">
        <w:t>6.</w:t>
      </w:r>
      <w:r w:rsidRPr="0060533D">
        <w:tab/>
        <w:t xml:space="preserve">не одобрява това, че не е задължително държавите членки да създадат национално </w:t>
      </w:r>
      <w:r w:rsidRPr="0060533D">
        <w:lastRenderedPageBreak/>
        <w:t>звено за контакт (NCP) по програма „Граждани, равенство, права и ценности“, което да предлага неутрални съвети, полезна информация и подкрепа на кандидатите, заинтересованите страни и бенефициерите, включително помощ при процеса на кандидатстване, като същевременно споделя лесноразбираема информация за резултатите от програмата; със съжаление отбелязва, че до юни 2023 г. само 20 държави членки имат национално звено за контакт;</w:t>
      </w:r>
    </w:p>
    <w:p w:rsidR="009359FF" w:rsidRPr="0060533D" w:rsidRDefault="009359FF" w:rsidP="009359FF">
      <w:pPr>
        <w:pStyle w:val="NormalHanging12a"/>
      </w:pPr>
      <w:r w:rsidRPr="0060533D">
        <w:t>7.</w:t>
      </w:r>
      <w:r w:rsidRPr="0060533D">
        <w:tab/>
        <w:t>изразява дълбока загриженост, че настоящите нива на инфлация оказват въздействие върху текущите разходи за бенефициерите по програма „Граждани, равенство, права и ценности“; изразява съжаление, че бенефициерите са изправени пред предизвикателства при изпълнението на планираните от тях дейности, по-специално по отношение на единичните разходи за пътуване, настаняване и дневни разноски, и може да се наложи да намалят някои от дейностите, които първоначално са планирали, за да останат в рамките на бюджета;</w:t>
      </w:r>
    </w:p>
    <w:p w:rsidR="009359FF" w:rsidRPr="00C245BE" w:rsidRDefault="009359FF" w:rsidP="00C245BE">
      <w:pPr>
        <w:pStyle w:val="NormalHanging12a"/>
        <w:ind w:left="0" w:firstLine="0"/>
        <w:rPr>
          <w:i/>
          <w:iCs/>
        </w:rPr>
      </w:pPr>
      <w:r w:rsidRPr="00C245BE">
        <w:rPr>
          <w:b/>
          <w:i/>
          <w:iCs/>
        </w:rPr>
        <w:t>Препоръки за политиката за бъдещето на програмата „Граждани, равенство, права и ценности“</w:t>
      </w:r>
    </w:p>
    <w:p w:rsidR="009359FF" w:rsidRPr="0060533D" w:rsidRDefault="009359FF" w:rsidP="009359FF">
      <w:pPr>
        <w:pStyle w:val="NormalHanging12a"/>
      </w:pPr>
      <w:r w:rsidRPr="0060533D">
        <w:t>8.</w:t>
      </w:r>
      <w:r w:rsidRPr="0060533D">
        <w:tab/>
        <w:t>призовава Комисията да създаде група за граждански диалог, за да се гарантира редовен, открит и прозрачен диалог с цел да се засили гражданският диалог в рамките на програмата като цяло по начин, който да подкрепя двупосочен процес между институциите на всички равнища и всички съответни заинтересовани страни, по-специално организациите на гражданското общество, и като част от прилагането на член 11 от Регламент (ЕС) 2021/692, както и като използва гражданския диалог като инструмент за управление и за определяне на приоритетите за двугодишната работна програма и като насърчава допълнително колективното измерение на гражданската ангажираност като критично измерение на демокрацията и принципите на правовата държава; в тази връзка припомня, че следва да се насърчават иновативните действия за подкрепа на диалога с гражданското общество, включително с оглед на насърчаването на култура на партньорство, основано на доверие, с получателите на безвъзмездни средства; призовава по-специално за действия за изграждане на капацитет за подкрепа на широкото участие на гражданското общество, особено чрез връзки с други схеми за финансиране, предоставени чрез споделено управление, като например инструмента за техническа подкрепа;</w:t>
      </w:r>
    </w:p>
    <w:p w:rsidR="009359FF" w:rsidRPr="0060533D" w:rsidRDefault="009359FF" w:rsidP="009359FF">
      <w:pPr>
        <w:pStyle w:val="NormalHanging12a"/>
        <w:rPr>
          <w:szCs w:val="24"/>
        </w:rPr>
      </w:pPr>
      <w:r w:rsidRPr="0060533D">
        <w:t>9.</w:t>
      </w:r>
      <w:r w:rsidRPr="0060533D">
        <w:tab/>
        <w:t>припомня необходимостта от насърчаване на активното участие на гражданите чрез засилване на европейското измерение на гражданското образование както в учебните програми, така и в извънкласните дейности; подчертава, че едно наистина европейско гражданско образование може да информира и формира гражданите в духа на гражданска ангажираност и участие и че в тази връзка едни подходящи насоки на ЕС могат да бъдат полезен инструмент; изтъква, че е важно целевата група на програмата „Граждани, равенство, права и ценности“ да включва лица, които не са граждани на ЕС, но живеят в ЕС, и техните ръководени от самите тях организации, което ще насърчи демократичното управление, принципите на правовата държава и социалното приобщаване;</w:t>
      </w:r>
    </w:p>
    <w:p w:rsidR="009359FF" w:rsidRPr="0060533D" w:rsidRDefault="009359FF" w:rsidP="009359FF">
      <w:pPr>
        <w:pStyle w:val="NormalHanging12a"/>
        <w:rPr>
          <w:szCs w:val="24"/>
        </w:rPr>
      </w:pPr>
      <w:r w:rsidRPr="0060533D">
        <w:t>10.</w:t>
      </w:r>
      <w:r w:rsidRPr="0060533D">
        <w:tab/>
        <w:t xml:space="preserve">призовава държавите членки, които все още не са определили национални звена за контакт, да направят това възможно най-бързо и призовава Комисията да продължи да работи с мрежата от национални звена за контакт чрез срещи, мерки </w:t>
      </w:r>
      <w:r w:rsidRPr="0060533D">
        <w:lastRenderedPageBreak/>
        <w:t>за обучение и специален обмен, тъй като досега такива са организирани много успешно; в този контекст насърчава Комисията, държавите членки и националните звена за контакт да създадат европейска мрежа от национални звена за контакт, за да се улесни споделянето на най-добри практики и обменът на знания; освен това насърчава Комисията да създаде мрежа от бенефициери на програмата „Граждани, равенство, права и ценности“, така че те да обменят опит и най-добри практики с цел по-задълбочено разбиране на местните и националните реалности в целия ЕС и извън него;</w:t>
      </w:r>
    </w:p>
    <w:p w:rsidR="009359FF" w:rsidRPr="0060533D" w:rsidRDefault="009359FF" w:rsidP="009359FF">
      <w:pPr>
        <w:pStyle w:val="NormalHanging12a"/>
        <w:rPr>
          <w:szCs w:val="24"/>
        </w:rPr>
      </w:pPr>
      <w:r w:rsidRPr="0060533D">
        <w:t>11.</w:t>
      </w:r>
      <w:r w:rsidRPr="0060533D">
        <w:tab/>
        <w:t>отбелязва резултатите от въвеждането на различни видове механизми за вторично отпускане на безвъзмездна помощ в рамките на програма „Граждани, равенство, права и ценности“, които досега са много обнадеждаващи; призовава за качествен и количествен анализ на различните покани за представяне на предложения за вторично отпускане на безвъзмездна помощ с оглед на евентуалното разширяване на използването им за другите направления на програма „Граждани, равенство, права и ценности“, когато е целесъобразно, и по-специално за направление 3, за да се гарантира, че финансирането от ЕС достига до местни организации на гражданското общество, които имат дългогодишна история и значителен опит; настоятелно призовава Комисията допълнително да опрости административните процедури и изискванията за вторично отпускане на безвъзмездна помощ, за да се предостави на организациите, кандидатстващи за вторично отпускане на безвъзмездна помощ, по-голяма гъвкавост по отношение на подполучателите на безвъзмездни средства, като се гарантират подходящи стандарти за работа, здравеопазване и социална закрила; счита, че изискванията за съфинансиране могат да бъдат преразгледани с оглед на адаптирането на правилата към положението на бенефициера, за да се подкрепи по-голямо разнообразие от бенефициери, включително отделни лица и микроструктури, и тематични области; настоява, че е важно да се насърчава използването на програмата в образователния сектор като цяло, включително сред учащи, учители, образователен персонал и младежки работници; подчертава, че финансирането, предоставено по програма „Граждани, равенство, права и ценности“ в областта на правата, равенството, ценностите и гражданската ангажираност, за което други източници на финансиране са много оскъдни или липсват, следва да покрива по-голям процент от безвъзмездните средства; настоятелно призовава Комисията да гарантира, че финансирането се предоставя на структури, които зачитат Хартата на основните права на Европейския съюз, например като създава механизми за контрол, за да се гарантират подходящи стандарти за работа, здравеопазване и социална закрила; призовава да се извърши оценка на механизмите за вторично отпускане на безвъзмездна помощ, за да се оцени тяхната ефективност и гъвкавост при достигането до местни групи и при подпомагането на организации в държави със свиващо се гражданско пространство;</w:t>
      </w:r>
    </w:p>
    <w:p w:rsidR="009359FF" w:rsidRPr="0060533D" w:rsidRDefault="009359FF" w:rsidP="009359FF">
      <w:pPr>
        <w:pStyle w:val="NormalHanging12a"/>
        <w:rPr>
          <w:szCs w:val="24"/>
        </w:rPr>
      </w:pPr>
      <w:r w:rsidRPr="0060533D">
        <w:t>12.</w:t>
      </w:r>
      <w:r w:rsidRPr="0060533D">
        <w:tab/>
        <w:t xml:space="preserve">призовава за увеличаване на бюджета на програмата на 2,6 милиарда евро в следващата многогодишна финансова рамка (МФР), за да се отговори на нарастващото търсене на инициативи за гражданска ангажираност и демократично участие, както и за създаването на ad hoc механизъм за закрила на защитниците на правата на човека, подобен на съществуващите механизми за защитниците на правата на човека извън ЕС или защитата на журналистите, и като цяло да се обърне внимание на въздействието на инфлацията върху разходите по програмата, като се вземат предвид и заключенията на Конференцията за бъдещето на Европа относно европейското гражданство и </w:t>
      </w:r>
      <w:r w:rsidRPr="0060533D">
        <w:lastRenderedPageBreak/>
        <w:t>образование, както и стратегическото значение на програмата „Граждани, равенство, права и ценности“ за изпълнението на приоритетите на ЕС;</w:t>
      </w:r>
    </w:p>
    <w:p w:rsidR="009359FF" w:rsidRPr="0060533D" w:rsidRDefault="009359FF" w:rsidP="009359FF">
      <w:pPr>
        <w:pStyle w:val="NormalHanging12a"/>
        <w:rPr>
          <w:szCs w:val="24"/>
        </w:rPr>
      </w:pPr>
      <w:r w:rsidRPr="0060533D">
        <w:t>13.</w:t>
      </w:r>
      <w:r w:rsidRPr="0060533D">
        <w:tab/>
        <w:t>подчертава, че дейностите за ефективна комуникация и повишаване на осведомеността са изключително важни за успеха на програмата, поради което трябва да им се даде приоритет, така че да се ангажират потенциални бенефициери, особено на местно равнище;</w:t>
      </w:r>
    </w:p>
    <w:p w:rsidR="009359FF" w:rsidRPr="0060533D" w:rsidRDefault="009359FF" w:rsidP="009359FF">
      <w:pPr>
        <w:pStyle w:val="NormalHanging12a"/>
        <w:rPr>
          <w:szCs w:val="24"/>
        </w:rPr>
      </w:pPr>
      <w:r w:rsidRPr="0060533D">
        <w:t>14.</w:t>
      </w:r>
      <w:r w:rsidRPr="0060533D">
        <w:tab/>
        <w:t>признава, че обменът и участието в дейности по програма „Граждани, равенство, права и ценности“ са от основно значение за изграждането на капацитета на организациите на гражданското общество за гражданска ангажираност и насърчаване на ценностите на ЕС в държави извън ЕС; подчертава, че активната ангажираност и ангажимент по отношение на европейските ценности не започват със споразуменията за присъединяване, а са резултат от дългогодишната работа на активисти и организации на гражданското общество за насърчаване на тези идеи и подкрепа на местни активисти в държави извън ЕС; насърчава Комисията да улесни участието на граждани на държави извън ЕС чрез ангажирането на организации на гражданското общество извън ЕС в дейности по програмата „Граждани, равенство, права и ценности“; поради това призовава програма „Граждани, равенство, права и ценности“ да покрива разходите за участие на представители на гражданското общество, поне на тези от държавите кандидатки и асоциираните държави, независимо дали тяхната държава участва в програмата „Граждани, равенство, права и ценности“; подчертава необходимостта от справяне с предизвикателствата, свързани с войната в Украйна, като се насърчават проекти с украински партньори чрез дейности, свързани със спомена за миналото, дейности за демократично участие и възстановяване на украинското културно наследство;</w:t>
      </w:r>
    </w:p>
    <w:p w:rsidR="009359FF" w:rsidRPr="0060533D" w:rsidRDefault="009359FF" w:rsidP="009359FF">
      <w:pPr>
        <w:pStyle w:val="NormalHanging12a"/>
        <w:rPr>
          <w:szCs w:val="24"/>
        </w:rPr>
      </w:pPr>
      <w:r w:rsidRPr="0060533D">
        <w:t>15.</w:t>
      </w:r>
      <w:r w:rsidRPr="0060533D">
        <w:tab/>
        <w:t>отново призовава за превръщането на програмата „Граждани, равенство, права и ценности“ в лост за действие в областта на европейското историческо съзнание, като активно се подкрепят структури, които имат за цел да насърчават критичната историческа памет, например в областта на транснационалните научни изследвания и посещенията на възпоменателни места както в ЕС, така и извън него; по-специално да осъди историческия и културния ревизионизъм; призовава Комисията и държавите членки да обърнат специално внимание на чувствителните обществени въпроси, които биха могли да бъдат предмет на евентуално инструментализиране;</w:t>
      </w:r>
    </w:p>
    <w:p w:rsidR="009359FF" w:rsidRPr="0060533D" w:rsidRDefault="009359FF" w:rsidP="009359FF">
      <w:pPr>
        <w:pStyle w:val="NormalHanging12a"/>
        <w:rPr>
          <w:szCs w:val="24"/>
        </w:rPr>
      </w:pPr>
      <w:r w:rsidRPr="0060533D">
        <w:t>16.</w:t>
      </w:r>
      <w:r w:rsidRPr="0060533D">
        <w:tab/>
        <w:t>призовава чрез програмата „Граждани, равенство, права и ценности“ да се подкрепя нововъзникващата динамика на свързване на побратимяването на градове и мрежи от градове с побратимяването на учебни заведения, което може да засили европейското измерение, обмена на добри практики и чувството за принадлежност;</w:t>
      </w:r>
    </w:p>
    <w:p w:rsidR="009359FF" w:rsidRPr="0060533D" w:rsidRDefault="009359FF" w:rsidP="009359FF">
      <w:pPr>
        <w:pStyle w:val="NormalHanging12a"/>
      </w:pPr>
      <w:r w:rsidRPr="0060533D">
        <w:t>17.</w:t>
      </w:r>
      <w:r w:rsidRPr="0060533D">
        <w:tab/>
        <w:t>настоятелно призовава Комисията допълнително да опрости административните процедури за четиригодишни рамкови партньорства за безвъзмездни средства за оперативни разходи, по-специално по отношение на специфичните характеристики на използвания ИТ инструмент, което изглежда по-подходящо за характера на безвъзмездните средства за действия;</w:t>
      </w:r>
    </w:p>
    <w:p w:rsidR="009359FF" w:rsidRPr="0060533D" w:rsidRDefault="009359FF" w:rsidP="009359FF">
      <w:pPr>
        <w:pStyle w:val="NormalHanging12a"/>
        <w:jc w:val="center"/>
      </w:pPr>
      <w:r w:rsidRPr="0060533D">
        <w:t>°</w:t>
      </w:r>
    </w:p>
    <w:p w:rsidR="009359FF" w:rsidRPr="0060533D" w:rsidRDefault="009359FF" w:rsidP="009359FF">
      <w:pPr>
        <w:pStyle w:val="NormalHanging12a"/>
        <w:jc w:val="center"/>
      </w:pPr>
      <w:r w:rsidRPr="0060533D">
        <w:lastRenderedPageBreak/>
        <w:t>°</w:t>
      </w:r>
      <w:r w:rsidRPr="0060533D">
        <w:tab/>
        <w:t>°</w:t>
      </w:r>
    </w:p>
    <w:p w:rsidR="009359FF" w:rsidRPr="0060533D" w:rsidRDefault="009359FF" w:rsidP="009359FF">
      <w:pPr>
        <w:pStyle w:val="NormalHanging12a"/>
        <w:ind w:left="560" w:hanging="560"/>
      </w:pPr>
      <w:r w:rsidRPr="0060533D">
        <w:t>18.</w:t>
      </w:r>
      <w:r w:rsidRPr="0060533D">
        <w:tab/>
        <w:t xml:space="preserve">възлага на своя председател да предаде настоящата резолюция съответно </w:t>
      </w:r>
      <w:r w:rsidR="0060533D" w:rsidRPr="0060533D">
        <w:t>на Съвета и на Комисията.</w:t>
      </w:r>
    </w:p>
    <w:p w:rsidR="00E365E1" w:rsidRPr="0060533D" w:rsidRDefault="00E365E1" w:rsidP="009359FF"/>
    <w:sectPr w:rsidR="00E365E1" w:rsidRPr="0060533D" w:rsidSect="006053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40B" w:rsidRPr="0060533D" w:rsidRDefault="008D040B">
      <w:r w:rsidRPr="0060533D">
        <w:separator/>
      </w:r>
    </w:p>
  </w:endnote>
  <w:endnote w:type="continuationSeparator" w:id="0">
    <w:p w:rsidR="008D040B" w:rsidRPr="0060533D" w:rsidRDefault="008D040B">
      <w:r w:rsidRPr="006053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53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53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53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40B" w:rsidRPr="0060533D" w:rsidRDefault="008D040B">
      <w:r w:rsidRPr="0060533D">
        <w:separator/>
      </w:r>
    </w:p>
  </w:footnote>
  <w:footnote w:type="continuationSeparator" w:id="0">
    <w:p w:rsidR="008D040B" w:rsidRPr="0060533D" w:rsidRDefault="008D040B">
      <w:r w:rsidRPr="0060533D">
        <w:continuationSeparator/>
      </w:r>
    </w:p>
  </w:footnote>
  <w:footnote w:id="1">
    <w:p w:rsidR="009359FF" w:rsidRPr="00C245BE" w:rsidRDefault="009359FF" w:rsidP="0060533D">
      <w:pPr>
        <w:pStyle w:val="FootnoteText"/>
        <w:ind w:left="567" w:hanging="567"/>
        <w:rPr>
          <w:sz w:val="24"/>
          <w:u w:val="single" w:color="0000FF"/>
          <w:lang w:val="bg-BG"/>
        </w:rPr>
      </w:pPr>
      <w:r w:rsidRPr="0060533D">
        <w:rPr>
          <w:rStyle w:val="FootnoteReference"/>
          <w:sz w:val="24"/>
          <w:lang w:val="bg-BG"/>
        </w:rPr>
        <w:footnoteRef/>
      </w:r>
      <w:r w:rsidR="0060533D" w:rsidRPr="0060533D">
        <w:rPr>
          <w:sz w:val="24"/>
          <w:lang w:val="bg-BG"/>
        </w:rPr>
        <w:t xml:space="preserve"> </w:t>
      </w:r>
      <w:r w:rsidR="0060533D" w:rsidRPr="0060533D">
        <w:rPr>
          <w:sz w:val="24"/>
          <w:lang w:val="bg-BG"/>
        </w:rPr>
        <w:tab/>
      </w:r>
      <w:r w:rsidRPr="0060533D">
        <w:rPr>
          <w:sz w:val="24"/>
          <w:lang w:val="bg-BG"/>
        </w:rPr>
        <w:t>OВ L 156, 5.5.2021 г., стр. 1</w:t>
      </w:r>
      <w:r w:rsidRPr="00F119F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53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53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53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BG"/>
    <w:docVar w:name="dvnumam" w:val="0"/>
    <w:docVar w:name="dvpe" w:val="750.184"/>
    <w:docVar w:name="dvrapporteur" w:val="Докладчик: "/>
    <w:docVar w:name="dvtitre" w:val="Резолюция на Европейския парламент от ... 2024 г. относно прилагане на програмата „Граждани, равенство, права и ценности“ за периода 2021 – 2027 г. – гражданска ангажираност и участие(2023/2004(ΙΝΙ))"/>
  </w:docVars>
  <w:rsids>
    <w:rsidRoot w:val="008D040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533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40B"/>
    <w:rsid w:val="00930C23"/>
    <w:rsid w:val="0093193B"/>
    <w:rsid w:val="009359F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999"/>
    <w:rsid w:val="00BD48FE"/>
    <w:rsid w:val="00BD7BD8"/>
    <w:rsid w:val="00BE6ADC"/>
    <w:rsid w:val="00C05BFE"/>
    <w:rsid w:val="00C23CD4"/>
    <w:rsid w:val="00C245B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9F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FB2DC"/>
  <w15:chartTrackingRefBased/>
  <w15:docId w15:val="{7660C2A7-EA8E-4CFB-89CB-1F9A0C25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359FF"/>
    <w:pPr>
      <w:spacing w:after="240"/>
      <w:ind w:left="567" w:hanging="567"/>
    </w:pPr>
  </w:style>
  <w:style w:type="paragraph" w:customStyle="1" w:styleId="EPComma">
    <w:name w:val="EPComma"/>
    <w:basedOn w:val="Normal"/>
    <w:rsid w:val="009359FF"/>
    <w:pPr>
      <w:spacing w:before="480" w:after="240"/>
    </w:pPr>
  </w:style>
  <w:style w:type="character" w:customStyle="1" w:styleId="NormalHanging12aChar">
    <w:name w:val="NormalHanging12a Char"/>
    <w:basedOn w:val="DefaultParagraphFont"/>
    <w:link w:val="NormalHanging12a"/>
    <w:rsid w:val="009359FF"/>
    <w:rPr>
      <w:sz w:val="24"/>
      <w:lang w:val="bg-BG"/>
    </w:rPr>
  </w:style>
  <w:style w:type="paragraph" w:styleId="BalloonText">
    <w:name w:val="Balloon Text"/>
    <w:basedOn w:val="Normal"/>
    <w:link w:val="BalloonTextChar"/>
    <w:rsid w:val="00F119F2"/>
    <w:rPr>
      <w:rFonts w:ascii="Segoe UI" w:hAnsi="Segoe UI" w:cs="Segoe UI"/>
      <w:sz w:val="18"/>
      <w:szCs w:val="18"/>
    </w:rPr>
  </w:style>
  <w:style w:type="character" w:customStyle="1" w:styleId="BalloonTextChar">
    <w:name w:val="Balloon Text Char"/>
    <w:basedOn w:val="DefaultParagraphFont"/>
    <w:link w:val="BalloonText"/>
    <w:rsid w:val="00F119F2"/>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A0584-607B-43D2-9629-8460F3B2E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3657</Words>
  <Characters>20846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2024-02-14T13:50:00Z</dcterms:created>
  <dcterms:modified xsi:type="dcterms:W3CDTF">2024-02-14T13:50:00Z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A9-0392/2023</vt:lpwstr>
  </property>
  <property fmtid="{D5CDD505-2E9C-101B-9397-08002B2CF9AE}" pid="4" name="&lt;Type&gt;">
    <vt:lpwstr>RR</vt:lpwstr>
  </property>
</Properties>
</file>