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4F18" w:rsidTr="0010095E">
        <w:trPr>
          <w:trHeight w:hRule="exact" w:val="1418"/>
        </w:trPr>
        <w:tc>
          <w:tcPr>
            <w:tcW w:w="6804" w:type="dxa"/>
            <w:shd w:val="clear" w:color="auto" w:fill="auto"/>
            <w:vAlign w:val="center"/>
          </w:tcPr>
          <w:p w:rsidR="00751A4A" w:rsidRPr="00D34F18" w:rsidRDefault="0035529E" w:rsidP="0010095E">
            <w:pPr>
              <w:pStyle w:val="EPName"/>
            </w:pPr>
            <w:r w:rsidRPr="00D34F18">
              <w:t>Parlamento Europeo</w:t>
            </w:r>
          </w:p>
          <w:p w:rsidR="00751A4A" w:rsidRPr="00D34F18" w:rsidRDefault="00817416" w:rsidP="00756632">
            <w:pPr>
              <w:pStyle w:val="EPTerm"/>
              <w:rPr>
                <w:rStyle w:val="HideTWBExt"/>
                <w:noProof w:val="0"/>
                <w:vanish w:val="0"/>
                <w:color w:val="auto"/>
              </w:rPr>
            </w:pPr>
            <w:r w:rsidRPr="00D34F18">
              <w:t>2019-2024</w:t>
            </w:r>
          </w:p>
        </w:tc>
        <w:tc>
          <w:tcPr>
            <w:tcW w:w="2268" w:type="dxa"/>
            <w:shd w:val="clear" w:color="auto" w:fill="auto"/>
          </w:tcPr>
          <w:p w:rsidR="00751A4A" w:rsidRPr="00D34F18" w:rsidRDefault="00187494" w:rsidP="0010095E">
            <w:pPr>
              <w:pStyle w:val="EPLogo"/>
            </w:pPr>
            <w:r w:rsidRPr="00D34F1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34F18" w:rsidRDefault="00D058B8" w:rsidP="004C5D52">
      <w:pPr>
        <w:pStyle w:val="LineTop"/>
      </w:pPr>
    </w:p>
    <w:p w:rsidR="00680577" w:rsidRPr="00D34F18" w:rsidRDefault="0035529E" w:rsidP="00680577">
      <w:pPr>
        <w:pStyle w:val="EPBodyTA1"/>
      </w:pPr>
      <w:r w:rsidRPr="00D34F18">
        <w:t>TEXTOS APROBADOS</w:t>
      </w:r>
    </w:p>
    <w:p w:rsidR="00D058B8" w:rsidRPr="00D34F18" w:rsidRDefault="00D058B8" w:rsidP="00D058B8">
      <w:pPr>
        <w:pStyle w:val="LineBottom"/>
      </w:pPr>
    </w:p>
    <w:p w:rsidR="0035529E" w:rsidRPr="00D34F18" w:rsidRDefault="0035529E" w:rsidP="0035529E">
      <w:pPr>
        <w:pStyle w:val="ATHeading1"/>
      </w:pPr>
      <w:bookmarkStart w:id="0" w:name="TANumber"/>
      <w:r w:rsidRPr="00D34F18">
        <w:t>P9_</w:t>
      </w:r>
      <w:proofErr w:type="gramStart"/>
      <w:r w:rsidRPr="00D34F18">
        <w:t>TA(</w:t>
      </w:r>
      <w:proofErr w:type="gramEnd"/>
      <w:r w:rsidRPr="00D34F18">
        <w:t>2024)</w:t>
      </w:r>
      <w:bookmarkEnd w:id="0"/>
      <w:r w:rsidR="00D34F18" w:rsidRPr="00D34F18">
        <w:t>0009</w:t>
      </w:r>
    </w:p>
    <w:p w:rsidR="0035529E" w:rsidRPr="00D34F18" w:rsidRDefault="0035529E" w:rsidP="0035529E">
      <w:pPr>
        <w:pStyle w:val="ATHeading2"/>
      </w:pPr>
      <w:bookmarkStart w:id="1" w:name="title"/>
      <w:r w:rsidRPr="00D34F18">
        <w:t>Ejecución del programa Ciudadanos, Igualdad, Derechos y Valores 2021-2027: compromiso y participación de los ciudadanos</w:t>
      </w:r>
      <w:bookmarkEnd w:id="1"/>
    </w:p>
    <w:p w:rsidR="0035529E" w:rsidRPr="00D34F18" w:rsidRDefault="0035529E" w:rsidP="0035529E">
      <w:pPr>
        <w:rPr>
          <w:i/>
          <w:vanish/>
        </w:rPr>
      </w:pPr>
      <w:r w:rsidRPr="00D34F18">
        <w:rPr>
          <w:i/>
        </w:rPr>
        <w:fldChar w:fldCharType="begin"/>
      </w:r>
      <w:r w:rsidRPr="00D34F18">
        <w:rPr>
          <w:i/>
        </w:rPr>
        <w:instrText xml:space="preserve"> TC"(</w:instrText>
      </w:r>
      <w:bookmarkStart w:id="2" w:name="DocNumber"/>
      <w:r w:rsidRPr="00D34F18">
        <w:rPr>
          <w:i/>
        </w:rPr>
        <w:instrText>A9-0392/2023</w:instrText>
      </w:r>
      <w:bookmarkEnd w:id="2"/>
      <w:r w:rsidRPr="00D34F18">
        <w:rPr>
          <w:i/>
        </w:rPr>
        <w:instrText xml:space="preserve"> - Ponente: </w:instrText>
      </w:r>
      <w:proofErr w:type="spellStart"/>
      <w:r w:rsidRPr="00D34F18">
        <w:rPr>
          <w:i/>
        </w:rPr>
        <w:instrText>Łukasz</w:instrText>
      </w:r>
      <w:proofErr w:type="spellEnd"/>
      <w:r w:rsidRPr="00D34F18">
        <w:rPr>
          <w:i/>
        </w:rPr>
        <w:instrText xml:space="preserve"> </w:instrText>
      </w:r>
      <w:proofErr w:type="spellStart"/>
      <w:r w:rsidRPr="00D34F18">
        <w:rPr>
          <w:i/>
        </w:rPr>
        <w:instrText>Kohut</w:instrText>
      </w:r>
      <w:proofErr w:type="spellEnd"/>
      <w:r w:rsidRPr="00D34F18">
        <w:rPr>
          <w:i/>
        </w:rPr>
        <w:instrText xml:space="preserve">)"\l3 \n&gt; \* MERGEFORMAT </w:instrText>
      </w:r>
      <w:r w:rsidRPr="00D34F18">
        <w:rPr>
          <w:i/>
        </w:rPr>
        <w:fldChar w:fldCharType="end"/>
      </w:r>
    </w:p>
    <w:p w:rsidR="0035529E" w:rsidRPr="00D34F18" w:rsidRDefault="0035529E" w:rsidP="0035529E">
      <w:pPr>
        <w:rPr>
          <w:vanish/>
        </w:rPr>
      </w:pPr>
      <w:bookmarkStart w:id="3" w:name="Commission"/>
      <w:r w:rsidRPr="00D34F18">
        <w:rPr>
          <w:vanish/>
        </w:rPr>
        <w:t>Comisión de Cultura y Educación</w:t>
      </w:r>
      <w:bookmarkEnd w:id="3"/>
    </w:p>
    <w:p w:rsidR="0035529E" w:rsidRPr="00D34F18" w:rsidRDefault="0035529E" w:rsidP="0035529E">
      <w:pPr>
        <w:rPr>
          <w:vanish/>
        </w:rPr>
      </w:pPr>
      <w:bookmarkStart w:id="4" w:name="PE"/>
      <w:r w:rsidRPr="00D34F18">
        <w:rPr>
          <w:vanish/>
        </w:rPr>
        <w:t>PE750.184</w:t>
      </w:r>
      <w:bookmarkEnd w:id="4"/>
    </w:p>
    <w:p w:rsidR="0035529E" w:rsidRPr="00D34F18" w:rsidRDefault="0035529E" w:rsidP="0035529E">
      <w:pPr>
        <w:pStyle w:val="ATHeading3"/>
      </w:pPr>
      <w:bookmarkStart w:id="5" w:name="Sujet"/>
      <w:r w:rsidRPr="00D34F18">
        <w:t xml:space="preserve">Resolución del Parlamento </w:t>
      </w:r>
      <w:r w:rsidR="00B06BAC" w:rsidRPr="00D34F18">
        <w:t xml:space="preserve">Europeo, de </w:t>
      </w:r>
      <w:r w:rsidR="00D34F18" w:rsidRPr="00D34F18">
        <w:t xml:space="preserve">16 </w:t>
      </w:r>
      <w:r w:rsidR="00B06BAC" w:rsidRPr="00D34F18">
        <w:t>de enero de 2024,</w:t>
      </w:r>
      <w:r w:rsidRPr="00D34F18">
        <w:t xml:space="preserve"> sobre la ejecución del programa Ciudadanos, Igualdad, Derechos y Valores 2021-2027: compromiso y participación de los ciudadanos</w:t>
      </w:r>
      <w:bookmarkEnd w:id="5"/>
      <w:r w:rsidRPr="00D34F18">
        <w:t xml:space="preserve"> </w:t>
      </w:r>
      <w:bookmarkStart w:id="6" w:name="References"/>
      <w:r w:rsidRPr="00D34F18">
        <w:t>(2023/2004(INI))</w:t>
      </w:r>
      <w:bookmarkEnd w:id="6"/>
    </w:p>
    <w:p w:rsidR="0035529E" w:rsidRPr="00D34F18" w:rsidRDefault="0035529E" w:rsidP="0035529E"/>
    <w:p w:rsidR="0050282D" w:rsidRPr="00D34F18" w:rsidRDefault="0050282D" w:rsidP="00B06BAC">
      <w:pPr>
        <w:pStyle w:val="EPComma"/>
        <w:spacing w:before="120"/>
      </w:pPr>
      <w:bookmarkStart w:id="7" w:name="TextBodyBegin"/>
      <w:bookmarkEnd w:id="7"/>
      <w:r w:rsidRPr="00D34F18">
        <w:rPr>
          <w:i/>
          <w:iCs/>
        </w:rPr>
        <w:t>El Parlamento Europeo</w:t>
      </w:r>
      <w:r w:rsidRPr="00D34F18">
        <w:t>,</w:t>
      </w:r>
    </w:p>
    <w:p w:rsidR="0050282D" w:rsidRPr="00D34F18" w:rsidRDefault="0050282D" w:rsidP="0050282D">
      <w:pPr>
        <w:pStyle w:val="NormalHanging12a"/>
      </w:pPr>
      <w:r w:rsidRPr="00D34F18">
        <w:t>–</w:t>
      </w:r>
      <w:r w:rsidRPr="00D34F18">
        <w:tab/>
        <w:t>Visto el Reglamento (UE) 2021/692 del Parlamento Europeo y del Consejo, de 28 de abril de 2021, por el que se establece el programa Ciudadanos, Igualdad, Derechos y Valores y por el que se deroga el Reglamento (UE) n.º 1381/2013 del Parlamento Europeo y del Consejo y el Reglamento (UE) n.º 390/2014 del Consejo</w:t>
      </w:r>
      <w:r w:rsidRPr="00D34F18">
        <w:rPr>
          <w:vertAlign w:val="superscript"/>
        </w:rPr>
        <w:footnoteReference w:id="1"/>
      </w:r>
      <w:r w:rsidRPr="00D34F18">
        <w:t>,</w:t>
      </w:r>
    </w:p>
    <w:p w:rsidR="0050282D" w:rsidRPr="00D34F18" w:rsidRDefault="0050282D" w:rsidP="0050282D">
      <w:pPr>
        <w:pStyle w:val="NormalHanging12a"/>
      </w:pPr>
      <w:r w:rsidRPr="00D34F18">
        <w:t>–</w:t>
      </w:r>
      <w:r w:rsidRPr="00D34F18">
        <w:tab/>
        <w:t>Visto el documento de trabajo de los servicios de la Comisión, de 30 de mayo de 2018, titulado «</w:t>
      </w:r>
      <w:proofErr w:type="spellStart"/>
      <w:r w:rsidRPr="00D34F18">
        <w:t>Impact</w:t>
      </w:r>
      <w:proofErr w:type="spellEnd"/>
      <w:r w:rsidRPr="00D34F18">
        <w:t xml:space="preserve"> </w:t>
      </w:r>
      <w:proofErr w:type="spellStart"/>
      <w:r w:rsidRPr="00D34F18">
        <w:t>assessment</w:t>
      </w:r>
      <w:proofErr w:type="spellEnd"/>
      <w:r w:rsidRPr="00D34F18">
        <w:t xml:space="preserve"> </w:t>
      </w:r>
      <w:proofErr w:type="spellStart"/>
      <w:r w:rsidRPr="00D34F18">
        <w:t>accompanying</w:t>
      </w:r>
      <w:proofErr w:type="spellEnd"/>
      <w:r w:rsidRPr="00D34F18">
        <w:t xml:space="preserve"> </w:t>
      </w:r>
      <w:proofErr w:type="spellStart"/>
      <w:r w:rsidRPr="00D34F18">
        <w:t>the</w:t>
      </w:r>
      <w:proofErr w:type="spellEnd"/>
      <w:r w:rsidRPr="00D34F18">
        <w:t xml:space="preserve"> </w:t>
      </w:r>
      <w:proofErr w:type="spellStart"/>
      <w:r w:rsidRPr="00D34F18">
        <w:t>document</w:t>
      </w:r>
      <w:proofErr w:type="spellEnd"/>
      <w:r w:rsidRPr="00D34F18">
        <w:t xml:space="preserve">: </w:t>
      </w:r>
      <w:proofErr w:type="spellStart"/>
      <w:r w:rsidRPr="00D34F18">
        <w:t>Proposal</w:t>
      </w:r>
      <w:proofErr w:type="spellEnd"/>
      <w:r w:rsidRPr="00D34F18">
        <w:t xml:space="preserve"> </w:t>
      </w:r>
      <w:proofErr w:type="spellStart"/>
      <w:r w:rsidRPr="00D34F18">
        <w:t>for</w:t>
      </w:r>
      <w:proofErr w:type="spellEnd"/>
      <w:r w:rsidRPr="00D34F18">
        <w:t xml:space="preserve"> a </w:t>
      </w:r>
      <w:proofErr w:type="spellStart"/>
      <w:r w:rsidRPr="00D34F18">
        <w:t>Regulation</w:t>
      </w:r>
      <w:proofErr w:type="spellEnd"/>
      <w:r w:rsidRPr="00D34F18">
        <w:t xml:space="preserve"> </w:t>
      </w:r>
      <w:proofErr w:type="spellStart"/>
      <w:r w:rsidRPr="00D34F18">
        <w:t>establishing</w:t>
      </w:r>
      <w:proofErr w:type="spellEnd"/>
      <w:r w:rsidRPr="00D34F18">
        <w:t xml:space="preserve"> </w:t>
      </w:r>
      <w:proofErr w:type="spellStart"/>
      <w:r w:rsidRPr="00D34F18">
        <w:t>the</w:t>
      </w:r>
      <w:proofErr w:type="spellEnd"/>
      <w:r w:rsidRPr="00D34F18">
        <w:t xml:space="preserve"> </w:t>
      </w:r>
      <w:proofErr w:type="spellStart"/>
      <w:r w:rsidRPr="00D34F18">
        <w:t>Rights</w:t>
      </w:r>
      <w:proofErr w:type="spellEnd"/>
      <w:r w:rsidRPr="00D34F18">
        <w:t xml:space="preserve"> and </w:t>
      </w:r>
      <w:proofErr w:type="spellStart"/>
      <w:r w:rsidRPr="00D34F18">
        <w:t>Values</w:t>
      </w:r>
      <w:proofErr w:type="spellEnd"/>
      <w:r w:rsidRPr="00D34F18">
        <w:t xml:space="preserve"> </w:t>
      </w:r>
      <w:proofErr w:type="spellStart"/>
      <w:r w:rsidRPr="00D34F18">
        <w:t>programme</w:t>
      </w:r>
      <w:proofErr w:type="spellEnd"/>
      <w:r w:rsidRPr="00D34F18">
        <w:t xml:space="preserve">, </w:t>
      </w:r>
      <w:proofErr w:type="spellStart"/>
      <w:r w:rsidRPr="00D34F18">
        <w:t>Proposal</w:t>
      </w:r>
      <w:proofErr w:type="spellEnd"/>
      <w:r w:rsidRPr="00D34F18">
        <w:t xml:space="preserve"> </w:t>
      </w:r>
      <w:proofErr w:type="spellStart"/>
      <w:r w:rsidRPr="00D34F18">
        <w:t>for</w:t>
      </w:r>
      <w:proofErr w:type="spellEnd"/>
      <w:r w:rsidRPr="00D34F18">
        <w:t xml:space="preserve"> a </w:t>
      </w:r>
      <w:proofErr w:type="spellStart"/>
      <w:r w:rsidRPr="00D34F18">
        <w:t>Regulation</w:t>
      </w:r>
      <w:proofErr w:type="spellEnd"/>
      <w:r w:rsidRPr="00D34F18">
        <w:t xml:space="preserve"> </w:t>
      </w:r>
      <w:proofErr w:type="spellStart"/>
      <w:r w:rsidRPr="00D34F18">
        <w:t>establishing</w:t>
      </w:r>
      <w:proofErr w:type="spellEnd"/>
      <w:r w:rsidRPr="00D34F18">
        <w:t xml:space="preserve"> </w:t>
      </w:r>
      <w:proofErr w:type="spellStart"/>
      <w:r w:rsidRPr="00D34F18">
        <w:t>the</w:t>
      </w:r>
      <w:proofErr w:type="spellEnd"/>
      <w:r w:rsidRPr="00D34F18">
        <w:t xml:space="preserve"> </w:t>
      </w:r>
      <w:proofErr w:type="spellStart"/>
      <w:r w:rsidRPr="00D34F18">
        <w:t>Justice</w:t>
      </w:r>
      <w:proofErr w:type="spellEnd"/>
      <w:r w:rsidRPr="00D34F18">
        <w:t xml:space="preserve"> </w:t>
      </w:r>
      <w:proofErr w:type="spellStart"/>
      <w:r w:rsidRPr="00D34F18">
        <w:t>programme</w:t>
      </w:r>
      <w:proofErr w:type="spellEnd"/>
      <w:r w:rsidRPr="00D34F18">
        <w:t xml:space="preserve">, </w:t>
      </w:r>
      <w:proofErr w:type="spellStart"/>
      <w:r w:rsidRPr="00D34F18">
        <w:t>Proposal</w:t>
      </w:r>
      <w:proofErr w:type="spellEnd"/>
      <w:r w:rsidRPr="00D34F18">
        <w:t xml:space="preserve"> </w:t>
      </w:r>
      <w:proofErr w:type="spellStart"/>
      <w:r w:rsidRPr="00D34F18">
        <w:t>for</w:t>
      </w:r>
      <w:proofErr w:type="spellEnd"/>
      <w:r w:rsidRPr="00D34F18">
        <w:t xml:space="preserve"> a </w:t>
      </w:r>
      <w:proofErr w:type="spellStart"/>
      <w:r w:rsidRPr="00D34F18">
        <w:t>Regulation</w:t>
      </w:r>
      <w:proofErr w:type="spellEnd"/>
      <w:r w:rsidRPr="00D34F18">
        <w:t xml:space="preserve"> </w:t>
      </w:r>
      <w:proofErr w:type="spellStart"/>
      <w:r w:rsidRPr="00D34F18">
        <w:t>establishing</w:t>
      </w:r>
      <w:proofErr w:type="spellEnd"/>
      <w:r w:rsidRPr="00D34F18">
        <w:t xml:space="preserve"> </w:t>
      </w:r>
      <w:proofErr w:type="spellStart"/>
      <w:r w:rsidRPr="00D34F18">
        <w:t>the</w:t>
      </w:r>
      <w:proofErr w:type="spellEnd"/>
      <w:r w:rsidRPr="00D34F18">
        <w:t xml:space="preserve"> </w:t>
      </w:r>
      <w:proofErr w:type="spellStart"/>
      <w:r w:rsidRPr="00D34F18">
        <w:t>Creative</w:t>
      </w:r>
      <w:proofErr w:type="spellEnd"/>
      <w:r w:rsidRPr="00D34F18">
        <w:t xml:space="preserve"> </w:t>
      </w:r>
      <w:proofErr w:type="spellStart"/>
      <w:r w:rsidRPr="00D34F18">
        <w:t>Europe</w:t>
      </w:r>
      <w:proofErr w:type="spellEnd"/>
      <w:r w:rsidRPr="00D34F18">
        <w:t xml:space="preserve"> </w:t>
      </w:r>
      <w:proofErr w:type="spellStart"/>
      <w:r w:rsidRPr="00D34F18">
        <w:t>programme</w:t>
      </w:r>
      <w:proofErr w:type="spellEnd"/>
      <w:r w:rsidRPr="00D34F18">
        <w:t>» (Evaluación de impacto que acompaña al documento: Propuesta de Reglamento por el que se establece el programa Derechos y Valores, Propuesta de Reglamento por el que se establece el Programa de Justicia, Propuesta de Reglamento por el que se establece el programa Europa Creativa) (SWD(2018)0290),</w:t>
      </w:r>
    </w:p>
    <w:p w:rsidR="0050282D" w:rsidRPr="00D34F18" w:rsidRDefault="0050282D" w:rsidP="0050282D">
      <w:pPr>
        <w:pStyle w:val="NormalHanging12a"/>
      </w:pPr>
      <w:r w:rsidRPr="00D34F18">
        <w:t>–</w:t>
      </w:r>
      <w:r w:rsidRPr="00D34F18">
        <w:tab/>
        <w:t>Visto el Informe sobre la ciudadanía de la UE de 2020,</w:t>
      </w:r>
    </w:p>
    <w:p w:rsidR="0050282D" w:rsidRPr="00D34F18" w:rsidRDefault="0050282D" w:rsidP="0050282D">
      <w:pPr>
        <w:pStyle w:val="NormalHanging12a"/>
      </w:pPr>
      <w:r w:rsidRPr="00D34F18">
        <w:t>–</w:t>
      </w:r>
      <w:r w:rsidRPr="00D34F18">
        <w:tab/>
        <w:t>Vista la Carta de los Derechos Fundamentales de la Unión Europea,</w:t>
      </w:r>
    </w:p>
    <w:p w:rsidR="0050282D" w:rsidRPr="00D34F18" w:rsidRDefault="0050282D" w:rsidP="0050282D">
      <w:pPr>
        <w:pStyle w:val="NormalHanging12a"/>
      </w:pPr>
      <w:r w:rsidRPr="00D34F18">
        <w:t>–</w:t>
      </w:r>
      <w:r w:rsidRPr="00D34F18">
        <w:tab/>
        <w:t>Vistos el artículo 20 del Tratado de Funcionamiento de la Unión Europea y el artículo 9 del Tratado de la Unión Europea,</w:t>
      </w:r>
    </w:p>
    <w:p w:rsidR="0050282D" w:rsidRPr="00D34F18" w:rsidRDefault="0050282D" w:rsidP="0050282D">
      <w:pPr>
        <w:pStyle w:val="NormalHanging12a"/>
      </w:pPr>
      <w:r w:rsidRPr="00D34F18">
        <w:t>–</w:t>
      </w:r>
      <w:r w:rsidRPr="00D34F18">
        <w:rPr>
          <w:b/>
          <w:i/>
        </w:rPr>
        <w:tab/>
      </w:r>
      <w:r w:rsidRPr="00D34F18">
        <w:t>Vista la Resolución del Parlamento Europeo, de 6 de abril de 2022, sobre la aplicación de medidas de educación cívica (2021/2008(INI)),</w:t>
      </w:r>
    </w:p>
    <w:p w:rsidR="0050282D" w:rsidRPr="00D34F18" w:rsidRDefault="0050282D" w:rsidP="0050282D">
      <w:pPr>
        <w:pStyle w:val="NormalHanging12a"/>
        <w:rPr>
          <w:b/>
          <w:i/>
        </w:rPr>
      </w:pPr>
      <w:r w:rsidRPr="00D34F18">
        <w:t>–</w:t>
      </w:r>
      <w:r w:rsidRPr="00D34F18">
        <w:tab/>
        <w:t xml:space="preserve">Vista la Recomendación del Consejo, de 22 de mayo de 2018, relativa a la promoción </w:t>
      </w:r>
      <w:r w:rsidRPr="00D34F18">
        <w:lastRenderedPageBreak/>
        <w:t>de los valores comunes, la educación inclusiva y la dimensión europea de la enseñanza,</w:t>
      </w:r>
    </w:p>
    <w:p w:rsidR="0050282D" w:rsidRPr="00D34F18" w:rsidRDefault="0050282D" w:rsidP="0050282D">
      <w:pPr>
        <w:pStyle w:val="NormalHanging12a"/>
      </w:pPr>
      <w:r w:rsidRPr="00D34F18">
        <w:t>–</w:t>
      </w:r>
      <w:r w:rsidRPr="00D34F18">
        <w:tab/>
        <w:t>Vista la Comunicación de la Comisión, de 3 de diciembre de 2020, sobre el Plan de Acción para la Democracia Europea (</w:t>
      </w:r>
      <w:proofErr w:type="gramStart"/>
      <w:r w:rsidRPr="00D34F18">
        <w:t>COM(</w:t>
      </w:r>
      <w:proofErr w:type="gramEnd"/>
      <w:r w:rsidRPr="00D34F18">
        <w:t>2020)0790),</w:t>
      </w:r>
    </w:p>
    <w:p w:rsidR="0050282D" w:rsidRPr="00D34F18" w:rsidRDefault="0050282D" w:rsidP="0050282D">
      <w:pPr>
        <w:pStyle w:val="NormalHanging12a"/>
      </w:pPr>
      <w:r w:rsidRPr="00D34F18">
        <w:t>–</w:t>
      </w:r>
      <w:r w:rsidRPr="00D34F18">
        <w:tab/>
        <w:t>Vista la Comunicación de la Comisión, de 2 de diciembre de 2020, titulada «Estrategia para reforzar la aplicación de la Carta de los Derechos Fundamentales en la UE» (</w:t>
      </w:r>
      <w:proofErr w:type="gramStart"/>
      <w:r w:rsidRPr="00D34F18">
        <w:t>COM(</w:t>
      </w:r>
      <w:proofErr w:type="gramEnd"/>
      <w:r w:rsidRPr="00D34F18">
        <w:t>2020)0711),</w:t>
      </w:r>
    </w:p>
    <w:p w:rsidR="0050282D" w:rsidRPr="00D34F18" w:rsidRDefault="0050282D" w:rsidP="0050282D">
      <w:pPr>
        <w:pStyle w:val="NormalHanging12a"/>
      </w:pPr>
      <w:r w:rsidRPr="00D34F18">
        <w:t>–</w:t>
      </w:r>
      <w:r w:rsidRPr="00D34F18">
        <w:tab/>
        <w:t>Vista la Comunicación de la Comisión, de 18 de septiembre de 2020, titulada «Una Unión de la igualdad: Plan de Acción de la UE Antirracismo para 2020‑2025» (</w:t>
      </w:r>
      <w:proofErr w:type="gramStart"/>
      <w:r w:rsidRPr="00D34F18">
        <w:t>COM(</w:t>
      </w:r>
      <w:proofErr w:type="gramEnd"/>
      <w:r w:rsidRPr="00D34F18">
        <w:t>2020)0565),</w:t>
      </w:r>
    </w:p>
    <w:p w:rsidR="0050282D" w:rsidRPr="00D34F18" w:rsidRDefault="0050282D" w:rsidP="0050282D">
      <w:pPr>
        <w:pStyle w:val="NormalHanging12a"/>
      </w:pPr>
      <w:r w:rsidRPr="00D34F18">
        <w:t>–</w:t>
      </w:r>
      <w:r w:rsidRPr="00D34F18">
        <w:tab/>
        <w:t>Vista la Comunicación de la Comisión, de 12 de noviembre de 2020, titulada «Unión de la Igualdad: Estrategia para la Igualdad de las Personas LGBTIQ 2020‑2025» (</w:t>
      </w:r>
      <w:proofErr w:type="gramStart"/>
      <w:r w:rsidRPr="00D34F18">
        <w:t>COM(</w:t>
      </w:r>
      <w:proofErr w:type="gramEnd"/>
      <w:r w:rsidRPr="00D34F18">
        <w:t>2020)0698),</w:t>
      </w:r>
    </w:p>
    <w:p w:rsidR="0050282D" w:rsidRPr="00D34F18" w:rsidRDefault="0050282D" w:rsidP="0050282D">
      <w:pPr>
        <w:pStyle w:val="NormalHanging12a"/>
      </w:pPr>
      <w:r w:rsidRPr="00D34F18">
        <w:t>–</w:t>
      </w:r>
      <w:r w:rsidRPr="00D34F18">
        <w:tab/>
        <w:t>Vista la Comunicación de la Comisión, de 5 de marzo de 2020, titulada «Una Unión de la igualdad: Estrategia para la Igualdad de Género 2020‑2025» (</w:t>
      </w:r>
      <w:proofErr w:type="gramStart"/>
      <w:r w:rsidRPr="00D34F18">
        <w:t>COM(</w:t>
      </w:r>
      <w:proofErr w:type="gramEnd"/>
      <w:r w:rsidRPr="00D34F18">
        <w:t>2020)0152),</w:t>
      </w:r>
    </w:p>
    <w:p w:rsidR="0050282D" w:rsidRPr="00D34F18" w:rsidRDefault="0050282D" w:rsidP="0050282D">
      <w:pPr>
        <w:pStyle w:val="NormalHanging12a"/>
      </w:pPr>
      <w:r w:rsidRPr="00D34F18">
        <w:t>–</w:t>
      </w:r>
      <w:r w:rsidRPr="00D34F18">
        <w:tab/>
        <w:t>Vista la Comunicación de la Comisión, de 5 de octubre de 2021, titulada «Estrategia de la UE de lucha contra el antisemitismo y apoyo a la vida judía (2021‑2030)» </w:t>
      </w:r>
      <w:proofErr w:type="gramStart"/>
      <w:r w:rsidRPr="00D34F18">
        <w:t>COM(</w:t>
      </w:r>
      <w:proofErr w:type="gramEnd"/>
      <w:r w:rsidRPr="00D34F18">
        <w:t>2021)0615),</w:t>
      </w:r>
    </w:p>
    <w:p w:rsidR="0050282D" w:rsidRPr="00D34F18" w:rsidRDefault="0050282D" w:rsidP="0050282D">
      <w:pPr>
        <w:pStyle w:val="NormalHanging12a"/>
        <w:rPr>
          <w:b/>
          <w:i/>
        </w:rPr>
      </w:pPr>
      <w:r w:rsidRPr="00D34F18">
        <w:t>–</w:t>
      </w:r>
      <w:r w:rsidRPr="00D34F18">
        <w:rPr>
          <w:b/>
          <w:i/>
        </w:rPr>
        <w:tab/>
      </w:r>
      <w:r w:rsidRPr="00D34F18">
        <w:t>Vista la Comunicación de la Comisión, de 7 de octubre de 2020, titulada «Una Unión de la Igualdad: Marco estratégico de la UE para la igualdad, la inclusión y la participación de los gitanos» (</w:t>
      </w:r>
      <w:proofErr w:type="gramStart"/>
      <w:r w:rsidRPr="00D34F18">
        <w:t>COM(</w:t>
      </w:r>
      <w:proofErr w:type="gramEnd"/>
      <w:r w:rsidRPr="00D34F18">
        <w:t>2020)0620),</w:t>
      </w:r>
    </w:p>
    <w:p w:rsidR="0050282D" w:rsidRPr="00D34F18" w:rsidRDefault="0050282D" w:rsidP="0050282D">
      <w:pPr>
        <w:pStyle w:val="NormalHanging12a"/>
      </w:pPr>
      <w:r w:rsidRPr="00D34F18">
        <w:t>–</w:t>
      </w:r>
      <w:r w:rsidRPr="00D34F18">
        <w:tab/>
        <w:t>Vista la Comunicación de la Comisión, de 24 de marzo de 2021, titulada «Estrategia de la UE sobre los Derechos del Niño» (</w:t>
      </w:r>
      <w:proofErr w:type="gramStart"/>
      <w:r w:rsidRPr="00D34F18">
        <w:t>COM(</w:t>
      </w:r>
      <w:proofErr w:type="gramEnd"/>
      <w:r w:rsidRPr="00D34F18">
        <w:t>2021)0142),</w:t>
      </w:r>
    </w:p>
    <w:p w:rsidR="0050282D" w:rsidRPr="00D34F18" w:rsidRDefault="0050282D" w:rsidP="0050282D">
      <w:pPr>
        <w:pStyle w:val="NormalHanging12a"/>
      </w:pPr>
      <w:r w:rsidRPr="00D34F18">
        <w:t>–</w:t>
      </w:r>
      <w:r w:rsidRPr="00D34F18">
        <w:tab/>
        <w:t>Vistos el artículo 54 de su Reglamento interno, así como el artículo 1, apartado 1, letra e), y el anexo 3 de la Decisión de la Conferencia de Presidentes, de 12 de diciembre de 2002, sobre el procedimiento de autorización para la elaboración de informes de propia iniciativa,</w:t>
      </w:r>
    </w:p>
    <w:p w:rsidR="0050282D" w:rsidRPr="00D34F18" w:rsidRDefault="0050282D" w:rsidP="0050282D">
      <w:pPr>
        <w:pStyle w:val="NormalHanging12a"/>
      </w:pPr>
      <w:r w:rsidRPr="00D34F18">
        <w:t>–</w:t>
      </w:r>
      <w:r w:rsidRPr="00D34F18">
        <w:tab/>
        <w:t>Visto el informe de la Comisión de Cultura y Educación (A9-0392/2023),</w:t>
      </w:r>
    </w:p>
    <w:p w:rsidR="0050282D" w:rsidRPr="00D34F18" w:rsidRDefault="0050282D" w:rsidP="0050282D">
      <w:pPr>
        <w:pStyle w:val="NormalHanging12a"/>
      </w:pPr>
      <w:r w:rsidRPr="00D34F18">
        <w:t>A.</w:t>
      </w:r>
      <w:r w:rsidRPr="00D34F18">
        <w:tab/>
        <w:t>Considerando que la participación activa en la vida política y cultural es un derecho fundamental al que todos deben tener acceso por igual; que la Declaración Universal de Derechos Humanos establece el derecho a participar en el gobierno y en elecciones libres, el derecho a tomar parte en la vida cultural de la comunidad y el derecho de reunión y asociación pacíficas, permitiendo así la plena participación en la sociedad;</w:t>
      </w:r>
    </w:p>
    <w:p w:rsidR="0050282D" w:rsidRPr="00D34F18" w:rsidRDefault="0050282D" w:rsidP="0050282D">
      <w:pPr>
        <w:pStyle w:val="NormalHanging12a"/>
        <w:rPr>
          <w:szCs w:val="24"/>
        </w:rPr>
      </w:pPr>
      <w:r w:rsidRPr="00D34F18">
        <w:t>B.</w:t>
      </w:r>
      <w:r w:rsidRPr="00D34F18">
        <w:tab/>
        <w:t>Considerando que la ciudadanía de la Unión confiere a las personas diversos derechos, en particular el derecho a presentar peticiones al Parlamento sobre cualquier asunto que sea responsabilidad de la Unión, el derecho a plantear ante el Defensor del Pueblo Europeo los casos considerados de mala administración por parte de cualquier institución de la Unión, el derecho a escribir a cualquier institución de la Unión en una de las lenguas oficiales de la Unión y a recibir una respuesta en la misma lengua, y el derecho a acceder a los documentos del Parlamento, del Consejo y de la Comisión de conformidad con las normas de la Unión aplicables;</w:t>
      </w:r>
    </w:p>
    <w:p w:rsidR="0050282D" w:rsidRPr="00D34F18" w:rsidRDefault="0050282D" w:rsidP="0050282D">
      <w:pPr>
        <w:pStyle w:val="NormalHanging12a"/>
        <w:rPr>
          <w:szCs w:val="24"/>
        </w:rPr>
      </w:pPr>
      <w:r w:rsidRPr="00D34F18">
        <w:lastRenderedPageBreak/>
        <w:t>C.</w:t>
      </w:r>
      <w:r w:rsidRPr="00D34F18">
        <w:tab/>
        <w:t>Considerando que los retos sistémicos actuales y emergentes, como la crisis climática, las pandemias mundiales, la transición digital y las desigualdades sociales, requieren la adaptación de estructuras y enfoques para garantizar la participación activa de los ciudadanos en la sociedad; que el compromiso digital activo de la ciudadanía debe tener en cuenta y abordar la brecha digital entre generaciones y grupos sociales y entre las zonas urbanas bien conectadas y las zonas rurales y alejadas, a la vez que mejorar la alfabetización digital general;</w:t>
      </w:r>
    </w:p>
    <w:p w:rsidR="0050282D" w:rsidRPr="00D34F18" w:rsidRDefault="0050282D" w:rsidP="0050282D">
      <w:pPr>
        <w:pStyle w:val="NormalHanging12a"/>
        <w:rPr>
          <w:szCs w:val="24"/>
        </w:rPr>
      </w:pPr>
      <w:r w:rsidRPr="00D34F18">
        <w:t>D.</w:t>
      </w:r>
      <w:r w:rsidRPr="00D34F18">
        <w:tab/>
        <w:t xml:space="preserve">Considerando que los programas de la Unión que promueven el compromiso, los derechos y los valores cívicos, el sentimiento de pertenencia, las competencias </w:t>
      </w:r>
      <w:proofErr w:type="spellStart"/>
      <w:r w:rsidRPr="00D34F18">
        <w:t>sociocívicas</w:t>
      </w:r>
      <w:proofErr w:type="spellEnd"/>
      <w:r w:rsidRPr="00D34F18">
        <w:t xml:space="preserve"> y el pensamiento crítico son más importantes que nunca;</w:t>
      </w:r>
    </w:p>
    <w:p w:rsidR="0050282D" w:rsidRPr="00D34F18" w:rsidRDefault="0050282D" w:rsidP="0050282D">
      <w:pPr>
        <w:pStyle w:val="NormalHanging12a"/>
        <w:rPr>
          <w:szCs w:val="24"/>
        </w:rPr>
      </w:pPr>
      <w:r w:rsidRPr="00D34F18">
        <w:t>E.</w:t>
      </w:r>
      <w:r w:rsidRPr="00D34F18">
        <w:tab/>
        <w:t>Considerando que debe entenderse que el compromiso de los ciudadanos consta de varios niveles y abarca procesos locales, regionales, nacionales, europeos y mundiales mediante los cuales las personas toman conciencia, adquieren conocimientos y expresan sus opiniones participando e influyendo en las decisiones que afectan a sus vidas; que debe animarse a los habitantes de las zonas rurales y alejadas a participar en el programa; que los actuales procesos de globalización e integración europea requerirán que la nueva generación de europeos se comprometa en mayor medida políticamente a múltiples niveles, con el fin de que sea capaz de vivir y trabajar internacionalmente y de gestionar las diferencias en su vida cotidiana; que las sociedades son cada vez más diversas, lo que hace que el respeto de la dignidad humana, la diversidad de culturas y orígenes y el rechazo de todo tipo de discriminación hacia las mujeres, las personas LGTBIQ+, las minorías étnicas y otros grupos marginalizados sean cada vez más importantes en Europa;</w:t>
      </w:r>
    </w:p>
    <w:p w:rsidR="0050282D" w:rsidRPr="00D34F18" w:rsidRDefault="0050282D" w:rsidP="0050282D">
      <w:pPr>
        <w:pStyle w:val="NormalHanging12a"/>
        <w:rPr>
          <w:szCs w:val="24"/>
        </w:rPr>
      </w:pPr>
      <w:r w:rsidRPr="00D34F18">
        <w:t>F.</w:t>
      </w:r>
      <w:r w:rsidRPr="00D34F18">
        <w:tab/>
        <w:t xml:space="preserve">Considerando que los cambios sociopolíticos observados en los Estados miembros, que van desde la polarización social y la escasa confianza en las instituciones hasta el retroceso democrático, la erosión del Estado de Derecho, la reducción del espacio de acción de la sociedad civil, el nacionalismo excluyente y la instrumentalización del euroescepticismo con fines políticos, pasando por el auge de los movimientos extremistas y el autoritarismo, el </w:t>
      </w:r>
      <w:proofErr w:type="spellStart"/>
      <w:r w:rsidRPr="00D34F18">
        <w:t>entrismo</w:t>
      </w:r>
      <w:proofErr w:type="spellEnd"/>
      <w:r w:rsidRPr="00D34F18">
        <w:t xml:space="preserve"> de los fundamentalismos religiosos y las campañas de desinformación e información falsa, pueden suponer una grave amenaza para las democracias europeas y desestabilizar la Unión en su conjunto; que reforzar la participación activa y el compromiso de los ciudadanos a través de la educación formal, no formal e informal y el aprendizaje permanente puede desempeñar un papel fundamental en la lucha contra esta tendencia;</w:t>
      </w:r>
    </w:p>
    <w:p w:rsidR="0050282D" w:rsidRPr="00D34F18" w:rsidRDefault="0050282D" w:rsidP="0050282D">
      <w:pPr>
        <w:pStyle w:val="NormalHanging12a"/>
        <w:rPr>
          <w:szCs w:val="24"/>
        </w:rPr>
      </w:pPr>
      <w:r w:rsidRPr="00D34F18">
        <w:t>G.</w:t>
      </w:r>
      <w:r w:rsidRPr="00D34F18">
        <w:tab/>
        <w:t>Considerando que el surgimiento de una ciudadanía europea se ha visto obstaculizado por una laguna de conocimientos y una brecha emocional, a menudo ligadas a percepciones erróneas de la Unión Europea, por lo que debería ir acompañado y reforzado por un conjunto de mecanismos que permitan la participación ciudadana y el diálogo intercultural; que una mejor comprensión de nuestra historia europea común y una mayor participación ciudadana en la vida social y política pueden resultar beneficiosas para una identidad europea emergente que complemente las múltiples identidades locales, regionales, nacionales, geográficas, culturales o de otro tipo de los ciudadanos; que la participación activa de los ciudadanos y el diálogo están interrelacionados con la dimensión europea de la educación cívica y pueden contribuir eficazmente a la creación de una ciudadanía europea con derechos y obligaciones claros;</w:t>
      </w:r>
    </w:p>
    <w:p w:rsidR="0050282D" w:rsidRPr="00D34F18" w:rsidRDefault="0050282D" w:rsidP="0050282D">
      <w:pPr>
        <w:pStyle w:val="NormalHanging12a"/>
      </w:pPr>
      <w:r w:rsidRPr="00D34F18">
        <w:lastRenderedPageBreak/>
        <w:t>H.</w:t>
      </w:r>
      <w:r w:rsidRPr="00D34F18">
        <w:tab/>
        <w:t>Considerando que el compromiso insuficiente de los ciudadanos, los conocimientos limitados sobre la Unión y la escasa comprensión de su valor añadido pueden contribuir a la percepción de un déficit democrático y dan lugar a un euroescepticismo generalizado en los Estados miembros;</w:t>
      </w:r>
    </w:p>
    <w:p w:rsidR="0050282D" w:rsidRPr="00D34F18" w:rsidRDefault="0050282D" w:rsidP="0050282D">
      <w:pPr>
        <w:pStyle w:val="NormalHanging12a"/>
      </w:pPr>
      <w:r w:rsidRPr="00D34F18">
        <w:t>I.</w:t>
      </w:r>
      <w:r w:rsidRPr="00D34F18">
        <w:tab/>
        <w:t>Considerando que la reducción del espacio cívico en la Unión Europea y en otros países participantes en el programa está afectando a la participación democrática y a la capacidad de las organizaciones de la sociedad civil para actuar como factor de controles y equilibrios con respecto al Estado de Derecho; que las acciones para apoyar y permitir la participación de la sociedad civil, incluidas las organizaciones de minorías y las organizaciones de base que cuentan con un largo historial y una experiencia considerable, son fundamentales para defender la democracia, el Estado de Derecho y los derechos humanos en los Estados miembros;</w:t>
      </w:r>
    </w:p>
    <w:p w:rsidR="0050282D" w:rsidRPr="00D34F18" w:rsidRDefault="0050282D" w:rsidP="0050282D">
      <w:pPr>
        <w:pStyle w:val="NormalHanging12a"/>
        <w:rPr>
          <w:b/>
          <w:i/>
        </w:rPr>
      </w:pPr>
      <w:r w:rsidRPr="00D34F18">
        <w:t>J.</w:t>
      </w:r>
      <w:r w:rsidRPr="00D34F18">
        <w:tab/>
        <w:t xml:space="preserve">Considerando que las organizaciones de la sociedad civil de las minorías son fundamentales para la </w:t>
      </w:r>
      <w:proofErr w:type="spellStart"/>
      <w:r w:rsidRPr="00D34F18">
        <w:t>autorrepresentación</w:t>
      </w:r>
      <w:proofErr w:type="spellEnd"/>
      <w:r w:rsidRPr="00D34F18">
        <w:t xml:space="preserve"> y el compromiso cívico de las personas </w:t>
      </w:r>
      <w:proofErr w:type="spellStart"/>
      <w:r w:rsidRPr="00D34F18">
        <w:t>minorizadas</w:t>
      </w:r>
      <w:proofErr w:type="spellEnd"/>
      <w:r w:rsidRPr="00D34F18">
        <w:t>, en particular para aquellos grupos que carecen de otras vías formales de representación política;</w:t>
      </w:r>
    </w:p>
    <w:p w:rsidR="0050282D" w:rsidRPr="00D34F18" w:rsidRDefault="0050282D" w:rsidP="0050282D">
      <w:pPr>
        <w:pStyle w:val="NormalHanging12a"/>
      </w:pPr>
      <w:r w:rsidRPr="00D34F18">
        <w:t>K.</w:t>
      </w:r>
      <w:r w:rsidRPr="00D34F18">
        <w:tab/>
        <w:t>Considerando que en 2020 había más de 22 millones de nacionales de terceros países residiendo en la Unión; que estos grupos carecen de acceso a actividades políticas formales, lo que da lugar a que la vida de millones de personas se vea afectada por las decisiones que se toman sin su participación o contribución; que esto constituye un déficit democrático fundamental en toda la Unión a todos los niveles y un reto para elaborar políticas y programas sostenibles, equitativos y eficaces, y que la realización de los derechos humanos relacionados con la participación política y pública de los no nacionales desempeña un papel crucial en la promoción de la gobernanza democrática, el Estado de Derecho, la inclusión social, el desarrollo económico y la eliminación de la marginación y la discriminación en la Unión;</w:t>
      </w:r>
    </w:p>
    <w:p w:rsidR="0050282D" w:rsidRPr="00D34F18" w:rsidRDefault="0050282D" w:rsidP="0050282D">
      <w:pPr>
        <w:pStyle w:val="NormalHanging12a"/>
        <w:ind w:left="0" w:firstLine="0"/>
        <w:rPr>
          <w:i/>
        </w:rPr>
      </w:pPr>
      <w:r w:rsidRPr="00D34F18">
        <w:rPr>
          <w:b/>
          <w:i/>
        </w:rPr>
        <w:t>Las primeras fases de la ejecución del programa Ciudadanos, Igualdad, Derechos y Valores (2021‑2027): Capítulo 3 — Compromiso de los ciudadanos</w:t>
      </w:r>
    </w:p>
    <w:p w:rsidR="0050282D" w:rsidRPr="00D34F18" w:rsidRDefault="0050282D" w:rsidP="0050282D">
      <w:pPr>
        <w:pStyle w:val="NormalHanging12a"/>
        <w:rPr>
          <w:szCs w:val="24"/>
        </w:rPr>
      </w:pPr>
      <w:r w:rsidRPr="00D34F18">
        <w:t>1.</w:t>
      </w:r>
      <w:r w:rsidRPr="00D34F18">
        <w:tab/>
        <w:t>Cree firmemente que el programa Ciudadanos, Igualdad, Derechos y Valores (CERV) contribuye de manera única a mejorar el compromiso cívico y la participación desde la perspectiva de los derechos fundamentales, ya que combina eficazmente valores, diálogo civil y ciudadanía, y promueve al mismo tiempo la igualdad social y de género, la diversidad mediante la ayuda a la conservación del patrimonio regional, la conciencia históricas y la lucha contra la discriminación y la violencia; opina que el programa CERV es un instrumento esencial para el futuro de la Unión y para abordar el reto sociopolítico, como las lagunas de conocimiento, el euroescepticismo, la reducción del espacio cívico, y la erosión y los retos a los que se enfrenta el Estado de Derecho en toda Europa; anima a que el programa apoye acciones destinadas a reforzar la resiliencia de las organizaciones de la sociedad civil, incluidas las centradas en el Estado de Derecho y los valores de la Unión;</w:t>
      </w:r>
    </w:p>
    <w:p w:rsidR="0050282D" w:rsidRPr="00D34F18" w:rsidRDefault="0050282D" w:rsidP="0050282D">
      <w:pPr>
        <w:pStyle w:val="NormalHanging12a"/>
      </w:pPr>
      <w:r w:rsidRPr="00D34F18">
        <w:t>2.</w:t>
      </w:r>
      <w:r w:rsidRPr="00D34F18">
        <w:tab/>
        <w:t>Recuerda que la ejecución del programa CERV se encuentra todavía en sus primeras fases, ya que el Reglamento por el que se establece el programa no se adoptó hasta 2021; señala que, por este motivo, solo se han completado unos pocos proyectos del capítulo 3 y que se dispone de poca información por parte de los beneficiarios para poder evaluar con precisión los resultados;</w:t>
      </w:r>
    </w:p>
    <w:p w:rsidR="0050282D" w:rsidRPr="00D34F18" w:rsidRDefault="0050282D" w:rsidP="0050282D">
      <w:pPr>
        <w:pStyle w:val="NormalHanging12a"/>
        <w:rPr>
          <w:szCs w:val="24"/>
        </w:rPr>
      </w:pPr>
      <w:r w:rsidRPr="00D34F18">
        <w:lastRenderedPageBreak/>
        <w:t>3.</w:t>
      </w:r>
      <w:r w:rsidRPr="00D34F18">
        <w:tab/>
        <w:t>Pide a la Comisión que dé prioridad a la recogida de datos sobre el programa CERV, en particular sobre los grupos desfavorecidos, como las comunidades marginadas, las minorías y las poblaciones vulnerables, a fin de abordar sus retos únicos y promover la investigación sobre sus experiencias; insiste en la necesidad de establecer mecanismos sólidos de seguimiento y evaluación; subraya que este enfoque será útil para fundamentar la elaboración de políticas, garantizando la participación significativa de los grupos desfavorecidos en las iniciativas de compromiso cívico y amplificando su voz, y crear un programa más inclusivo y equitativo, garantizando al mismo tiempo que en general se realicen mejores evaluaciones en el futuro;</w:t>
      </w:r>
    </w:p>
    <w:p w:rsidR="0050282D" w:rsidRPr="00D34F18" w:rsidRDefault="0050282D" w:rsidP="0050282D">
      <w:pPr>
        <w:pStyle w:val="NormalHanging12a"/>
        <w:rPr>
          <w:szCs w:val="24"/>
        </w:rPr>
      </w:pPr>
      <w:r w:rsidRPr="00D34F18">
        <w:t>4.</w:t>
      </w:r>
      <w:r w:rsidRPr="00D34F18">
        <w:tab/>
        <w:t>Subraya que las fases iniciales de ejecución del programa se vieron obstaculizadas por una serie de retos, muchos de ellos debidos a factores externos, como la pandemia de COVID</w:t>
      </w:r>
      <w:r w:rsidRPr="00D34F18">
        <w:noBreakHyphen/>
        <w:t>19 y la guerra de agresión de Rusia contra Ucrania, los cuales han perturbado y mermado los derechos de los ciudadanos y su participación en la democracia; observa que, aunque el programa arrancó con lentitud, ha cogido velocidad y ahora funciona adecuadamente en la actualidad; hace hincapié, asimismo, en que deben organizarse campañas de sensibilización para llegar a una población más amplia, especialmente en las zonas rurales;</w:t>
      </w:r>
    </w:p>
    <w:p w:rsidR="0050282D" w:rsidRPr="00D34F18" w:rsidRDefault="0050282D" w:rsidP="0050282D">
      <w:pPr>
        <w:pStyle w:val="NormalHanging12a"/>
        <w:rPr>
          <w:szCs w:val="24"/>
        </w:rPr>
      </w:pPr>
      <w:r w:rsidRPr="00D34F18">
        <w:t>5.</w:t>
      </w:r>
      <w:r w:rsidRPr="00D34F18">
        <w:tab/>
        <w:t xml:space="preserve">Expresa su preocupación por el hecho de que la introducción y el uso de nuevas herramientas digitales para la ejecución de los fondos de la Unión (por ejemplo, la herramienta </w:t>
      </w:r>
      <w:proofErr w:type="spellStart"/>
      <w:r w:rsidRPr="00D34F18">
        <w:t>eGrants</w:t>
      </w:r>
      <w:proofErr w:type="spellEnd"/>
      <w:r w:rsidRPr="00D34F18">
        <w:t>) parezcan ser una cuestión fundamental para los beneficiarios con respecto al desarrollo del programa; lamenta que la complejidad de los procedimientos también haya obstaculizado la participación de organizaciones más pequeñas que carecen del tiempo y los recursos necesarios para completar el procedimiento de solicitud dentro de los plazos establecidos; considera que el diseño de estas herramientas dificulta que el programa se adapte a los nuevos avances y a las necesidades cambiantes; pide que se elimine la carga administrativa y se simplifiquen los procedimientos de solicitud, contratación y presentación de informes; subraya que la simplificación de los requisitos administrativos también incluye un proceso de solicitud más eficiente y flexible para las organizaciones que han firmado acuerdos marco de asociación plurianuales, también con el fin de anticipar la evolución de las políticas; destaca, además, la necesidad de que el portal de solicitud sea más fácil de utilizar, especialmente para las organizaciones de menor tamaño, y de garantizar que todos los documentos relacionados con el procedimiento se traduzcan a todas las lenguas oficiales de la Unión para fomentar la participación en todos los Estados miembros y garantizar la diversidad cultural;</w:t>
      </w:r>
    </w:p>
    <w:p w:rsidR="0050282D" w:rsidRPr="00D34F18" w:rsidRDefault="0050282D" w:rsidP="0050282D">
      <w:pPr>
        <w:pStyle w:val="NormalHanging12a"/>
      </w:pPr>
      <w:r w:rsidRPr="00D34F18">
        <w:t>6.</w:t>
      </w:r>
      <w:r w:rsidRPr="00D34F18">
        <w:tab/>
        <w:t>Lamenta que no sea obligatorio que los Estados miembros establezcan un punto de contacto nacional en el marco del programa CERV que ofrezca asesoramiento neutro, información útil y apoyo a los solicitantes, las partes interesadas y los beneficiarios, incluida la asistencia en el procedimiento de solicitud, y comparta al mismo tiempo información de fácil comprensión sobre los resultados del programa; observa con pesar que solo veinte Estados miembros contaban con puntos de contacto nacionales en junio de 2023;</w:t>
      </w:r>
    </w:p>
    <w:p w:rsidR="0050282D" w:rsidRPr="00D34F18" w:rsidRDefault="0050282D" w:rsidP="0050282D">
      <w:pPr>
        <w:pStyle w:val="NormalHanging12a"/>
      </w:pPr>
      <w:r w:rsidRPr="00D34F18">
        <w:t>7.</w:t>
      </w:r>
      <w:r w:rsidRPr="00D34F18">
        <w:tab/>
        <w:t xml:space="preserve">Expresa su profunda preocupación por el hecho de que las tasas de inflación actuales estén afectando a los costes de funcionamiento que redundan en los beneficiarios del CERV; lamenta que los beneficiarios encuentren dificultades a la hora de realizar sus actividades previstas, en particular en lo que respecta a los costes unitarios de dietas de desplazamiento, alojamiento y estancia, y que puedan tener que reducir algunas de las </w:t>
      </w:r>
      <w:r w:rsidRPr="00D34F18">
        <w:lastRenderedPageBreak/>
        <w:t>actividades previstas inicialmente para ajustarse al presupuesto;</w:t>
      </w:r>
    </w:p>
    <w:p w:rsidR="0050282D" w:rsidRPr="00D34F18" w:rsidRDefault="0050282D" w:rsidP="0050282D">
      <w:pPr>
        <w:pStyle w:val="NormalHanging12a"/>
        <w:rPr>
          <w:i/>
        </w:rPr>
      </w:pPr>
      <w:r w:rsidRPr="00D34F18">
        <w:rPr>
          <w:b/>
          <w:i/>
        </w:rPr>
        <w:t>Recomendaciones de actuación para el futuro del programa CERV</w:t>
      </w:r>
    </w:p>
    <w:p w:rsidR="0050282D" w:rsidRPr="00D34F18" w:rsidRDefault="0050282D" w:rsidP="0050282D">
      <w:pPr>
        <w:pStyle w:val="NormalHanging12a"/>
      </w:pPr>
      <w:r w:rsidRPr="00D34F18">
        <w:t>8.</w:t>
      </w:r>
      <w:r w:rsidRPr="00D34F18">
        <w:tab/>
        <w:t>Pide a la Comisión que establezca el grupo de diálogo civil para garantizar un diálogo regular, abierto y transparente que refuerce el diálogo civil en todas las fases del programa para favorecer un proceso bidireccional entre las instituciones a todos los niveles y el conjunto de partes interesadas pertinentes, especialmente las organizaciones de la sociedad civil, y en el marco de la aplicación del artículo 11 del Reglamento (UE) 2021/692, así como utilizar el diálogo civil como herramienta para la gobernanza y para determinar las prioridades del programa de trabajo bienal y promover en mayor medida la dimensión colectiva del compromiso cívico como un aspecto fundamental de la democracia y del Estado de Derecho; recuerda, a este respecto, que deben promoverse acciones innovadoras que apoyen el diálogo con la sociedad civil, también con vistas a fomentar una cultura de asociación basada en la confianza con los beneficiarios; reclama, en particular, acciones de desarrollo de capacidades que apoyen la participación amplia de la sociedad civil, especialmente a través de vínculos con otros regímenes de financiación proporcionados a través de la gestión compartida, como el instrumento de apoyo técnico;</w:t>
      </w:r>
    </w:p>
    <w:p w:rsidR="0050282D" w:rsidRPr="00D34F18" w:rsidRDefault="0050282D" w:rsidP="0050282D">
      <w:pPr>
        <w:pStyle w:val="NormalHanging12a"/>
        <w:rPr>
          <w:szCs w:val="24"/>
        </w:rPr>
      </w:pPr>
      <w:r w:rsidRPr="00D34F18">
        <w:t>9.</w:t>
      </w:r>
      <w:r w:rsidRPr="00D34F18">
        <w:tab/>
        <w:t xml:space="preserve">Recuerda la necesidad de promover la participación activa de los ciudadanos reforzando la dimensión europea de la educación cívica, tanto en las actividades curriculares como en las extracurriculares; subraya que una verdadera educación cívica europea puede informar y formar a los ciudadanos en un espíritu de compromiso y participación cívicos y que unas directrices de la Unión adecuadas pueden ser una herramienta útil en este sentido; hace hincapié en la importancia de incluir a los no nacionales que viven en la Unión y a sus organizaciones </w:t>
      </w:r>
      <w:proofErr w:type="spellStart"/>
      <w:r w:rsidRPr="00D34F18">
        <w:t>autogestionadas</w:t>
      </w:r>
      <w:proofErr w:type="spellEnd"/>
      <w:r w:rsidRPr="00D34F18">
        <w:t xml:space="preserve"> en el grupo destinatario del programa CERV, lo que fomentará la gobernanza democrática, el Estado de Derecho y la inclusión social;</w:t>
      </w:r>
    </w:p>
    <w:p w:rsidR="0050282D" w:rsidRPr="00D34F18" w:rsidRDefault="0050282D" w:rsidP="0050282D">
      <w:pPr>
        <w:pStyle w:val="NormalHanging12a"/>
        <w:rPr>
          <w:szCs w:val="24"/>
        </w:rPr>
      </w:pPr>
      <w:r w:rsidRPr="00D34F18">
        <w:t>10.</w:t>
      </w:r>
      <w:r w:rsidRPr="00D34F18">
        <w:tab/>
        <w:t>Pide a los Estados miembros que aún no hayan designado puntos de contacto nacionales que lo hagan lo antes posible y pide a la Comisión que siga trabajando con la red de puntos de contacto nacionales mediante reuniones, formaciones e intercambios específicos, ya que estas iniciativas han gozado de un gran éxito hasta la fecha; anima, en este contexto, a la Comisión, a los Estados miembros y a los puntos de contacto nacionales a que establezcan una red europea de puntos de contacto nacionales para facilitar el intercambio de mejores prácticas y de conocimientos; alienta, asimismo, a la Comisión a que establezca una red de beneficiarios del CERV para que intercambien sus experiencias y mejores prácticas con el fin de lograr una comprensión más profunda de las realidades locales y nacionales en toda la Unión y fuera de ella;</w:t>
      </w:r>
    </w:p>
    <w:p w:rsidR="0050282D" w:rsidRPr="00D34F18" w:rsidRDefault="0050282D" w:rsidP="0050282D">
      <w:pPr>
        <w:pStyle w:val="NormalHanging12a"/>
        <w:rPr>
          <w:szCs w:val="24"/>
        </w:rPr>
      </w:pPr>
      <w:r w:rsidRPr="00D34F18">
        <w:t>11.</w:t>
      </w:r>
      <w:r w:rsidRPr="00D34F18">
        <w:tab/>
        <w:t xml:space="preserve">Toma nota de los resultados que ha tenido la introducción de diferentes tipos de mecanismos de reasignación de las subvenciones en el marco del programa CERV, que hasta ahora han sido muy alentadores; pide un análisis cualitativo y cuantitativo de las diferentes convocatorias para la reasignación de subvenciones con vistas a ampliar su uso a los demás capítulos del programa CERV, cuando proceda, y en particular al capítulo 3, con el fin de garantizar que la financiación de la Unión llegue a organizaciones de base de la sociedad civil que cuentan con un largo historial y una experiencia considerable; insta a la Comisión a que siga simplificando los procedimientos administrativos y los requisitos para la reasignación de subvenciones a fin de ofrecer una mayor flexibilidad a las organizaciones que soliciten una reasignación </w:t>
      </w:r>
      <w:r w:rsidRPr="00D34F18">
        <w:lastRenderedPageBreak/>
        <w:t>con respecto a los beneficiarios de subvenciones en cascada, garantizando unas normas adecuadas en materia de trabajo, asistencia sanitaria y protección social; considera que los requisitos de cofinanciación podrían revisarse para adaptar las normas a la situación del beneficiario con el objetivo de poder brindar apoyo a una mayor variedad de beneficiarios, incluidos particulares y microestructuras, y ámbitos temáticos; insiste en la importancia de promover el uso del programa en el sector educativo en general, en particular para los estudiantes, los profesores, el personal educativo y los trabajadores en el ámbito de la juventud; subraya que la financiación a cargo del programa CERV en el ámbito de los derechos, la igualdad, los valores y el compromiso cívico, para los que apenas existen otras fuentes de financiación, debería abarcar un mayor porcentaje de los importes de las subvenciones; insta a la Comisión a que vele por que la financiación se destine a estructuras que respeten la Carta de los Derechos Fundamentales de la Unión Europea, por ejemplo mediante el establecimiento de mecanismos de control que garanticen unas normas de trabajo, asistencia sanitaria y protección social adecuadas; pide que se evalúen los mecanismos de reasignación para determinar su eficacia y flexibilidad a la hora de llegar a grupos de base y de apoyar a las organizaciones en países donde el espacio cívico se está reduciendo;</w:t>
      </w:r>
    </w:p>
    <w:p w:rsidR="0050282D" w:rsidRPr="00D34F18" w:rsidRDefault="0050282D" w:rsidP="0050282D">
      <w:pPr>
        <w:pStyle w:val="NormalHanging12a"/>
        <w:rPr>
          <w:szCs w:val="24"/>
        </w:rPr>
      </w:pPr>
      <w:r w:rsidRPr="00D34F18">
        <w:t>12.</w:t>
      </w:r>
      <w:r w:rsidRPr="00D34F18">
        <w:tab/>
        <w:t>Pide aumentar el presupuesto del programa a 2 600</w:t>
      </w:r>
      <w:r w:rsidR="00B06BAC" w:rsidRPr="00D34F18">
        <w:t> 000 000</w:t>
      </w:r>
      <w:r w:rsidRPr="00D34F18">
        <w:t xml:space="preserve"> EUR durante el próximo marco financiero plurianual (MFP) para satisfacer la creciente demanda de iniciativas de compromiso cívico y participación democrática, y que se establezca un mecanismo </w:t>
      </w:r>
      <w:r w:rsidRPr="00D34F18">
        <w:rPr>
          <w:i/>
          <w:iCs/>
        </w:rPr>
        <w:t>ad hoc</w:t>
      </w:r>
      <w:r w:rsidRPr="00D34F18">
        <w:t xml:space="preserve"> para proteger a los defensores de los derechos humanos, similar a los mecanismos que ya existen fuera de la Unión para proteger a los defensores de los derechos humanos o a los periodistas, y, en general, abordar el impacto de la inflación en los costes de los programas, teniendo también en cuenta las Conclusiones de la Conferencia sobre el Futuro de Europa sobre la ciudadanía europea y la educación, así como la importancia estratégica del programa CERV para la aplicación de las prioridades de la Unión;</w:t>
      </w:r>
    </w:p>
    <w:p w:rsidR="0050282D" w:rsidRPr="00D34F18" w:rsidRDefault="0050282D" w:rsidP="0050282D">
      <w:pPr>
        <w:pStyle w:val="NormalHanging12a"/>
        <w:rPr>
          <w:szCs w:val="24"/>
        </w:rPr>
      </w:pPr>
      <w:r w:rsidRPr="00D34F18">
        <w:t>13.</w:t>
      </w:r>
      <w:r w:rsidRPr="00D34F18">
        <w:tab/>
        <w:t>Hace hincapié en la gran importancia que revisten para el éxito del programa unas actividades eficaces de comunicación y sensibilización, por lo que debe dárseles prioridad para implicar a los posibles beneficiarios, especialmente a nivel local;</w:t>
      </w:r>
    </w:p>
    <w:p w:rsidR="0050282D" w:rsidRPr="00D34F18" w:rsidRDefault="0050282D" w:rsidP="0050282D">
      <w:pPr>
        <w:pStyle w:val="NormalHanging12a"/>
        <w:rPr>
          <w:szCs w:val="24"/>
        </w:rPr>
      </w:pPr>
      <w:r w:rsidRPr="00D34F18">
        <w:t>14.</w:t>
      </w:r>
      <w:r w:rsidRPr="00D34F18">
        <w:tab/>
        <w:t>Reconoce que los intercambios y la participación en actividades en el marco del programa CERV son fundamentales para desarrollar las capacidades de las organizaciones de la sociedad civil en materia de compromiso cívico y promocionar los valores de la Unión en terceros países; subraya que la implicación y el compromiso activo con los valores europeos no empiezan con los acuerdos de adhesión, sino que son el resultado de la larga labor de activistas y organizaciones de la sociedad civil para promover estas ideas y apoyar a los activistas locales en terceros países; anima a la Comisión a que facilite la participación de los ciudadanos de terceros países mediante la participación de organizaciones y de la sociedad civil de fuera de la Unión en las actividades del CERV; pide, por tanto, que el programa CERV cubra los costes de participación de los representantes de la sociedad civil, al menos los de los países candidatos y asociados, independientemente de que su país participe o no en el programa CERV; destaca la necesidad de abordar los retos asociados a la guerra en Ucrania fomentando proyectos con socios ucranianos a través de actividades de memoria histórica, participación democrática y recuperación del patrimonio cultural ucraniano;</w:t>
      </w:r>
    </w:p>
    <w:p w:rsidR="0050282D" w:rsidRPr="00D34F18" w:rsidRDefault="0050282D" w:rsidP="0050282D">
      <w:pPr>
        <w:pStyle w:val="NormalHanging12a"/>
        <w:rPr>
          <w:szCs w:val="24"/>
        </w:rPr>
      </w:pPr>
      <w:r w:rsidRPr="00D34F18">
        <w:t>15.</w:t>
      </w:r>
      <w:r w:rsidRPr="00D34F18">
        <w:tab/>
        <w:t xml:space="preserve">Reitera su llamamiento para convertir el programa CERV en una palanca de acción en </w:t>
      </w:r>
      <w:r w:rsidRPr="00D34F18">
        <w:lastRenderedPageBreak/>
        <w:t>el ámbito de la conciencia histórica europea mediante el apoyo activo a estructuras destinadas a fomentar la memoria histórica crítica, por ejemplo en materia de investigación transnacional y visita de lugares de memoria, tanto en la Unión como fuera de ella; en particular para denunciar el revisionismo histórico y cultural; pide a la Comisión y a los Estados miembros que presten especial atención a las cuestiones sociales delicadas que podrían ser objeto de una posible instrumentalización;</w:t>
      </w:r>
    </w:p>
    <w:p w:rsidR="0050282D" w:rsidRPr="00D34F18" w:rsidRDefault="0050282D" w:rsidP="0050282D">
      <w:pPr>
        <w:pStyle w:val="NormalHanging12a"/>
        <w:rPr>
          <w:szCs w:val="24"/>
        </w:rPr>
      </w:pPr>
      <w:r w:rsidRPr="00D34F18">
        <w:t>16.</w:t>
      </w:r>
      <w:r w:rsidRPr="00D34F18">
        <w:tab/>
        <w:t>Pide que el programa CERV apoye la dinámica emergente de vincular el hermanamiento de ciudades y las redes de ciudades con el hermanamiento de centros educativos, lo que puede reforzar la dimensión europea, el intercambio de buenas prácticas y el sentimiento de pertenencia;</w:t>
      </w:r>
    </w:p>
    <w:p w:rsidR="0050282D" w:rsidRPr="00D34F18" w:rsidRDefault="0050282D" w:rsidP="0050282D">
      <w:pPr>
        <w:pStyle w:val="NormalHanging12a"/>
      </w:pPr>
      <w:r w:rsidRPr="00D34F18">
        <w:t>17.</w:t>
      </w:r>
      <w:r w:rsidRPr="00D34F18">
        <w:tab/>
        <w:t>Insta a la Comisión a que siga simplificando los procedimientos administrativos de las asociaciones marco de cuatro años para las subvenciones de funcionamiento, en particular en lo que respecta a las características específicas de la herramienta informática utilizada, que parece que encaja mejor con la naturaleza de las subvenciones de acción;</w:t>
      </w:r>
    </w:p>
    <w:p w:rsidR="0050282D" w:rsidRPr="00D34F18" w:rsidRDefault="0050282D" w:rsidP="0050282D">
      <w:pPr>
        <w:pStyle w:val="NormalHanging12a"/>
        <w:jc w:val="center"/>
      </w:pPr>
      <w:r w:rsidRPr="00D34F18">
        <w:t>°</w:t>
      </w:r>
    </w:p>
    <w:p w:rsidR="0050282D" w:rsidRPr="00D34F18" w:rsidRDefault="0050282D" w:rsidP="0050282D">
      <w:pPr>
        <w:pStyle w:val="NormalHanging12a"/>
        <w:jc w:val="center"/>
      </w:pPr>
      <w:r w:rsidRPr="00D34F18">
        <w:t>°</w:t>
      </w:r>
      <w:r w:rsidRPr="00D34F18">
        <w:tab/>
        <w:t>°</w:t>
      </w:r>
    </w:p>
    <w:p w:rsidR="0050282D" w:rsidRPr="00D34F18" w:rsidRDefault="0050282D" w:rsidP="0050282D">
      <w:pPr>
        <w:pStyle w:val="NormalHanging12a"/>
        <w:ind w:left="560" w:hanging="560"/>
      </w:pPr>
      <w:r w:rsidRPr="00D34F18">
        <w:t>18.</w:t>
      </w:r>
      <w:r w:rsidRPr="00D34F18">
        <w:tab/>
        <w:t>Encarga a su presidenta que transmita la presente Resolució</w:t>
      </w:r>
      <w:bookmarkStart w:id="8" w:name="_GoBack"/>
      <w:bookmarkEnd w:id="8"/>
      <w:r w:rsidRPr="00D34F18">
        <w:t xml:space="preserve">n </w:t>
      </w:r>
      <w:r w:rsidR="00485BE9" w:rsidRPr="00D34F18">
        <w:t>al Consejo y a la Comisión.</w:t>
      </w:r>
    </w:p>
    <w:sectPr w:rsidR="0050282D" w:rsidRPr="00D34F18" w:rsidSect="00485BE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529E" w:rsidRPr="00485BE9" w:rsidRDefault="0035529E">
      <w:r w:rsidRPr="00485BE9">
        <w:separator/>
      </w:r>
    </w:p>
  </w:endnote>
  <w:endnote w:type="continuationSeparator" w:id="0">
    <w:p w:rsidR="0035529E" w:rsidRPr="00485BE9" w:rsidRDefault="0035529E">
      <w:r w:rsidRPr="00485B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5BE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5BE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5B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529E" w:rsidRPr="00485BE9" w:rsidRDefault="0035529E">
      <w:r w:rsidRPr="00485BE9">
        <w:separator/>
      </w:r>
    </w:p>
  </w:footnote>
  <w:footnote w:type="continuationSeparator" w:id="0">
    <w:p w:rsidR="0035529E" w:rsidRPr="00485BE9" w:rsidRDefault="0035529E">
      <w:r w:rsidRPr="00485BE9">
        <w:continuationSeparator/>
      </w:r>
    </w:p>
  </w:footnote>
  <w:footnote w:id="1">
    <w:p w:rsidR="0050282D" w:rsidRPr="00D34F18" w:rsidRDefault="0050282D" w:rsidP="00485BE9">
      <w:pPr>
        <w:pStyle w:val="FootnoteText"/>
        <w:ind w:left="567" w:hanging="567"/>
        <w:rPr>
          <w:sz w:val="24"/>
          <w:u w:val="single" w:color="0000FF"/>
          <w:lang w:val="es-ES_tradnl"/>
        </w:rPr>
      </w:pPr>
      <w:r w:rsidRPr="00485BE9">
        <w:rPr>
          <w:rStyle w:val="FootnoteReference"/>
          <w:sz w:val="24"/>
          <w:lang w:val="es-ES_tradnl"/>
        </w:rPr>
        <w:footnoteRef/>
      </w:r>
      <w:r w:rsidR="00485BE9" w:rsidRPr="00485BE9">
        <w:rPr>
          <w:sz w:val="24"/>
          <w:lang w:val="es-ES_tradnl"/>
        </w:rPr>
        <w:t xml:space="preserve"> </w:t>
      </w:r>
      <w:r w:rsidR="00485BE9" w:rsidRPr="00485BE9">
        <w:rPr>
          <w:sz w:val="24"/>
          <w:lang w:val="es-ES_tradnl"/>
        </w:rPr>
        <w:tab/>
      </w:r>
      <w:r w:rsidRPr="00485BE9">
        <w:rPr>
          <w:sz w:val="24"/>
          <w:lang w:val="es-ES_tradnl"/>
        </w:rPr>
        <w:t>DO L 156 de 5.5.2021,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5BE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5BE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5B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2/2023"/>
    <w:docVar w:name="dvlangue" w:val="ES"/>
    <w:docVar w:name="dvnumam" w:val="0"/>
    <w:docVar w:name="dvpe" w:val="750.184"/>
    <w:docVar w:name="dvrapporteur" w:val="Ponente: "/>
    <w:docVar w:name="dvtitre" w:val="Resolución del Parlamento Europeo, de x de enero de 2024,  sobre la ejecución del programa Ciudadanos, Igualdad, Derechos y Valores 2021-2027: compromiso y participación de los ciudadanos(2023/2004(INI))"/>
  </w:docVars>
  <w:rsids>
    <w:rsidRoot w:val="0035529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529E"/>
    <w:rsid w:val="00361C00"/>
    <w:rsid w:val="00395FA1"/>
    <w:rsid w:val="003E15D4"/>
    <w:rsid w:val="00411CCE"/>
    <w:rsid w:val="0041666E"/>
    <w:rsid w:val="00421060"/>
    <w:rsid w:val="00471C19"/>
    <w:rsid w:val="00485BE9"/>
    <w:rsid w:val="004867E3"/>
    <w:rsid w:val="00494A28"/>
    <w:rsid w:val="004C0004"/>
    <w:rsid w:val="004C5D52"/>
    <w:rsid w:val="0050282D"/>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6BAC"/>
    <w:rsid w:val="00B12E95"/>
    <w:rsid w:val="00B22876"/>
    <w:rsid w:val="00B558F0"/>
    <w:rsid w:val="00BD48FE"/>
    <w:rsid w:val="00BD7BD8"/>
    <w:rsid w:val="00BE6ADC"/>
    <w:rsid w:val="00C05BFE"/>
    <w:rsid w:val="00C23CD4"/>
    <w:rsid w:val="00C61C0C"/>
    <w:rsid w:val="00C941CB"/>
    <w:rsid w:val="00CC2357"/>
    <w:rsid w:val="00CF071A"/>
    <w:rsid w:val="00D058B8"/>
    <w:rsid w:val="00D34F1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635B"/>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AF88D2F-F998-4924-BF81-9EF067244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Char Char1 Char Char Char Char Char Char Char Char,Char Char2 Char Char Char Char Char Char Char Char1 Char Char Char Char Char1 Char Char Char,Heading 7 Char2,ftr"/>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0282D"/>
    <w:pPr>
      <w:spacing w:after="240"/>
      <w:ind w:left="567" w:hanging="567"/>
    </w:pPr>
  </w:style>
  <w:style w:type="paragraph" w:customStyle="1" w:styleId="EPComma">
    <w:name w:val="EPComma"/>
    <w:basedOn w:val="Normal"/>
    <w:rsid w:val="0050282D"/>
    <w:pPr>
      <w:spacing w:before="480" w:after="240"/>
    </w:pPr>
  </w:style>
  <w:style w:type="character" w:customStyle="1" w:styleId="NormalHanging12aChar">
    <w:name w:val="NormalHanging12a Char"/>
    <w:basedOn w:val="DefaultParagraphFont"/>
    <w:link w:val="NormalHanging12a"/>
    <w:rsid w:val="0050282D"/>
    <w:rPr>
      <w:sz w:val="24"/>
      <w:lang w:val="es-ES_tradnl"/>
    </w:rPr>
  </w:style>
  <w:style w:type="paragraph" w:styleId="BalloonText">
    <w:name w:val="Balloon Text"/>
    <w:basedOn w:val="Normal"/>
    <w:link w:val="BalloonTextChar"/>
    <w:rsid w:val="00B06BAC"/>
    <w:rPr>
      <w:rFonts w:ascii="Segoe UI" w:hAnsi="Segoe UI" w:cs="Segoe UI"/>
      <w:sz w:val="18"/>
      <w:szCs w:val="18"/>
    </w:rPr>
  </w:style>
  <w:style w:type="character" w:customStyle="1" w:styleId="BalloonTextChar">
    <w:name w:val="Balloon Text Char"/>
    <w:basedOn w:val="DefaultParagraphFont"/>
    <w:link w:val="BalloonText"/>
    <w:rsid w:val="00B06BAC"/>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3B0CA4-5B08-4818-8973-283104471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3819</Words>
  <Characters>20673</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César Castelló start</cp:lastModifiedBy>
  <cp:revision>2</cp:revision>
  <cp:lastPrinted>2004-11-19T15:42:00Z</cp:lastPrinted>
  <dcterms:created xsi:type="dcterms:W3CDTF">2024-01-16T13:19:00Z</dcterms:created>
  <dcterms:modified xsi:type="dcterms:W3CDTF">2024-01-16T13:19:00Z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A9-0392/2023</vt:lpwstr>
  </property>
  <property fmtid="{D5CDD505-2E9C-101B-9397-08002B2CF9AE}" pid="4" name="&lt;Type&gt;">
    <vt:lpwstr>RR</vt:lpwstr>
  </property>
</Properties>
</file>