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7F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7F86" w:rsidRDefault="00D42830" w:rsidP="0010095E">
            <w:pPr>
              <w:pStyle w:val="EPName"/>
            </w:pPr>
            <w:r w:rsidRPr="00DA7F86">
              <w:t>Europski parlament</w:t>
            </w:r>
          </w:p>
          <w:p w:rsidR="00751A4A" w:rsidRPr="00DA7F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7F8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A7F86" w:rsidRDefault="00187494" w:rsidP="0010095E">
            <w:pPr>
              <w:pStyle w:val="EPLogo"/>
            </w:pPr>
            <w:r w:rsidRPr="00DA7F8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7F86" w:rsidRDefault="00D058B8" w:rsidP="004C5D52">
      <w:pPr>
        <w:pStyle w:val="LineTop"/>
      </w:pPr>
    </w:p>
    <w:p w:rsidR="00680577" w:rsidRPr="00DA7F86" w:rsidRDefault="00D42830" w:rsidP="00680577">
      <w:pPr>
        <w:pStyle w:val="EPBodyTA1"/>
      </w:pPr>
      <w:r w:rsidRPr="00DA7F86">
        <w:t>USVOJENI TEKSTOVI</w:t>
      </w:r>
    </w:p>
    <w:p w:rsidR="00D058B8" w:rsidRPr="00DA7F86" w:rsidRDefault="00D058B8" w:rsidP="00D058B8">
      <w:pPr>
        <w:pStyle w:val="LineBottom"/>
      </w:pPr>
    </w:p>
    <w:p w:rsidR="00D42830" w:rsidRPr="00DA7F86" w:rsidRDefault="00D42830" w:rsidP="00D42830">
      <w:pPr>
        <w:pStyle w:val="ATHeading1"/>
      </w:pPr>
      <w:bookmarkStart w:id="0" w:name="TANumber"/>
      <w:r w:rsidRPr="00DA7F86">
        <w:t>P9_TA(2024)000</w:t>
      </w:r>
      <w:r w:rsidR="00A516A1">
        <w:t>9</w:t>
      </w:r>
      <w:bookmarkStart w:id="1" w:name="_GoBack"/>
      <w:bookmarkEnd w:id="0"/>
      <w:bookmarkEnd w:id="1"/>
    </w:p>
    <w:p w:rsidR="00D42830" w:rsidRPr="00DA7F86" w:rsidRDefault="00D42830" w:rsidP="00D42830">
      <w:pPr>
        <w:pStyle w:val="ATHeading2"/>
      </w:pPr>
      <w:bookmarkStart w:id="2" w:name="title"/>
      <w:r w:rsidRPr="00DA7F86">
        <w:t>Provedba programa Građani, jednakost, prava i vrijednosti za razdoblje 2021. – 2027. – uključenost i sudjelovanje građana</w:t>
      </w:r>
      <w:bookmarkEnd w:id="2"/>
    </w:p>
    <w:p w:rsidR="00D42830" w:rsidRPr="00DA7F86" w:rsidRDefault="00D42830" w:rsidP="00D42830">
      <w:pPr>
        <w:rPr>
          <w:i/>
          <w:vanish/>
        </w:rPr>
      </w:pPr>
      <w:r w:rsidRPr="00DA7F86">
        <w:rPr>
          <w:i/>
        </w:rPr>
        <w:fldChar w:fldCharType="begin"/>
      </w:r>
      <w:r w:rsidRPr="00DA7F86">
        <w:rPr>
          <w:i/>
        </w:rPr>
        <w:instrText xml:space="preserve"> TC"(</w:instrText>
      </w:r>
      <w:bookmarkStart w:id="3" w:name="DocNumber"/>
      <w:r w:rsidRPr="00DA7F86">
        <w:rPr>
          <w:i/>
        </w:rPr>
        <w:instrText>A9-0392/2023</w:instrText>
      </w:r>
      <w:bookmarkEnd w:id="3"/>
      <w:r w:rsidRPr="00DA7F86">
        <w:rPr>
          <w:i/>
        </w:rPr>
        <w:instrText xml:space="preserve"> - Izvjestitelj: </w:instrText>
      </w:r>
      <w:proofErr w:type="spellStart"/>
      <w:r w:rsidRPr="00DA7F86">
        <w:rPr>
          <w:i/>
        </w:rPr>
        <w:instrText>Łukasz</w:instrText>
      </w:r>
      <w:proofErr w:type="spellEnd"/>
      <w:r w:rsidRPr="00DA7F86">
        <w:rPr>
          <w:i/>
        </w:rPr>
        <w:instrText xml:space="preserve"> </w:instrText>
      </w:r>
      <w:proofErr w:type="spellStart"/>
      <w:r w:rsidRPr="00DA7F86">
        <w:rPr>
          <w:i/>
        </w:rPr>
        <w:instrText>Kohut</w:instrText>
      </w:r>
      <w:proofErr w:type="spellEnd"/>
      <w:r w:rsidRPr="00DA7F86">
        <w:rPr>
          <w:i/>
        </w:rPr>
        <w:instrText xml:space="preserve">)"\l3 \n&gt; \* MERGEFORMAT </w:instrText>
      </w:r>
      <w:r w:rsidRPr="00DA7F86">
        <w:rPr>
          <w:i/>
        </w:rPr>
        <w:fldChar w:fldCharType="end"/>
      </w:r>
    </w:p>
    <w:p w:rsidR="00D42830" w:rsidRPr="00DA7F86" w:rsidRDefault="00D42830" w:rsidP="00D42830">
      <w:pPr>
        <w:rPr>
          <w:vanish/>
        </w:rPr>
      </w:pPr>
      <w:bookmarkStart w:id="4" w:name="Commission"/>
      <w:r w:rsidRPr="00DA7F86">
        <w:rPr>
          <w:vanish/>
        </w:rPr>
        <w:t>Odbor za kulturu i obrazovanje</w:t>
      </w:r>
      <w:bookmarkEnd w:id="4"/>
    </w:p>
    <w:p w:rsidR="00D42830" w:rsidRPr="00DA7F86" w:rsidRDefault="00D42830" w:rsidP="00D42830">
      <w:pPr>
        <w:rPr>
          <w:vanish/>
        </w:rPr>
      </w:pPr>
      <w:bookmarkStart w:id="5" w:name="PE"/>
      <w:r w:rsidRPr="00DA7F86">
        <w:rPr>
          <w:vanish/>
        </w:rPr>
        <w:t>PE750.184</w:t>
      </w:r>
      <w:bookmarkEnd w:id="5"/>
    </w:p>
    <w:p w:rsidR="00D42830" w:rsidRPr="00DA7F86" w:rsidRDefault="00D42830" w:rsidP="00D42830">
      <w:pPr>
        <w:pStyle w:val="ATHeading3"/>
      </w:pPr>
      <w:bookmarkStart w:id="6" w:name="Sujet"/>
      <w:r w:rsidRPr="00DA7F86">
        <w:t>Rezolu</w:t>
      </w:r>
      <w:r w:rsidR="00DA7F86">
        <w:t>cija Europskog parlamenta od 16</w:t>
      </w:r>
      <w:r w:rsidRPr="00DA7F86">
        <w:t xml:space="preserve">. </w:t>
      </w:r>
      <w:r w:rsidR="00DA7F86">
        <w:t xml:space="preserve">siječnja </w:t>
      </w:r>
      <w:r w:rsidRPr="00DA7F86">
        <w:t>2024. o provedbi programa CERV za razdoblje 2021. – 2027. – Uključenost i sudjelovanje građana</w:t>
      </w:r>
      <w:bookmarkEnd w:id="6"/>
      <w:r w:rsidRPr="00DA7F86">
        <w:t xml:space="preserve"> </w:t>
      </w:r>
      <w:bookmarkStart w:id="7" w:name="References"/>
      <w:r w:rsidRPr="00DA7F86">
        <w:t>(2023/2004(INI))</w:t>
      </w:r>
      <w:bookmarkEnd w:id="7"/>
    </w:p>
    <w:p w:rsidR="004D5FBE" w:rsidRPr="00DA7F86" w:rsidRDefault="004D5FBE" w:rsidP="004D5FBE">
      <w:pPr>
        <w:pStyle w:val="EPComma"/>
        <w:rPr>
          <w:i/>
        </w:rPr>
      </w:pPr>
      <w:bookmarkStart w:id="8" w:name="TextBodyBegin"/>
      <w:bookmarkEnd w:id="8"/>
      <w:r w:rsidRPr="00DA7F86">
        <w:rPr>
          <w:i/>
        </w:rPr>
        <w:t>Europski parlament,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Uredbu (EU) 2021/692 Europskog parlamenta i Vijeća od 28. travnja 2021. o uspostavi programa Građani, jednakost, prava i vrijednosti te o stavljanju izvan snage Uredbe (EU) br. 1381/2013 Europskog parlamenta i Vijeća i Uredbe Vijeća (EU) br. 390/2014</w:t>
      </w:r>
      <w:r w:rsidRPr="00DA7F86">
        <w:rPr>
          <w:vertAlign w:val="superscript"/>
        </w:rPr>
        <w:footnoteReference w:id="1"/>
      </w:r>
      <w:r w:rsidRPr="00DA7F86">
        <w:t>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radni dokument službi Komisije od 30. svibnja 2018. naslovljen „Sažetak procjene učinka priložen dokumentu: Prijedlog uredbe o uspostavi programa Prava i vrijednosti, Prijedlog uredbe o uspostavi programa Pravosuđe, Prijedlog uredbe o uspostavi programa Kreativna Europa (SWD(2018)0290),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Izvješće o građanstvu EU-a za 2020.,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Povelju Europske unije o temeljnim pravima,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članak 20. Ugovora o funkcioniranju Europske unije i članak 9. Ugovora o Europskoj uniji,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rPr>
          <w:b/>
          <w:i/>
        </w:rPr>
        <w:tab/>
      </w:r>
      <w:r w:rsidRPr="00DA7F86">
        <w:t>uzimajući u obzir izvješće Europskog parlamenta od 6. travnja 2022. o Provedbi mjera građanskog odgoja i obrazovanja(2021/2008(INI)),</w:t>
      </w:r>
    </w:p>
    <w:p w:rsidR="004D5FBE" w:rsidRPr="00DA7F86" w:rsidRDefault="004D5FBE" w:rsidP="004D5FBE">
      <w:pPr>
        <w:pStyle w:val="NormalHanging12a"/>
        <w:rPr>
          <w:b/>
          <w:i/>
        </w:rPr>
      </w:pPr>
      <w:r w:rsidRPr="00DA7F86">
        <w:t>–</w:t>
      </w:r>
      <w:r w:rsidRPr="00DA7F86">
        <w:tab/>
        <w:t xml:space="preserve">uzimajući u obzir Preporuku Vijeća od 22. svibnja 2018. o promicanju zajedničkih vrijednosti, </w:t>
      </w:r>
      <w:proofErr w:type="spellStart"/>
      <w:r w:rsidRPr="00DA7F86">
        <w:t>uključivom</w:t>
      </w:r>
      <w:proofErr w:type="spellEnd"/>
      <w:r w:rsidRPr="00DA7F86">
        <w:t xml:space="preserve"> obrazovanju i europskoj dimenziji poučavanja,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Komunikaciju Komisije od 3. prosinca 2020. o akcijskom planu za europsku demokraciju (COM(2020)0790),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 xml:space="preserve">uzimajući u obzir komunikaciju Komisije od 2. prosinca 2020. naslovljenu „Strategija </w:t>
      </w:r>
      <w:r w:rsidRPr="00DA7F86">
        <w:lastRenderedPageBreak/>
        <w:t>za jačanje primjene Povelje o temeljnim pravima u EU-u” (COM(2020)0711),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komunikaciju Komisije od 18. rujna 2020. naslovljenu „Unija ravnopravnosti: Akcijski plan EU-a za antirasizam za razdoblje 2020.–2025.” (COM(2020)0565),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komunikaciju Komisije od 12. studenoga 2020. naslovljenu „Unija ravnopravnosti: Strategija o ravnopravnosti LGBTIQ osoba 2020.–2025.” (COM(2020)0698),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komunikaciju Komisije od 5. ožujka 2020. naslovljenu „Unija ravnopravnosti: Strategija za rodnu ravnopravnost 2020.–2025.” (COM(2020)0152),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komunikaciju Komisije od 5. listopada 2021. naslovljenu „Strategija EU-a za suzbijanje antisemitizma i njegovanje židovskog načina života (2021.–2030.)” (COM(2021)0615),</w:t>
      </w:r>
    </w:p>
    <w:p w:rsidR="004D5FBE" w:rsidRPr="009317F2" w:rsidRDefault="004D5FBE" w:rsidP="004D5FBE">
      <w:pPr>
        <w:pStyle w:val="NormalHanging12a"/>
      </w:pPr>
      <w:r w:rsidRPr="00DA7F86">
        <w:t>–</w:t>
      </w:r>
      <w:r w:rsidRPr="00DA7F86">
        <w:rPr>
          <w:b/>
          <w:i/>
        </w:rPr>
        <w:tab/>
      </w:r>
      <w:r w:rsidRPr="00DA7F86">
        <w:t>uzimajući u obzir komunikaciju Komisije od 7. listopada 2020. naslovljenu „Unija jednakosti: strateški okvir EU-a za jednakost, uključivanje i sudjelovanje Roma” (COM(2020)0620),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komunikaciju Komisije od 24. ožujka 2021. naslovljenu „Strategija EU-a o pravima djeteta” (COM(2021)0142),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članak 54. Poslovnika, kao i članak 1. stavak 1. točku (e) te Prilog III. Odluci Konferencije predsjednika od 12. prosinca 2002. o postupku odobrenja izrade izvješća o vlastitoj inicijativi,</w:t>
      </w:r>
    </w:p>
    <w:p w:rsidR="004D5FBE" w:rsidRPr="00DA7F86" w:rsidRDefault="004D5FBE" w:rsidP="004D5FBE">
      <w:pPr>
        <w:pStyle w:val="NormalHanging12a"/>
      </w:pPr>
      <w:r w:rsidRPr="00DA7F86">
        <w:t>–</w:t>
      </w:r>
      <w:r w:rsidRPr="00DA7F86">
        <w:tab/>
        <w:t>uzimajući u obzir izvješće Odbora za kulturu i obrazovanje (A9</w:t>
      </w:r>
      <w:r w:rsidRPr="00DA7F86">
        <w:noBreakHyphen/>
        <w:t>0392/2023),</w:t>
      </w:r>
    </w:p>
    <w:p w:rsidR="004D5FBE" w:rsidRPr="00DA7F86" w:rsidRDefault="004D5FBE" w:rsidP="004D5FBE">
      <w:pPr>
        <w:pStyle w:val="NormalHanging12a"/>
      </w:pPr>
      <w:r w:rsidRPr="00DA7F86">
        <w:t>A.</w:t>
      </w:r>
      <w:r w:rsidRPr="00DA7F86">
        <w:tab/>
        <w:t>budući da je aktivno sudjelovanje u političkom i kulturnom životu temeljno pravo koje bi trebalo biti jednako pristupačno svima; budući da je Općom deklaracijom o ljudskim pravima predviđeno pravo sudjelovanja u upravi i slobodnim izborima, pravo sudjelovanja u kulturnom životu zajednice i pravo na mirno okupljanje i udruživanje, čime se omogućuje puno sudjelovanje u društvu;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B.</w:t>
      </w:r>
      <w:r w:rsidRPr="00DA7F86">
        <w:tab/>
        <w:t xml:space="preserve">budući da se građanstvom Unije stječu razna prava, posebno pravo na podnošenje predstavke Parlamentu o bilo kojem pitanju u nadležnosti EU-a, pravo na pritužbu Europskom </w:t>
      </w:r>
      <w:proofErr w:type="spellStart"/>
      <w:r w:rsidRPr="00DA7F86">
        <w:t>ombudsmanu</w:t>
      </w:r>
      <w:proofErr w:type="spellEnd"/>
      <w:r w:rsidRPr="00DA7F86">
        <w:t xml:space="preserve"> na uočene nepravilnosti u postupanju bilo koje institucije EU-a, pravo na obraćanje bilo kojoj instituciji EU-a na jednom od službenih jezika EU-a u pisanom obliku i na primanje odgovora na istom jeziku te pravo na pristup dokumentima Parlamenta, Vijeća i Komisije u skladu s primjenjivim pravilima EU-a;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C.</w:t>
      </w:r>
      <w:r w:rsidRPr="00DA7F86">
        <w:tab/>
        <w:t xml:space="preserve">budući da sustavni izazovi, bilo aktualni bilo u nastajanju, poput klimatske krize, globalnih </w:t>
      </w:r>
      <w:proofErr w:type="spellStart"/>
      <w:r w:rsidRPr="00DA7F86">
        <w:t>pandemija</w:t>
      </w:r>
      <w:proofErr w:type="spellEnd"/>
      <w:r w:rsidRPr="00DA7F86">
        <w:t>, digitalne tranzicije i društvenih nejednakosti zahtijevaju prilagodbu struktura i pristupa kojima se osigurava aktivno sudjelovanje građana u društvu; budući da bi se u okviru aktivne digitalne uključenosti građana trebao uzeti u obzir i pokušati riješiti problem digitalnog jaza među generacijama, društvenim skupinama kao i između dobro povezanih urbanih područja te ruralnih i udaljenih područja istovremeno poboljšavajući opću digitalnu pismenost;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D.</w:t>
      </w:r>
      <w:r w:rsidRPr="00DA7F86">
        <w:tab/>
        <w:t xml:space="preserve">budući da se programima EU-a promiču građansko sudjelovanje, prava i vrijednosti, </w:t>
      </w:r>
      <w:r w:rsidRPr="00DA7F86">
        <w:lastRenderedPageBreak/>
        <w:t>osjećaj pripadnosti i povećanje socioekonomskih kompetencija te kritičko mišljenje važniji su nego ikada prije;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E.</w:t>
      </w:r>
      <w:r w:rsidRPr="00DA7F86">
        <w:tab/>
        <w:t>budući da uključenost građana treba razmatrati kao pitanje koje ima više razina odnosno obuhvaća lokalne, regionalne, nacionalne, europske i globalne procese, u okviru kojih se ljudi osvještavaju i stječu znanja te izražavaju svoja mišljenja sudjelujući u odlukama koje utječu na njihove živote i pokušavajući utjecati na njih; budući da će aktualni procesi globalizacije i europske integracije zahtijevati od nove generacije Europljana da se sve više politički angažiraju na više razina kako bi mogli živjeti i raditi u međunarodnoj zajednici i nositi se s različitostima u svojim svakodnevnim životima; budući da društva postaju sve raznolikija, zbog čega je u Europi sve važnije poštovanje ljudskog dostojanstva, različitosti kultura i podrijetla, kao i odbacivanje svake diskriminacije žena, LGBTIQ+ osoba ili etničkih manjina i drugih marginaliziranih skupina;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F.</w:t>
      </w:r>
      <w:r w:rsidRPr="00DA7F86">
        <w:tab/>
        <w:t xml:space="preserve">budući da društveno-političke promjene uočene u državama članicama – od socijalne polarizacije i slabog povjerenja u institucije do nazadovanja demokracije, slabljenja vladavine prava, smanjenje prostora za djelovanje civilnog društva, isključujućeg nacionalizma i </w:t>
      </w:r>
      <w:proofErr w:type="spellStart"/>
      <w:r w:rsidRPr="00DA7F86">
        <w:t>instrumentalizacije</w:t>
      </w:r>
      <w:proofErr w:type="spellEnd"/>
      <w:r w:rsidRPr="00DA7F86">
        <w:t xml:space="preserve"> euroskepticizma u političke svrhe – te jačanje ekstremističkih pokreta i autoritarizma, infiltracija vjerskih fundamentalizama i kampanje dezinformiranja i pogrešno informiranje mogu predstavljati ozbiljnu prijetnju europskim demokracijama i destabilizirati Uniju u cjelini; budući da jačanje aktivnog sudjelovanja i uključenosti građana u okviru formalnog, neformalnog i </w:t>
      </w:r>
      <w:proofErr w:type="spellStart"/>
      <w:r w:rsidRPr="00DA7F86">
        <w:t>informalnog</w:t>
      </w:r>
      <w:proofErr w:type="spellEnd"/>
      <w:r w:rsidRPr="00DA7F86">
        <w:t xml:space="preserve"> cjeloživotnog učenja i obrazovanja ima važnu ulogu u suzbijanju tog trenda;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G.</w:t>
      </w:r>
      <w:r w:rsidRPr="00DA7F86">
        <w:tab/>
        <w:t>budući da nedostatak znanja i osjećaja koji su često povezani s pogrešnim predodžbama o EU-u ometaju nastajanje europskog građanstva te da bi ga stoga trebalo popratiti i ojačati skupom mehanizama kojima se omogućuje sudjelovanje građana i međukulturni dijalog; budući da bolje razumijevanje naše zajedničke europske povijesti i jača uključenost građana u socijalni i politički život mogu povoljno utjecati na europski identitet u nastajanju kojim se dopunjuju višestruki lokalni, regionalni, nacionalni, geografski, kulturni ili drugi identiteti građana; budući da su aktivno sudjelovanje i dijalog građana međusobno povezani s europskom dimenzijom građanskog odgoja i mogu učinkovito doprinijeti stvaranju europskog građanstva s jasnim pravima i obvezama;</w:t>
      </w:r>
    </w:p>
    <w:p w:rsidR="004D5FBE" w:rsidRPr="00DA7F86" w:rsidRDefault="004D5FBE" w:rsidP="004D5FBE">
      <w:pPr>
        <w:pStyle w:val="NormalHanging12a"/>
      </w:pPr>
      <w:r w:rsidRPr="00DA7F86">
        <w:t>H.</w:t>
      </w:r>
      <w:r w:rsidRPr="00DA7F86">
        <w:tab/>
        <w:t>budući da nedovoljna uključenost građana, njihovo ograničeno znanje o EU-u i slabo razumijevanje njegove dodane vrijednosti mogu doprinijeti stvaranju predodžbe o demokratskom deficitu i dovesti do euroskepticizma u državama članicama;</w:t>
      </w:r>
    </w:p>
    <w:p w:rsidR="004D5FBE" w:rsidRPr="00DA7F86" w:rsidRDefault="004D5FBE" w:rsidP="004D5FBE">
      <w:pPr>
        <w:pStyle w:val="NormalHanging12a"/>
      </w:pPr>
      <w:r w:rsidRPr="00DA7F86">
        <w:t>I.</w:t>
      </w:r>
      <w:r w:rsidRPr="00DA7F86">
        <w:tab/>
        <w:t>budući da sužavanje prostora za građansko djelovanje u Europskoj uniji i trećim zemljama koje sudjeluju u programu utječe na demokratsko sudjelovanje i sposobnost organizacija civilnog društva da djeluju kao sustavi provjere i ravnoteže u pogledu vladavine prava; budući da su mjere kojima se pruža potpora za sudjelovanje civilnog društva, uključujući organizacije na razini manjina i na lokalnoj razini koje imaju dugu povijest djelovanja i znatno iskustvo od iznimne važnosti za obranu demokracije, vladavine prava i ljudskih prava u državama članicama;</w:t>
      </w:r>
    </w:p>
    <w:p w:rsidR="004D5FBE" w:rsidRPr="00DA7F86" w:rsidRDefault="004D5FBE" w:rsidP="004D5FBE">
      <w:pPr>
        <w:pStyle w:val="NormalHanging12a"/>
        <w:rPr>
          <w:b/>
          <w:i/>
        </w:rPr>
      </w:pPr>
      <w:r w:rsidRPr="00DA7F86">
        <w:t>J.</w:t>
      </w:r>
      <w:r w:rsidRPr="00DA7F86">
        <w:tab/>
        <w:t xml:space="preserve">budući da su organizacije civilnog društva na razini manjina ključne za </w:t>
      </w:r>
      <w:proofErr w:type="spellStart"/>
      <w:r w:rsidRPr="00DA7F86">
        <w:t>samozastupanje</w:t>
      </w:r>
      <w:proofErr w:type="spellEnd"/>
      <w:r w:rsidRPr="00DA7F86">
        <w:t xml:space="preserve"> i uključenost građana iz manjinskih skupina, posebno onih koje nemaju druge službene prilike za političko predstavljanje;</w:t>
      </w:r>
    </w:p>
    <w:p w:rsidR="004D5FBE" w:rsidRPr="00DA7F86" w:rsidRDefault="004D5FBE" w:rsidP="004D5FBE">
      <w:pPr>
        <w:pStyle w:val="NormalHanging12a"/>
      </w:pPr>
      <w:r w:rsidRPr="00DA7F86">
        <w:lastRenderedPageBreak/>
        <w:t>K.</w:t>
      </w:r>
      <w:r w:rsidRPr="00DA7F86">
        <w:tab/>
        <w:t>budući da je 2020. u EU-u boravilo više od 22 milijuna državljana trećih zemalja;</w:t>
      </w:r>
      <w:r w:rsidR="00DA7F86">
        <w:t xml:space="preserve"> </w:t>
      </w:r>
      <w:r w:rsidRPr="00DA7F86">
        <w:t>budući da te skupine nemaju pristup službenim političkim aktivnostima, što dovodi do toga da na živote milijuna ljudi utječu odluke koje se donose bez njihova sudjelovanja ili doprinosa; budući da to predstavlja temeljni demokratski deficit u cijelom EU-u na svim razinama i izazov za stvaranje održivih, pravednih i učinkovitih politika i programa; budući da ostvarivanje ljudskih prava povezanih s političkim i javnim sudjelovanjem osoba koje nemaju državljanstvo ima ključnu ulogu u promicanju demokratskog upravljanja, vladavine prava, socijalne uključenosti, gospodarskog razvoja i iskorjenjivanja marginalizacije i diskriminacije iz EU-a;</w:t>
      </w:r>
    </w:p>
    <w:p w:rsidR="004D5FBE" w:rsidRPr="00A516A1" w:rsidRDefault="004D5FBE" w:rsidP="004D5FBE">
      <w:pPr>
        <w:pStyle w:val="NormalHanging12a"/>
        <w:ind w:left="0" w:firstLine="0"/>
        <w:rPr>
          <w:i/>
        </w:rPr>
      </w:pPr>
      <w:r w:rsidRPr="00A516A1">
        <w:rPr>
          <w:b/>
          <w:i/>
        </w:rPr>
        <w:t>Rane faze provedbe programa Građani, jednakost, prava i vrijednosti (CERV) (2021. – 2027.): tematsko područje br. 3. Uključenost građana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1.</w:t>
      </w:r>
      <w:r w:rsidRPr="00DA7F86">
        <w:tab/>
        <w:t>čvrsto vjeruje da se programom Građani, jednakost, prava i vrijednosti daje jedinstven doprinos jačanju uključenosti i sudjelovanja građana iz perspektive temeljnih prava tako što se djelotvorno kombiniraju vrijednosti, građanski dijalog i građanstvo, uz istovremeno promicanje socijalne i rodne ravnopravnosti, raznolikosti putem pomoći za očuvanje regionalne baštine, povijesne osviještenosti i borbe protiv diskriminacije i nasilja; smatra da je program Građani, jednakost, prava i vrijednosti ključan instrument za budućnost EU-a u rješavanju socijalno-političkih izazova, kao što su nedostatak znanja, euroskepticizam, sužavanje prostora za građansko djelovanje i narušavanje vladavine prava i izazovi za nju u cijeloj Europi; potiče taj program za podupiranje mjera usmjerenih na izgradnju otpornosti organizacija civilnog društva, uključujući one usmjerene na vladavinu prava i vrijednosti EU-a;</w:t>
      </w:r>
    </w:p>
    <w:p w:rsidR="004D5FBE" w:rsidRPr="00DA7F86" w:rsidRDefault="004D5FBE" w:rsidP="004D5FBE">
      <w:pPr>
        <w:pStyle w:val="NormalHanging12a"/>
      </w:pPr>
      <w:r w:rsidRPr="00DA7F86">
        <w:t>2.</w:t>
      </w:r>
      <w:r w:rsidRPr="00DA7F86">
        <w:tab/>
        <w:t>podsjeća da je provedba programa Građani, jednakost, prava i vrijednosti još u ranim fazama, budući da je uredba o uspostavi tog programa donesena tek 2021.; ističe da je iz tog razloga dovršeno tek nekoliko projekata obuhvaćenih  tematskim područjem br. 3. te da je dostupno vrlo malo informacija od korisnika koje bi omogućile točno ocjenjivanje rezultata;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3.</w:t>
      </w:r>
      <w:r w:rsidRPr="00DA7F86">
        <w:tab/>
        <w:t xml:space="preserve">poziva Komisiju da prikupljanju podataka o programu Građani, jednakost, prava i vrijednosti dade prioritet, osobito podataka o skupinama u nepovoljnom položaju uključujući marginalizirane zajednice, manjine i ranjivo stanovništvo kako bi se riješili njihovi pojedinačni izazovi i promicalo istraživanje njihovih iskustava; naglašava da je potrebno uspostaviti snažne </w:t>
      </w:r>
      <w:proofErr w:type="spellStart"/>
      <w:r w:rsidRPr="00DA7F86">
        <w:t>mehanizame</w:t>
      </w:r>
      <w:proofErr w:type="spellEnd"/>
      <w:r w:rsidRPr="00DA7F86">
        <w:t xml:space="preserve"> nadzora i evaluacije;  naglašava da će taj pristup biti koristan za obavješćivanje o razvoju politike osiguravajući smisleno sudjelovanje skupina u nepovoljnom položaju u inicijativama za sudjelovanje građana i podizanje njihovih glasova te u stvaranju </w:t>
      </w:r>
      <w:proofErr w:type="spellStart"/>
      <w:r w:rsidRPr="00DA7F86">
        <w:t>inkluzivnijeg</w:t>
      </w:r>
      <w:proofErr w:type="spellEnd"/>
      <w:r w:rsidRPr="00DA7F86">
        <w:t xml:space="preserve"> i pravičnijeg programa i općenito osiguravajući kvalitetnije buduće evaluacije; 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4.</w:t>
      </w:r>
      <w:r w:rsidRPr="00DA7F86">
        <w:tab/>
        <w:t xml:space="preserve">naglašava da je u početnim fazama provedbe programa bilo prisutno nekoliko izazova koji su ometali njegovu provedbu, koji su se velikim dijelom odnosili na vanjske čimbenike kao što je </w:t>
      </w:r>
      <w:proofErr w:type="spellStart"/>
      <w:r w:rsidRPr="00DA7F86">
        <w:t>pandemija</w:t>
      </w:r>
      <w:proofErr w:type="spellEnd"/>
      <w:r w:rsidRPr="00DA7F86">
        <w:t xml:space="preserve"> bolesti COVID-19 i ruska agresija na Ukrajinu, i koji su doveli do narušavanja i ugrožavanja prava građana i njihovog sudjelovanja u demokraciji; napominje da je, međutim, nakon sporog početka, program dobio zamah i da trenutno dobro funkcionira; nadalje ističe da se moraju organizirati kampanje za podizanje razine osviještenosti kako bi se doprlo do šireg stanovništva, posebno iz ruralnih područja;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5.</w:t>
      </w:r>
      <w:r w:rsidRPr="00DA7F86">
        <w:tab/>
        <w:t xml:space="preserve">zabrinut je zbog toga što se čini da su uporaba i uvođenje novih digitalnih alata za </w:t>
      </w:r>
      <w:r w:rsidRPr="00DA7F86">
        <w:lastRenderedPageBreak/>
        <w:t xml:space="preserve">primjenu financijskih sredstava EU-a (na primjer, alata </w:t>
      </w:r>
      <w:proofErr w:type="spellStart"/>
      <w:r w:rsidRPr="00DA7F86">
        <w:t>eGrants</w:t>
      </w:r>
      <w:proofErr w:type="spellEnd"/>
      <w:r w:rsidRPr="00DA7F86">
        <w:t>) ključan problem za korisnike u pogledu razvoja programa; žali zbog toga što je, nadalje, sudjelovanje manjih organizacija koje nemaju vremena ni resursa potrebnih za izvršenje postupka podnošenja zahtjeva u utvrđenim rokovima otežano složenim postupcima; smatra da je dizajnom tih alata ograničena mogućnost programa za prilagodbu novim kretanjima i potrebama koje se mijenjaju; poziva na uklanjanje administrativnih opterećenja i pojednostavnjenje postupaka podnošenja zahtjeva, ugovaranja i izvješćivanja; naglašava da, pojednostavljivanje administrativnih zahtjeva također uključuje i učinkovitiji i fleksibilniji postupak podnošenja zahtjeva za organizacije koje su potpisale višegodišnji okvirne sporazume o partnerstvu, među ostalim kako bi se predvidio razvoj politike; naglašava, nadalje, potrebu da se portal za podnošenje zahtjeva učini lakšim za korisnike, posebno za male organizacije, te da se osigura da svi dokumenti povezani s postupkom budu prevedeni na sve jezike EU-a kako bi se proširilo sudjelovanje iz svih država članica i osigurala kulturna raznolikost;</w:t>
      </w:r>
    </w:p>
    <w:p w:rsidR="004D5FBE" w:rsidRPr="00DA7F86" w:rsidRDefault="004D5FBE" w:rsidP="004D5FBE">
      <w:pPr>
        <w:pStyle w:val="NormalHanging12a"/>
      </w:pPr>
      <w:r w:rsidRPr="00DA7F86">
        <w:t>6.</w:t>
      </w:r>
      <w:r w:rsidRPr="00DA7F86">
        <w:tab/>
        <w:t>žali zbog činjenice da države članice nisu obvezne uspostaviti nacionalnu kontaktnu točku za program Građani, jednakost, prava i vrijednosti u okviru koje se pružaju neutralni savjeti, korisne informacije i potpora podnositeljima zahtjeva, dionicima i korisnicima, uključujući pomoć oko postupka podnošenja zahtjeva, uz objavljivanje lako razumljivih informacija o rezultatima programa; sa žaljenjem primjećuje da je do lipnja 2023. samo 20 država članica imalo nacionalne kontaktne točke;</w:t>
      </w:r>
    </w:p>
    <w:p w:rsidR="004D5FBE" w:rsidRPr="00DA7F86" w:rsidRDefault="004D5FBE" w:rsidP="004D5FBE">
      <w:pPr>
        <w:pStyle w:val="NormalHanging12a"/>
      </w:pPr>
      <w:r w:rsidRPr="00DA7F86">
        <w:t>7.</w:t>
      </w:r>
      <w:r w:rsidRPr="00DA7F86">
        <w:tab/>
        <w:t>duboko je zabrinut zbog utjecaja trenutačnih stopa inflacije na tekuće troškove korisnika programa Građani, jednakost, prava i vrijednosti; žali zbog toga što se korisnici suočavaju s izazovima u provedbi planiranih aktivnosti, posebno s obzirom na jedinične troškove putovanja, smještaja i dnevnica, te će možda morati smanjiti opseg nekih prvobitno planiranih aktivnosti kako bi ostali u okviru proračuna;</w:t>
      </w:r>
    </w:p>
    <w:p w:rsidR="004D5FBE" w:rsidRPr="00A516A1" w:rsidRDefault="004D5FBE" w:rsidP="004D5FBE">
      <w:pPr>
        <w:pStyle w:val="NormalHanging12a"/>
        <w:rPr>
          <w:i/>
        </w:rPr>
      </w:pPr>
      <w:r w:rsidRPr="00A516A1">
        <w:rPr>
          <w:b/>
          <w:i/>
        </w:rPr>
        <w:t>Preporuke o politikama za budućnost programa Građani, jednakost, prava i vrijednosti</w:t>
      </w:r>
    </w:p>
    <w:p w:rsidR="004D5FBE" w:rsidRPr="00DA7F86" w:rsidRDefault="004D5FBE" w:rsidP="004D5FBE">
      <w:pPr>
        <w:pStyle w:val="NormalHanging12a"/>
      </w:pPr>
      <w:r w:rsidRPr="00DA7F86">
        <w:t>8.</w:t>
      </w:r>
      <w:r w:rsidRPr="00DA7F86">
        <w:tab/>
        <w:t>poziva Komisiju da uspostavi skupinu za civilni dijalog kako bi se osigurao redovit, otvoren i transparentan dijalog za jačanje civilnog dijaloga u okviru programa podupiranjem dvosmjernog procesa između institucija na svim razinama i sa svim relevantnim dionicima, posebno organizacijama civilnog društva i kao dio provedbe članka 11. Uredbe (EU) 2021/692, civilni dijalog također bi se trebao koristiti kao alat upravljanja, za određivanje prioriteta za dvogodišnji program rada i daljnje promicanje kolektivne dimenzije sudjelovanja građana kao ključnog elementa demokracije i vladavine prava; podsjeća, u tom pogledu, da bi trebalo promicati inovativne mjere za potporu dijalogu s civilnim društvom, među ostalim radi poticanja kulture temeljene na povjerenju s korisnicima bespovratnih sredstava; posebno poziva na mjere za izgradnju kapaciteta za potporu širokom sudjelovanju civilnog društva, posebno vezama s drugim programima financiranja u okviru podijeljenog upravljanja, kao što je instrument za tehničku potporu;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9.</w:t>
      </w:r>
      <w:r w:rsidRPr="00DA7F86">
        <w:tab/>
        <w:t xml:space="preserve">podsjeća da treba potaknuti aktivno sudjelovanje građana jačanjem europske dimenzije građanskog odgoja i obrazovanja, kako u nastavnim programima tako i u izvannastavnim aktivnostima; ističe da se istinskim europskim građanskim odgojem i obrazovanjem građane može informirati i formirati u duhu građanskog angažmana i sudjelovanja te da odgovarajuće smjernice o EU-u mogu, u tom pogledu, biti koristan alat; naglašava važnost uključivanja državljana trećih zemalja koji žive u EU-u i njihovih samostalnih organizacija u ciljnu skupinu programa Građani, jednakost, prava i </w:t>
      </w:r>
      <w:r w:rsidRPr="00DA7F86">
        <w:lastRenderedPageBreak/>
        <w:t>vrijednosti čime će se poticati demokratsko upravljanje, vladavina prava i socijalna uključenost;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10.</w:t>
      </w:r>
      <w:r w:rsidRPr="00DA7F86">
        <w:tab/>
        <w:t>poziva države članice koje još nisu odredile nacionalne kontaktne točke da to što prije učine te poziva Komisiju da nastavi surađivati s mrežom nacionalnih kontaktnih točaka održavanjem sastanaka te provedbom mjera osposobljavanja i posebnih razmjena, budući da je njihova organizacija dosad bila vrlo uspješna; u tom kontekstu potiče Komisiju, države članice i nacionalne kontaktne točke da uspostave europsku mrežu nacionalnih kontaktnih točaka kako bi se olakšala razmjena najboljih praksi i razmjena znanja; nadalje potiče Komisiju da uspostavi mrežu korisnika programa Građani, jednakost, prava i vrijednosti kako bi razmjenjivali svoja iskustva i najbolje prakse radi boljeg razumijevanja lokalne i nacionalne stvarnosti diljem EU-a i izvan njega;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11.</w:t>
      </w:r>
      <w:r w:rsidRPr="00DA7F86">
        <w:tab/>
        <w:t xml:space="preserve">prima na znanje rezultate uvođenja različitih vrsta mehanizama za ponovnu dodjelu u okviru programa Građani, jednakost, prava i vrijednosti, koji su dosad bili vrlo ohrabrujući; poziva na kvalitativnu i kvantitativnu analizu različitih poziva za ponovnu dodjelu bespovratnih sredstava kako bi se njihova uporaba prema potrebi možda proširila na druga tematska područja ovog programa, posebno na tematsko područje br. 3, i osiguralo da financijska sredstva EU-a dopru do organizacija civilnog društva na lokalnoj razini koje imaju dugu povijest djelovanja i znatno iskustvo; poziva Komisiju da dodatno pojednostavni administrativne postupke i zahtjeve za ponovnu dodjelu kako bi se organizacijama koje se prijavljuju za ponovnu dodjelu omogućila veća fleksibilnost u odnosu na </w:t>
      </w:r>
      <w:proofErr w:type="spellStart"/>
      <w:r w:rsidRPr="00DA7F86">
        <w:t>podugovaratelje</w:t>
      </w:r>
      <w:proofErr w:type="spellEnd"/>
      <w:r w:rsidRPr="00DA7F86">
        <w:t xml:space="preserve"> korisnika bespovratnih sredstava, čime bi se zajamčili odgovarajući standardi rada te zdravstvene i socijalne zaštite; smatra da bi se moglo revidirati zahtjeve za sufinanciranje kako bi se pravila prilagodila položaju korisnika te kako bi se na taj način pružila potpora raznolikijim korisnicima, uključujući pojedince i </w:t>
      </w:r>
      <w:proofErr w:type="spellStart"/>
      <w:r w:rsidRPr="00DA7F86">
        <w:t>mikrostrukture</w:t>
      </w:r>
      <w:proofErr w:type="spellEnd"/>
      <w:r w:rsidRPr="00DA7F86">
        <w:t>, i tematskim područjima; ustraje na činjenici da je važno promicati program u cjelokupnom obrazovnom sektoru, uključujući studente, nastavnike, obrazovno osoblje i osobe koje rade s mladima; naglašava da bi financijskim sredstvima koja se osiguravaju iz programa Građani, jednakost, prava i vrijednosti u području prava, jednakosti, vrijednosti i građanske uključenosti, za koja su drugi izvori financiranja vrlo oskudni ili ih nema, trebao biti pokriven veći postotak iznosa bespovratnih sredstava; potiče Komisiju da osigura da se financiraju strukture koje poštuju Povelju Europske unije o temeljnim pravima, na primjer uspostavom kontrolnih mehanizama kako bi osigurala odgovarajuće standarde rada, zdravstvene zaštite i socijalne zaštite; poziva na evaluaciju mehanizama ponovne dodjele bespovratnih sredstava kako bi se ocijenila njihova učinkovitost i fleksibilnosti u dosizanju skupina koje djeluju na lokalnoj razini (</w:t>
      </w:r>
      <w:proofErr w:type="spellStart"/>
      <w:r w:rsidRPr="00DA7F86">
        <w:rPr>
          <w:i/>
          <w:iCs/>
        </w:rPr>
        <w:t>grasroots</w:t>
      </w:r>
      <w:proofErr w:type="spellEnd"/>
      <w:r w:rsidRPr="00DA7F86">
        <w:t xml:space="preserve"> skupina) i podupiranju organizacija u zemljama u kojima je sužen prostor za građansko djelovanje; 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12.</w:t>
      </w:r>
      <w:r w:rsidRPr="00DA7F86">
        <w:tab/>
        <w:t xml:space="preserve">poziva da se u sljedećem višegodišnjem financijskom okviru (VFO) proračun programa poveća na 2,6 milijardi EUR kako bi se zadovoljila sve veća potražnja za inicijativama za sudjelovanje građana i demokratsko sudjelovanje te da se uspostavi </w:t>
      </w:r>
      <w:r w:rsidRPr="00DA7F86">
        <w:rPr>
          <w:i/>
          <w:iCs/>
        </w:rPr>
        <w:t xml:space="preserve">ad </w:t>
      </w:r>
      <w:proofErr w:type="spellStart"/>
      <w:r w:rsidRPr="00DA7F86">
        <w:rPr>
          <w:i/>
          <w:iCs/>
        </w:rPr>
        <w:t>hoc</w:t>
      </w:r>
      <w:proofErr w:type="spellEnd"/>
      <w:r w:rsidRPr="00DA7F86">
        <w:rPr>
          <w:i/>
          <w:iCs/>
        </w:rPr>
        <w:t xml:space="preserve"> </w:t>
      </w:r>
      <w:r w:rsidRPr="00DA7F86">
        <w:t>mehanizam za zaštitu boraca za ljudska prava, sličan mehanizmima koji postoje za borce za ljudska prava izvan EU-a ili za zaštitu novinara, te da se općenito riješi utjecaj inflacije na troškove programa, uzimajući u obzir zaključke Konferencije o budućnosti Europe o europskom državljanstvu i obrazovanju te strateški značaj programa Građani, jednakost, prava i vrijednosti za provedbu prioriteta EU-a;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13.</w:t>
      </w:r>
      <w:r w:rsidRPr="00DA7F86">
        <w:tab/>
        <w:t xml:space="preserve">naglašava da su učinkovite komunikacijske aktivnosti i aktivnosti podizanja razine osviještenosti ključne za uspjeh programa, stoga im je potrebno dati prednost kako bi se </w:t>
      </w:r>
      <w:r w:rsidRPr="00DA7F86">
        <w:lastRenderedPageBreak/>
        <w:t>uključili potencijalni korisnici, posebno na lokalnoj razini;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14.</w:t>
      </w:r>
      <w:r w:rsidRPr="00DA7F86">
        <w:tab/>
        <w:t>uvažava činjenicu da su razmjene i sudjelovanje u aktivnostima u okviru programa Građani, jednakost, prava i vrijednosti ključni za izgradnju kapaciteta organizacija civilnog društva za građansku uključenost i promicanje vrijednosti EU-a u trećim zemljama; naglašava da aktivna uključenost i opredijeljenost za europske vrijednosti ne počinje sporazumima o pristupanju, nego je rezultat dugogodišnjeg rada aktivista i organizacija civilnog društva na promicanju tih ideja i pružanju potpore lokalnim aktivistima u trećim zemljama; poziva Komisiju da olakša sudjelovanje građana trećih zemalja uključivanjem organizacija civilnog društva trećih zemalja u aktivnosti programa Građani, jednakost, prava i vrijednosti ; stoga poziva na to da se u okviru programa Građani, jednakost, prava i vrijednosti pokriju troškovi sudjelovanja predstavnika civilnog društva, barem onih iz zemalja kandidatkinja i pridruženih zemalja, bez obzira na to sudjeluje li njihova zemlja u tom programu; naglašava da je potrebno raditi na rješavanju izazova povezanih s ratom u Ukrajini poticanjem projekata koji se provode s ukrajinskim partnerima kroz aktivnosti sjećanja i demokratskog sudjelovanja te obnovu ukrajinske kulturne baštine;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15.</w:t>
      </w:r>
      <w:r w:rsidRPr="00DA7F86">
        <w:tab/>
        <w:t xml:space="preserve">ponavlja svoj poziv da se program Građani, jednakost, prava i vrijednosti učini pokretačem djelovanja u području europske povijesne svijesti aktivnom podrškom strukturama čiji je cilj poticati kritičko povijesno sjećanje, primjerice u pogledu transnacionalnih istraživanja i posjeta mjestima sjećanja, kako u EU-u tako i izvan njega; posebno kako bi se osudio povijesni i kulturni revizionizam; poziva Komisiju i države članice da posebnu pozornost posvećuju osjetljivim društvenim pitanjima koja bi mogla biti predmetom moguće </w:t>
      </w:r>
      <w:proofErr w:type="spellStart"/>
      <w:r w:rsidRPr="00DA7F86">
        <w:t>instrumentalizacije</w:t>
      </w:r>
      <w:proofErr w:type="spellEnd"/>
      <w:r w:rsidRPr="00DA7F86">
        <w:t>;</w:t>
      </w:r>
    </w:p>
    <w:p w:rsidR="004D5FBE" w:rsidRPr="00DA7F86" w:rsidRDefault="004D5FBE" w:rsidP="004D5FBE">
      <w:pPr>
        <w:pStyle w:val="NormalHanging12a"/>
        <w:rPr>
          <w:szCs w:val="24"/>
        </w:rPr>
      </w:pPr>
      <w:r w:rsidRPr="00DA7F86">
        <w:t>16.</w:t>
      </w:r>
      <w:r w:rsidRPr="00DA7F86">
        <w:tab/>
        <w:t>traži da se programom Građani, jednakost, prava i vrijednosti podrži nova dinamika povezivanja bratimljenja gradova i mreža gradova s bratimljenjem obrazovnih ustanova, čime se može ojačati europska dimenzija, razmjena dobrih praksi i osjećaj pripadnosti;</w:t>
      </w:r>
    </w:p>
    <w:p w:rsidR="004D5FBE" w:rsidRPr="00DA7F86" w:rsidRDefault="004D5FBE" w:rsidP="004D5FBE">
      <w:pPr>
        <w:pStyle w:val="NormalHanging12a"/>
      </w:pPr>
      <w:r w:rsidRPr="00DA7F86">
        <w:t>17.</w:t>
      </w:r>
      <w:r w:rsidRPr="00DA7F86">
        <w:tab/>
        <w:t>potiče Komisiju da dodatno pojednostavni administrativne postupke za četverogodišnja okvirna partnerstva za bespovratna sredstva za poslovanje, osobito u pogledu posebnih karakteristika informatičkog alata koji je u uporabi, koji se čini prikladnijim za karakter bespovratnih sredstava za aktivnosti;</w:t>
      </w:r>
    </w:p>
    <w:p w:rsidR="004D5FBE" w:rsidRPr="00DA7F86" w:rsidRDefault="004D5FBE" w:rsidP="004D5FBE">
      <w:pPr>
        <w:pStyle w:val="NormalHanging12a"/>
        <w:jc w:val="center"/>
      </w:pPr>
      <w:r w:rsidRPr="00DA7F86">
        <w:t>°</w:t>
      </w:r>
    </w:p>
    <w:p w:rsidR="004D5FBE" w:rsidRPr="00DA7F86" w:rsidRDefault="004D5FBE" w:rsidP="004D5FBE">
      <w:pPr>
        <w:pStyle w:val="NormalHanging12a"/>
        <w:jc w:val="center"/>
      </w:pPr>
      <w:r w:rsidRPr="00DA7F86">
        <w:t>°</w:t>
      </w:r>
      <w:r w:rsidRPr="00DA7F86">
        <w:tab/>
        <w:t>°</w:t>
      </w:r>
    </w:p>
    <w:p w:rsidR="004D5FBE" w:rsidRPr="00DA7F86" w:rsidRDefault="004D5FBE" w:rsidP="00DA7F86">
      <w:pPr>
        <w:ind w:left="567" w:hanging="567"/>
      </w:pPr>
      <w:r w:rsidRPr="00DA7F86">
        <w:t>18.</w:t>
      </w:r>
      <w:r w:rsidRPr="00DA7F86">
        <w:tab/>
        <w:t>nalaže svojoj predsjednici da ovu Rezoluciju proslijedi Vijeću i Komisiji.</w:t>
      </w:r>
    </w:p>
    <w:sectPr w:rsidR="004D5FBE" w:rsidRPr="00DA7F86" w:rsidSect="00C022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830" w:rsidRPr="00C022A5" w:rsidRDefault="00D42830">
      <w:r w:rsidRPr="00C022A5">
        <w:separator/>
      </w:r>
    </w:p>
  </w:endnote>
  <w:endnote w:type="continuationSeparator" w:id="0">
    <w:p w:rsidR="00D42830" w:rsidRPr="00C022A5" w:rsidRDefault="00D42830">
      <w:r w:rsidRPr="00C022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2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2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2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830" w:rsidRPr="00C022A5" w:rsidRDefault="00D42830">
      <w:r w:rsidRPr="00C022A5">
        <w:separator/>
      </w:r>
    </w:p>
  </w:footnote>
  <w:footnote w:type="continuationSeparator" w:id="0">
    <w:p w:rsidR="00D42830" w:rsidRPr="00C022A5" w:rsidRDefault="00D42830">
      <w:r w:rsidRPr="00C022A5">
        <w:continuationSeparator/>
      </w:r>
    </w:p>
  </w:footnote>
  <w:footnote w:id="1">
    <w:p w:rsidR="004D5FBE" w:rsidRPr="00DA7F86" w:rsidRDefault="004D5FBE" w:rsidP="00C022A5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C022A5">
        <w:rPr>
          <w:rStyle w:val="FootnoteReference"/>
          <w:sz w:val="24"/>
          <w:lang w:val="hr-HR"/>
        </w:rPr>
        <w:footnoteRef/>
      </w:r>
      <w:r w:rsidR="00C022A5" w:rsidRPr="00C022A5">
        <w:rPr>
          <w:sz w:val="24"/>
          <w:lang w:val="hr-HR"/>
        </w:rPr>
        <w:t xml:space="preserve"> </w:t>
      </w:r>
      <w:r w:rsidR="00C022A5" w:rsidRPr="00C022A5">
        <w:rPr>
          <w:sz w:val="24"/>
          <w:lang w:val="hr-HR"/>
        </w:rPr>
        <w:tab/>
      </w:r>
      <w:r w:rsidRPr="00C022A5">
        <w:rPr>
          <w:sz w:val="24"/>
          <w:lang w:val="hr-HR"/>
        </w:rPr>
        <w:t>SL L 156, 5.5.2021., str.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2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2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22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2/2023"/>
    <w:docVar w:name="dvlangue" w:val="HR"/>
    <w:docVar w:name="dvnumam" w:val="0"/>
    <w:docVar w:name="dvpe" w:val="750.184"/>
    <w:docVar w:name="dvrapporteur" w:val="Izvjestitelj: "/>
    <w:docVar w:name="dvtitre" w:val="Rezolucija Europskog parlamenta od .... 2024. o provedbi programa CERV za razdoblje 2021. – 2027. – Uključenost i sudjelovanje građana(2023/2004(INI))"/>
  </w:docVars>
  <w:rsids>
    <w:rsidRoot w:val="00D4283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55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FBE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7F2"/>
    <w:rsid w:val="0093193B"/>
    <w:rsid w:val="009509D8"/>
    <w:rsid w:val="00950B64"/>
    <w:rsid w:val="00981893"/>
    <w:rsid w:val="00A1687D"/>
    <w:rsid w:val="00A43E52"/>
    <w:rsid w:val="00A4678D"/>
    <w:rsid w:val="00A516A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2A5"/>
    <w:rsid w:val="00C05BFE"/>
    <w:rsid w:val="00C23CD4"/>
    <w:rsid w:val="00C61C0C"/>
    <w:rsid w:val="00C941CB"/>
    <w:rsid w:val="00CC2357"/>
    <w:rsid w:val="00CF071A"/>
    <w:rsid w:val="00D058B8"/>
    <w:rsid w:val="00D42830"/>
    <w:rsid w:val="00D56C11"/>
    <w:rsid w:val="00D834A0"/>
    <w:rsid w:val="00D872DF"/>
    <w:rsid w:val="00D91E21"/>
    <w:rsid w:val="00DA7F8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154CF"/>
  <w15:chartTrackingRefBased/>
  <w15:docId w15:val="{60C098A2-2275-4C9D-A474-D87628AA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ody Text Indent 21,Char Char1 Char Char,Char Char1 Char Char Char Char Char Char Char Char,Char Char1 Char Char Char,Heading 7 Char2,Char Char2 Char Char Char Char Char Char Char Char1 Char Char Char Char Char1 Char Char Char,ftr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D5FBE"/>
    <w:pPr>
      <w:spacing w:after="240"/>
      <w:ind w:left="567" w:hanging="567"/>
    </w:pPr>
  </w:style>
  <w:style w:type="paragraph" w:customStyle="1" w:styleId="EPComma">
    <w:name w:val="EPComma"/>
    <w:basedOn w:val="Normal"/>
    <w:rsid w:val="004D5FB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D5FBE"/>
    <w:rPr>
      <w:sz w:val="24"/>
      <w:lang w:val="hr-HR"/>
    </w:rPr>
  </w:style>
  <w:style w:type="paragraph" w:styleId="BalloonText">
    <w:name w:val="Balloon Text"/>
    <w:basedOn w:val="Normal"/>
    <w:link w:val="BalloonTextChar"/>
    <w:rsid w:val="003915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1559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C8A31-2C59-4A5D-8A61-767F8245B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2948</Words>
  <Characters>18858</Characters>
  <Application>Microsoft Office Word</Application>
  <DocSecurity>0</DocSecurity>
  <Lines>819</Lines>
  <Paragraphs>279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2024-01-16T10:43:00Z</dcterms:created>
  <dcterms:modified xsi:type="dcterms:W3CDTF">2024-01-16T10:43:00Z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A9-0392/2023</vt:lpwstr>
  </property>
  <property fmtid="{D5CDD505-2E9C-101B-9397-08002B2CF9AE}" pid="4" name="&lt;Type&gt;">
    <vt:lpwstr>RR</vt:lpwstr>
  </property>
</Properties>
</file>