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2EE" w:rsidTr="0010095E">
        <w:trPr>
          <w:trHeight w:hRule="exact" w:val="1418"/>
        </w:trPr>
        <w:tc>
          <w:tcPr>
            <w:tcW w:w="6804" w:type="dxa"/>
            <w:shd w:val="clear" w:color="auto" w:fill="auto"/>
            <w:vAlign w:val="center"/>
          </w:tcPr>
          <w:p w:rsidR="00751A4A" w:rsidRPr="00CF12EE" w:rsidRDefault="005A1326" w:rsidP="0010095E">
            <w:pPr>
              <w:pStyle w:val="EPName"/>
            </w:pPr>
            <w:r w:rsidRPr="00CF12EE">
              <w:t>Parlament Europejski</w:t>
            </w:r>
          </w:p>
          <w:p w:rsidR="00751A4A" w:rsidRPr="00CF12EE" w:rsidRDefault="00817416" w:rsidP="00756632">
            <w:pPr>
              <w:pStyle w:val="EPTerm"/>
              <w:rPr>
                <w:rStyle w:val="HideTWBExt"/>
                <w:noProof w:val="0"/>
                <w:vanish w:val="0"/>
                <w:color w:val="auto"/>
              </w:rPr>
            </w:pPr>
            <w:r w:rsidRPr="00CF12EE">
              <w:t>2019-2024</w:t>
            </w:r>
          </w:p>
        </w:tc>
        <w:tc>
          <w:tcPr>
            <w:tcW w:w="2268" w:type="dxa"/>
            <w:shd w:val="clear" w:color="auto" w:fill="auto"/>
          </w:tcPr>
          <w:p w:rsidR="00751A4A" w:rsidRPr="00CF12EE" w:rsidRDefault="00187494" w:rsidP="0010095E">
            <w:pPr>
              <w:pStyle w:val="EPLogo"/>
            </w:pPr>
            <w:r w:rsidRPr="00CF12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12EE" w:rsidRDefault="00D058B8" w:rsidP="004C5D52">
      <w:pPr>
        <w:pStyle w:val="LineTop"/>
      </w:pPr>
    </w:p>
    <w:p w:rsidR="00680577" w:rsidRPr="00CF12EE" w:rsidRDefault="005A1326" w:rsidP="00680577">
      <w:pPr>
        <w:pStyle w:val="EPBodyTA1"/>
      </w:pPr>
      <w:r w:rsidRPr="00CF12EE">
        <w:t>TEKSTY PRZYJĘTE</w:t>
      </w:r>
    </w:p>
    <w:p w:rsidR="00D058B8" w:rsidRPr="00CF12EE" w:rsidRDefault="00D058B8" w:rsidP="00D058B8">
      <w:pPr>
        <w:pStyle w:val="LineBottom"/>
      </w:pPr>
    </w:p>
    <w:p w:rsidR="005A1326" w:rsidRPr="00CF12EE" w:rsidRDefault="005A1326" w:rsidP="005A1326">
      <w:pPr>
        <w:pStyle w:val="ATHeading1"/>
      </w:pPr>
      <w:bookmarkStart w:id="0" w:name="TANumber"/>
      <w:r w:rsidRPr="00CF12EE">
        <w:t>P9_TA(2024)000</w:t>
      </w:r>
      <w:bookmarkEnd w:id="0"/>
      <w:r w:rsidR="00E51628">
        <w:t>9</w:t>
      </w:r>
      <w:bookmarkStart w:id="1" w:name="_GoBack"/>
      <w:bookmarkEnd w:id="1"/>
    </w:p>
    <w:p w:rsidR="005A1326" w:rsidRPr="00CF12EE" w:rsidRDefault="00E93FF3" w:rsidP="00E93FF3">
      <w:pPr>
        <w:pStyle w:val="ATHeading2"/>
      </w:pPr>
      <w:r w:rsidRPr="00E93FF3">
        <w:rPr>
          <w:bCs/>
        </w:rPr>
        <w:t>Wdrażanie programu „Obywatele, Równość, Prawa i Wartości” na lata 2021–2027 – zaangażowanie</w:t>
      </w:r>
      <w:r>
        <w:rPr>
          <w:bCs/>
        </w:rPr>
        <w:t xml:space="preserve"> </w:t>
      </w:r>
      <w:r w:rsidRPr="00E93FF3">
        <w:rPr>
          <w:bCs/>
        </w:rPr>
        <w:t>obywateli w życie demokratyczne i ich udział w nim</w:t>
      </w:r>
    </w:p>
    <w:p w:rsidR="005A1326" w:rsidRPr="00CF12EE" w:rsidRDefault="005A1326" w:rsidP="005A1326">
      <w:pPr>
        <w:rPr>
          <w:i/>
          <w:vanish/>
        </w:rPr>
      </w:pPr>
      <w:r w:rsidRPr="00CF12EE">
        <w:rPr>
          <w:i/>
        </w:rPr>
        <w:fldChar w:fldCharType="begin"/>
      </w:r>
      <w:r w:rsidRPr="00CF12EE">
        <w:rPr>
          <w:i/>
        </w:rPr>
        <w:instrText xml:space="preserve"> TC"(</w:instrText>
      </w:r>
      <w:bookmarkStart w:id="2" w:name="DocNumber"/>
      <w:r w:rsidRPr="00CF12EE">
        <w:rPr>
          <w:i/>
        </w:rPr>
        <w:instrText>A9-0392/2023</w:instrText>
      </w:r>
      <w:bookmarkEnd w:id="2"/>
      <w:r w:rsidRPr="00CF12EE">
        <w:rPr>
          <w:i/>
        </w:rPr>
        <w:instrText xml:space="preserve"> - Sprawozdawca: Łukasz Kohut</w:instrText>
      </w:r>
      <w:proofErr w:type="gramStart"/>
      <w:r w:rsidRPr="00CF12EE">
        <w:rPr>
          <w:i/>
        </w:rPr>
        <w:instrText>)"\l</w:instrText>
      </w:r>
      <w:proofErr w:type="gramEnd"/>
      <w:r w:rsidRPr="00CF12EE">
        <w:rPr>
          <w:i/>
        </w:rPr>
        <w:instrText xml:space="preserve">3 \n&gt; \* MERGEFORMAT </w:instrText>
      </w:r>
      <w:r w:rsidRPr="00CF12EE">
        <w:rPr>
          <w:i/>
        </w:rPr>
        <w:fldChar w:fldCharType="end"/>
      </w:r>
    </w:p>
    <w:p w:rsidR="005A1326" w:rsidRPr="00CF12EE" w:rsidRDefault="005A1326" w:rsidP="005A1326">
      <w:pPr>
        <w:rPr>
          <w:vanish/>
        </w:rPr>
      </w:pPr>
      <w:bookmarkStart w:id="3" w:name="Commission"/>
      <w:r w:rsidRPr="00CF12EE">
        <w:rPr>
          <w:vanish/>
        </w:rPr>
        <w:t>Komisja Kultury i Edukacji</w:t>
      </w:r>
      <w:bookmarkEnd w:id="3"/>
    </w:p>
    <w:p w:rsidR="005A1326" w:rsidRPr="00CF12EE" w:rsidRDefault="005A1326" w:rsidP="005A1326">
      <w:pPr>
        <w:rPr>
          <w:vanish/>
        </w:rPr>
      </w:pPr>
      <w:bookmarkStart w:id="4" w:name="PE"/>
      <w:r w:rsidRPr="00CF12EE">
        <w:rPr>
          <w:vanish/>
        </w:rPr>
        <w:t>PE750.184</w:t>
      </w:r>
      <w:bookmarkEnd w:id="4"/>
    </w:p>
    <w:p w:rsidR="005A1326" w:rsidRPr="00CF12EE" w:rsidRDefault="005A1326" w:rsidP="005A1326">
      <w:pPr>
        <w:pStyle w:val="ATHeading3"/>
      </w:pPr>
      <w:bookmarkStart w:id="5" w:name="Sujet"/>
      <w:r w:rsidRPr="00CF12EE">
        <w:t xml:space="preserve">Rezolucja Parlamentu Europejskiego z dnia </w:t>
      </w:r>
      <w:r w:rsidR="00E93FF3">
        <w:t>16 stycznia</w:t>
      </w:r>
      <w:r w:rsidRPr="00CF12EE">
        <w:t xml:space="preserve"> 2024 r. w sprawie wdrażania programu „Obywatele, Równość, Prawa i Wartości” na lata 2021–2027 – zaangażowanie obywateli w życie demokratyczne i ich udział w nim</w:t>
      </w:r>
      <w:bookmarkEnd w:id="5"/>
      <w:r w:rsidRPr="00CF12EE">
        <w:t xml:space="preserve"> </w:t>
      </w:r>
      <w:bookmarkStart w:id="6" w:name="References"/>
      <w:r w:rsidRPr="00CF12EE">
        <w:t>(2023/2004(INI))</w:t>
      </w:r>
      <w:bookmarkEnd w:id="6"/>
    </w:p>
    <w:p w:rsidR="005A1326" w:rsidRPr="00CF12EE" w:rsidRDefault="005A1326" w:rsidP="005A1326"/>
    <w:p w:rsidR="005850E7" w:rsidRPr="00CF12EE" w:rsidRDefault="005850E7" w:rsidP="005850E7">
      <w:pPr>
        <w:pStyle w:val="EPComma"/>
      </w:pPr>
      <w:bookmarkStart w:id="7" w:name="TextBodyBegin"/>
      <w:bookmarkEnd w:id="7"/>
      <w:r w:rsidRPr="00CF12EE">
        <w:rPr>
          <w:i/>
        </w:rPr>
        <w:t>Parlament Europejski</w:t>
      </w:r>
      <w:r w:rsidRPr="00CF12EE">
        <w:t>,</w:t>
      </w:r>
    </w:p>
    <w:p w:rsidR="005850E7" w:rsidRPr="00CF12EE" w:rsidRDefault="005850E7" w:rsidP="005850E7">
      <w:pPr>
        <w:pStyle w:val="NormalHanging12a"/>
      </w:pPr>
      <w:r w:rsidRPr="00CF12EE">
        <w:t>–</w:t>
      </w:r>
      <w:r w:rsidRPr="00CF12EE">
        <w:tab/>
        <w:t>uwzględniając rozporządzenie Parlamentu Europejskiego i Rady (UE) 2021/692 z 28 kwietnia 2021 r. ustanawiające program „Obywatele, równość, prawa i wartości” oraz uchylające rozporządzenie Parlamentu Europejskiego i Rady (UE) nr 1381/2013 i rozporządzenie Rady (UE) nr 390/2014</w:t>
      </w:r>
      <w:r w:rsidRPr="00CF12EE">
        <w:rPr>
          <w:vertAlign w:val="superscript"/>
        </w:rPr>
        <w:footnoteReference w:id="1"/>
      </w:r>
      <w:r w:rsidRPr="00CF12EE">
        <w:t>,</w:t>
      </w:r>
    </w:p>
    <w:p w:rsidR="005850E7" w:rsidRPr="00CF12EE" w:rsidRDefault="005850E7" w:rsidP="005850E7">
      <w:pPr>
        <w:pStyle w:val="NormalHanging12a"/>
      </w:pPr>
      <w:r w:rsidRPr="00CF12EE">
        <w:t>–</w:t>
      </w:r>
      <w:r w:rsidRPr="00CF12EE">
        <w:tab/>
        <w:t>uwzględniając dokument roboczy służb Komisji z dnia 30 maja 2018 r. zawierający ocenę skutków towarzyszącą wnioskowi dotyczącemu rozporządzenia ustanawiającego program „Prawa i Wartości”, wnioskowi dotyczącemu rozporządzenia ustanawiającego program „Sprawiedliwość” i wnioskowi dotyczącemu rozporządzenia ustanawiającego program „Kreatywna Europa” (SWD(2018)0290),</w:t>
      </w:r>
    </w:p>
    <w:p w:rsidR="005850E7" w:rsidRPr="00CF12EE" w:rsidRDefault="005850E7" w:rsidP="005850E7">
      <w:pPr>
        <w:pStyle w:val="NormalHanging12a"/>
      </w:pPr>
      <w:r w:rsidRPr="00CF12EE">
        <w:t>–</w:t>
      </w:r>
      <w:r w:rsidRPr="00CF12EE">
        <w:tab/>
        <w:t>uwzględniając sprawozdanie na temat obywatelstwa UE z 2020 r.,</w:t>
      </w:r>
    </w:p>
    <w:p w:rsidR="005850E7" w:rsidRPr="00CF12EE" w:rsidRDefault="005850E7" w:rsidP="005850E7">
      <w:pPr>
        <w:pStyle w:val="NormalHanging12a"/>
      </w:pPr>
      <w:r w:rsidRPr="00CF12EE">
        <w:t>–</w:t>
      </w:r>
      <w:r w:rsidRPr="00CF12EE">
        <w:tab/>
        <w:t>uwzględniając Kartę praw podstawowych Unii Europejskiej,</w:t>
      </w:r>
    </w:p>
    <w:p w:rsidR="005850E7" w:rsidRPr="00CF12EE" w:rsidRDefault="005850E7" w:rsidP="005850E7">
      <w:pPr>
        <w:pStyle w:val="NormalHanging12a"/>
      </w:pPr>
      <w:r w:rsidRPr="00CF12EE">
        <w:t>–</w:t>
      </w:r>
      <w:r w:rsidRPr="00CF12EE">
        <w:tab/>
        <w:t>uwzględniając art. 20 Traktatu o funkcjonowaniu Unii Europejskiej oraz art. 9 Traktatu o Unii Europejskiej,</w:t>
      </w:r>
    </w:p>
    <w:p w:rsidR="005850E7" w:rsidRPr="00CF12EE" w:rsidRDefault="005850E7" w:rsidP="005850E7">
      <w:pPr>
        <w:pStyle w:val="NormalHanging12a"/>
      </w:pPr>
      <w:r w:rsidRPr="00CF12EE">
        <w:t>–</w:t>
      </w:r>
      <w:r w:rsidRPr="00CF12EE">
        <w:rPr>
          <w:b/>
          <w:i/>
        </w:rPr>
        <w:tab/>
      </w:r>
      <w:r w:rsidRPr="00CF12EE">
        <w:t>uwzględniając rezolucję Parlamentu Europejskiego z dnia 6 kwietnia 2022 r. w sprawie realizacji działań w zakresie edukacji obywatelskiej (2021/2008(INI)),</w:t>
      </w:r>
    </w:p>
    <w:p w:rsidR="005850E7" w:rsidRPr="00CF12EE" w:rsidRDefault="005850E7" w:rsidP="005850E7">
      <w:pPr>
        <w:pStyle w:val="NormalHanging12a"/>
        <w:rPr>
          <w:b/>
          <w:i/>
        </w:rPr>
      </w:pPr>
      <w:r w:rsidRPr="00CF12EE">
        <w:t>–</w:t>
      </w:r>
      <w:r w:rsidRPr="00CF12EE">
        <w:tab/>
        <w:t xml:space="preserve">uwzględniając zalecenie Rady z dnia 22 maja 2018 r. w sprawie promowania </w:t>
      </w:r>
      <w:r w:rsidRPr="00CF12EE">
        <w:lastRenderedPageBreak/>
        <w:t>wspólnych wartości, edukacji włączającej i europejskiego wymiaru nauczania,</w:t>
      </w:r>
    </w:p>
    <w:p w:rsidR="005850E7" w:rsidRPr="00CF12EE" w:rsidRDefault="005850E7" w:rsidP="005850E7">
      <w:pPr>
        <w:pStyle w:val="NormalHanging12a"/>
      </w:pPr>
      <w:r w:rsidRPr="00CF12EE">
        <w:t>–</w:t>
      </w:r>
      <w:r w:rsidRPr="00CF12EE">
        <w:tab/>
        <w:t>uwzględniając komunikat Komisji z dnia 3 grudnia 2020 r. w sprawie europejskiego planu działania na rzecz demokracji (COM(2020)0790),</w:t>
      </w:r>
    </w:p>
    <w:p w:rsidR="005850E7" w:rsidRPr="00CF12EE" w:rsidRDefault="005850E7" w:rsidP="005850E7">
      <w:pPr>
        <w:pStyle w:val="NormalHanging12a"/>
      </w:pPr>
      <w:r w:rsidRPr="00CF12EE">
        <w:t>–</w:t>
      </w:r>
      <w:r w:rsidRPr="00CF12EE">
        <w:tab/>
        <w:t>uwzględniając komunikat Komisji z dnia 2 grudnia 2020 r. zatytułowany „Strategia na rzecz wzmocnienia stosowania Karty praw podstawowych w UE” (COM(2020)0711),</w:t>
      </w:r>
    </w:p>
    <w:p w:rsidR="005850E7" w:rsidRPr="00CF12EE" w:rsidRDefault="005850E7" w:rsidP="005850E7">
      <w:pPr>
        <w:pStyle w:val="NormalHanging12a"/>
      </w:pPr>
      <w:r w:rsidRPr="00CF12EE">
        <w:t>–</w:t>
      </w:r>
      <w:r w:rsidRPr="00CF12EE">
        <w:tab/>
        <w:t>uwzględniając komunikat Komisji z dnia 18 września 2020 r. zatytułowany „Unia równości: Unijny plan działania przeciwko rasizmowi na lata 2020–2025” (COM(2020)0565),</w:t>
      </w:r>
    </w:p>
    <w:p w:rsidR="005850E7" w:rsidRPr="00CF12EE" w:rsidRDefault="005850E7" w:rsidP="005850E7">
      <w:pPr>
        <w:pStyle w:val="NormalHanging12a"/>
      </w:pPr>
      <w:r w:rsidRPr="00CF12EE">
        <w:t>–</w:t>
      </w:r>
      <w:r w:rsidRPr="00CF12EE">
        <w:tab/>
        <w:t>uwzględniając komunikat Komisji z dnia 12 listopada 2020 r. zatytułowany „Unia równości: strategia na rzecz równości osób LGBTIQ na lata 2020–2025 (COM(2020)0698),</w:t>
      </w:r>
    </w:p>
    <w:p w:rsidR="005850E7" w:rsidRPr="00CF12EE" w:rsidRDefault="005850E7" w:rsidP="005850E7">
      <w:pPr>
        <w:pStyle w:val="NormalHanging12a"/>
      </w:pPr>
      <w:r w:rsidRPr="00CF12EE">
        <w:t>–</w:t>
      </w:r>
      <w:r w:rsidRPr="00CF12EE">
        <w:tab/>
        <w:t>uwzględniając komunikat Komisji z dnia 5 marca 2020 r. zatytułowany „Unia równości: strategia na rzecz równouprawnienia płci na lata 2020–2025” (COM(2020)0152),</w:t>
      </w:r>
    </w:p>
    <w:p w:rsidR="005850E7" w:rsidRPr="00CF12EE" w:rsidRDefault="005850E7" w:rsidP="005850E7">
      <w:pPr>
        <w:pStyle w:val="NormalHanging12a"/>
      </w:pPr>
      <w:r w:rsidRPr="00CF12EE">
        <w:t>–</w:t>
      </w:r>
      <w:r w:rsidRPr="00CF12EE">
        <w:tab/>
        <w:t>uwzględniając komunikat Komisji z dnia 5 października 2021 r. zatytułowany „Strategia UE w sprawie zwalczania antysemityzmu i wspierania życia żydowskiego</w:t>
      </w:r>
      <w:proofErr w:type="gramStart"/>
      <w:r w:rsidRPr="00CF12EE">
        <w:t xml:space="preserve"> (2021–2030)” (COM</w:t>
      </w:r>
      <w:proofErr w:type="gramEnd"/>
      <w:r w:rsidRPr="00CF12EE">
        <w:t>(2021)0615),</w:t>
      </w:r>
    </w:p>
    <w:p w:rsidR="005850E7" w:rsidRPr="00CF12EE" w:rsidRDefault="005850E7" w:rsidP="005850E7">
      <w:pPr>
        <w:pStyle w:val="NormalHanging12a"/>
        <w:rPr>
          <w:b/>
          <w:i/>
        </w:rPr>
      </w:pPr>
      <w:r w:rsidRPr="00CF12EE">
        <w:t>–</w:t>
      </w:r>
      <w:r w:rsidRPr="00CF12EE">
        <w:rPr>
          <w:b/>
          <w:i/>
        </w:rPr>
        <w:tab/>
      </w:r>
      <w:r w:rsidRPr="00CF12EE">
        <w:t>uwzględniając komunikat Komisji z dnia 7 października 2020 r. zatytułowany „Unia równości: unijne ramy strategiczne na rzecz równouprawnienia, włączenia społecznego i udziału Romów” (COM(2020)0620),</w:t>
      </w:r>
    </w:p>
    <w:p w:rsidR="005850E7" w:rsidRPr="00CF12EE" w:rsidRDefault="005850E7" w:rsidP="005850E7">
      <w:pPr>
        <w:pStyle w:val="NormalHanging12a"/>
      </w:pPr>
      <w:r w:rsidRPr="00CF12EE">
        <w:t>–</w:t>
      </w:r>
      <w:r w:rsidRPr="00CF12EE">
        <w:tab/>
        <w:t>uwzględniając komunikat Komisji z dnia 24 marca 2021 r. zatytułowany „Strategia UE na rzecz praw dziecka” (COM(2021)0142),</w:t>
      </w:r>
    </w:p>
    <w:p w:rsidR="005850E7" w:rsidRPr="00CF12EE" w:rsidRDefault="005850E7" w:rsidP="005850E7">
      <w:pPr>
        <w:pStyle w:val="NormalHanging12a"/>
      </w:pPr>
      <w:r w:rsidRPr="00CF12EE">
        <w:t>–</w:t>
      </w:r>
      <w:r w:rsidRPr="00CF12EE">
        <w:tab/>
        <w:t>uwzględniając art. 54 Regulaminu, art. 1 ust. 1 lit. e) decyzji Konferencji Przewodniczących z 12 grudnia 2002 r. w sprawie procedury udzielania zgody na sporządzenie sprawozdań z własnej inicjatywy i załącznik 3 do tej decyzji,</w:t>
      </w:r>
    </w:p>
    <w:p w:rsidR="005850E7" w:rsidRPr="00CF12EE" w:rsidRDefault="005850E7" w:rsidP="005850E7">
      <w:pPr>
        <w:pStyle w:val="NormalHanging12a"/>
      </w:pPr>
      <w:r w:rsidRPr="00CF12EE">
        <w:t>–</w:t>
      </w:r>
      <w:r w:rsidRPr="00CF12EE">
        <w:tab/>
        <w:t>uwzględniając sprawozdanie Komisji Kultury i Edukacji (A9-0392/2023),</w:t>
      </w:r>
    </w:p>
    <w:p w:rsidR="005850E7" w:rsidRPr="00CF12EE" w:rsidRDefault="005850E7" w:rsidP="005850E7">
      <w:pPr>
        <w:pStyle w:val="NormalHanging12a"/>
      </w:pPr>
      <w:r w:rsidRPr="00CF12EE">
        <w:t>A.</w:t>
      </w:r>
      <w:r w:rsidRPr="00CF12EE">
        <w:tab/>
      </w:r>
      <w:proofErr w:type="gramStart"/>
      <w:r w:rsidRPr="00CF12EE">
        <w:t>mając</w:t>
      </w:r>
      <w:proofErr w:type="gramEnd"/>
      <w:r w:rsidRPr="00CF12EE">
        <w:t xml:space="preserve"> na uwadze, że aktywny udział w życiu politycznym i kulturalnym jest prawem podstawowym, które powinno być jednakowo dostępne dla wszystkich; mając na uwadze, że Powszechna deklaracja praw człowieka przewiduje prawo do uczestniczenia w rządzeniu i udziału w wolnych wyborach, prawo do uczestniczenia w życiu kulturalnym społeczności i prawo do pokojowego zgromadzania się i zrzeszania się, umożliwiające pełne uczestnictwo w życiu społecznym;</w:t>
      </w:r>
    </w:p>
    <w:p w:rsidR="005850E7" w:rsidRPr="00CF12EE" w:rsidRDefault="005850E7" w:rsidP="005850E7">
      <w:pPr>
        <w:pStyle w:val="NormalHanging12a"/>
        <w:rPr>
          <w:szCs w:val="24"/>
        </w:rPr>
      </w:pPr>
      <w:r w:rsidRPr="00CF12EE">
        <w:t>B.</w:t>
      </w:r>
      <w:r w:rsidRPr="00CF12EE">
        <w:tab/>
        <w:t>mając na uwadze, że obywatelstwo Unii daje ludziom różne prawa, w szczególności prawo do składania petycji do Parlamentu w każdej sprawie leżącej w gestii UE, prawo do zgłaszania Europejskiemu Rzecznikowi Praw Obywatelskich zauważonych przypadków niewłaściwego administrowania przez którąkolwiek z instytucji Unii, prawo do kierowania pism do dowolnej instytucji UE w jednym z języków urzędowych UE i otrzymywania odpowiedzi w tym samym języku oraz prawo dostępu do dokumentów Parlamentu, Rady i Komisji zgodnie z obowiązującymi przepisami UE;</w:t>
      </w:r>
    </w:p>
    <w:p w:rsidR="005850E7" w:rsidRPr="00CF12EE" w:rsidRDefault="005850E7" w:rsidP="005850E7">
      <w:pPr>
        <w:pStyle w:val="NormalHanging12a"/>
        <w:rPr>
          <w:szCs w:val="24"/>
        </w:rPr>
      </w:pPr>
      <w:r w:rsidRPr="00CF12EE">
        <w:lastRenderedPageBreak/>
        <w:t>C.</w:t>
      </w:r>
      <w:r w:rsidRPr="00CF12EE">
        <w:tab/>
      </w:r>
      <w:proofErr w:type="gramStart"/>
      <w:r w:rsidRPr="00CF12EE">
        <w:t>mając</w:t>
      </w:r>
      <w:proofErr w:type="gramEnd"/>
      <w:r w:rsidRPr="00CF12EE">
        <w:t xml:space="preserve"> na uwadze, że obecne i pojawiające się wyzwania systemowe, takie jak kryzys klimatyczny, globalne pandemie, transformacja cyfrowa i nierówności społeczne, wymagają dostosowania struktur i podejść zapewniających aktywny udział obywateli w życiu społeczeństwa; mając na uwadze, że aktywne uczestnictwo cyfrowe obywateli powinno uwzględniać i eliminować przepaść cyfrową między pokoleniami i grupami społecznymi, a także między dobrze skomunikowanymi obszarami miejskimi a obszarami wiejskimi i oddalonymi, a jednocześnie powinno poprawić ogólne umiejętności cyfrowe;</w:t>
      </w:r>
    </w:p>
    <w:p w:rsidR="005850E7" w:rsidRPr="00CF12EE" w:rsidRDefault="005850E7" w:rsidP="005850E7">
      <w:pPr>
        <w:pStyle w:val="NormalHanging12a"/>
        <w:rPr>
          <w:szCs w:val="24"/>
        </w:rPr>
      </w:pPr>
      <w:r w:rsidRPr="00CF12EE">
        <w:t>D.</w:t>
      </w:r>
      <w:r w:rsidRPr="00CF12EE">
        <w:tab/>
      </w:r>
      <w:proofErr w:type="gramStart"/>
      <w:r w:rsidRPr="00CF12EE">
        <w:t>mając</w:t>
      </w:r>
      <w:proofErr w:type="gramEnd"/>
      <w:r w:rsidRPr="00CF12EE">
        <w:t xml:space="preserve"> na uwadze, że programy UE promujące zaangażowanie obywatelskie, prawa i wartości, poczucie przynależności oraz rosnące kompetencje społeczno-obywatelskie i zdolność krytycznego myślenia są ważniejsze niż kiedykolwiek wcześniej;</w:t>
      </w:r>
    </w:p>
    <w:p w:rsidR="005850E7" w:rsidRPr="00CF12EE" w:rsidRDefault="005850E7" w:rsidP="005850E7">
      <w:pPr>
        <w:pStyle w:val="NormalHanging12a"/>
        <w:rPr>
          <w:szCs w:val="24"/>
        </w:rPr>
      </w:pPr>
      <w:r w:rsidRPr="00CF12EE">
        <w:t>E.</w:t>
      </w:r>
      <w:r w:rsidRPr="00CF12EE">
        <w:tab/>
      </w:r>
      <w:proofErr w:type="gramStart"/>
      <w:r w:rsidRPr="00CF12EE">
        <w:t>mając</w:t>
      </w:r>
      <w:proofErr w:type="gramEnd"/>
      <w:r w:rsidRPr="00CF12EE">
        <w:t xml:space="preserve"> na uwadze, że zaangażowanie obywateli musi być rozumiane jako mające charakter wielopoziomowy, obejmujący procesy lokalne, regionalne, krajowe, europejskie i globalne, w których ludzie zyskują świadomość, zdobywają wiedzę i wyrażają opinie, uczestnicząc w podejmowaniu decyzji, które oddziałują na ich życie, oraz wpływając na te decyzje; mając na uwadze, że należy zachęcać mieszkańców obszarów wiejskich i oddalonych do udziału w programie; mając na uwadze, że trwające procesy globalizacji i integracji europejskiej będą wymagać od nowego pokolenia Europejczyków zwiększonego zaangażowania politycznego na wielu poziomach, aby mogli oni żyć i pracować w coraz bardziej międzynarodowym środowisku oraz radzić sobie z różnicami w codziennym </w:t>
      </w:r>
      <w:proofErr w:type="gramStart"/>
      <w:r w:rsidRPr="00CF12EE">
        <w:t>życiu</w:t>
      </w:r>
      <w:proofErr w:type="gramEnd"/>
      <w:r w:rsidRPr="00CF12EE">
        <w:t>; mając na uwadze, że społeczeństwa stają się coraz bardziej zróżnicowane, przez co poszanowanie ludzkiej godności, różnorodności kultur i pochodzenia, a także odrzucenie wszelkiej dyskryminacji wobec kobiet, osób LGTBIQ+, mniejszości etnicznych i innych marginalizowanych grup nabiera w Europie coraz większej wagi;</w:t>
      </w:r>
    </w:p>
    <w:p w:rsidR="005850E7" w:rsidRPr="00CF12EE" w:rsidRDefault="005850E7" w:rsidP="005850E7">
      <w:pPr>
        <w:pStyle w:val="NormalHanging12a"/>
        <w:rPr>
          <w:szCs w:val="24"/>
        </w:rPr>
      </w:pPr>
      <w:r w:rsidRPr="00CF12EE">
        <w:t>F.</w:t>
      </w:r>
      <w:r w:rsidRPr="00CF12EE">
        <w:tab/>
      </w:r>
      <w:proofErr w:type="gramStart"/>
      <w:r w:rsidRPr="00CF12EE">
        <w:t>mając</w:t>
      </w:r>
      <w:proofErr w:type="gramEnd"/>
      <w:r w:rsidRPr="00CF12EE">
        <w:t xml:space="preserve"> na uwadze, że zmiany społeczno-polityczne obserwowane w państwach członkowskich, od polaryzacji społecznej i niskiego zaufania do instytucji po regres demokracji, erozję praworządności, kurczenie się przestrzeni dla społeczeństwa obywatelskiego, wyłączający nacjonalizm i wykorzystanie </w:t>
      </w:r>
      <w:proofErr w:type="spellStart"/>
      <w:r w:rsidRPr="00CF12EE">
        <w:t>eurosceptycyzmu</w:t>
      </w:r>
      <w:proofErr w:type="spellEnd"/>
      <w:r w:rsidRPr="00CF12EE">
        <w:t xml:space="preserve"> do celów politycznych, wraz z rozwojem ruchów ekstremistycznych i autorytaryzmu, </w:t>
      </w:r>
      <w:proofErr w:type="spellStart"/>
      <w:r w:rsidRPr="00CF12EE">
        <w:t>entryzmu</w:t>
      </w:r>
      <w:proofErr w:type="spellEnd"/>
      <w:r w:rsidRPr="00CF12EE">
        <w:t xml:space="preserve"> stosowanego przez religijne ugrupowania fundamentalistyczne, a także kampanie dezinformacji i przekazywanie informacji wprowadzających w błąd stwarzają poważne zagrożenie dla europejskich demokracji i destabilizują całą Unię; mając na uwadze, że zwiększenie aktywnego udziału i zaangażowania obywateli za pomocą edukacji formalnej, </w:t>
      </w:r>
      <w:proofErr w:type="spellStart"/>
      <w:r w:rsidRPr="00CF12EE">
        <w:t>pozaformalnej</w:t>
      </w:r>
      <w:proofErr w:type="spellEnd"/>
      <w:r w:rsidRPr="00CF12EE">
        <w:t>, nieformalnej i uczenia się przez całe życie odgrywa zasadniczą rolę w przeciwdziałaniu tej tendencji;</w:t>
      </w:r>
    </w:p>
    <w:p w:rsidR="005850E7" w:rsidRPr="00CF12EE" w:rsidRDefault="005850E7" w:rsidP="005850E7">
      <w:pPr>
        <w:pStyle w:val="NormalHanging12a"/>
        <w:rPr>
          <w:szCs w:val="24"/>
        </w:rPr>
      </w:pPr>
      <w:r w:rsidRPr="00CF12EE">
        <w:t>G.</w:t>
      </w:r>
      <w:r w:rsidRPr="00CF12EE">
        <w:tab/>
        <w:t xml:space="preserve">mając na uwadze, że przeszkodami na drodze do wykształcenia się obywatelstwa europejskiego okazały się luka w wiedzy i luka emocjonalna, które są często związane z błędnym wyobrażeniem na temat UE, w związku z czym procesowi temu powinien towarzyszyć i wzmacniać go zestaw mechanizmów umożliwiających uczestnictwo obywateli i dialog międzykulturowy; mając na uwadze, że lepsze zrozumienie naszej wspólnej europejskiej historii i większe zaangażowanie obywateli w życie społeczne i polityczne może mieć korzystny wpływ na kształtującą się tożsamość europejską, która uzupełnia wiele lokalnych, regionalnych, krajowych, geograficznych, kulturowych lub innych tożsamości obywateli; mając na uwadze, że aktywne uczestnictwo obywateli i dialog są </w:t>
      </w:r>
      <w:proofErr w:type="gramStart"/>
      <w:r w:rsidRPr="00CF12EE">
        <w:t>związane</w:t>
      </w:r>
      <w:proofErr w:type="gramEnd"/>
      <w:r w:rsidRPr="00CF12EE">
        <w:t xml:space="preserve"> z europejskim wymiarem edukacji obywatelskiej i mogą skutecznie przyczynić się do stworzenia obywatelstwa europejskiego z wyraźnie zdefiniowanymi </w:t>
      </w:r>
      <w:r w:rsidRPr="00CF12EE">
        <w:lastRenderedPageBreak/>
        <w:t>prawami i obowiązkami;</w:t>
      </w:r>
    </w:p>
    <w:p w:rsidR="005850E7" w:rsidRPr="00CF12EE" w:rsidRDefault="005850E7" w:rsidP="005850E7">
      <w:pPr>
        <w:pStyle w:val="NormalHanging12a"/>
      </w:pPr>
      <w:r w:rsidRPr="00CF12EE">
        <w:t>H.</w:t>
      </w:r>
      <w:r w:rsidRPr="00CF12EE">
        <w:tab/>
      </w:r>
      <w:proofErr w:type="gramStart"/>
      <w:r w:rsidRPr="00CF12EE">
        <w:t>mając</w:t>
      </w:r>
      <w:proofErr w:type="gramEnd"/>
      <w:r w:rsidRPr="00CF12EE">
        <w:t xml:space="preserve"> na uwadze, że niewystarczające zaangażowanie obywateli, ograniczona wiedza o UE i słabe zrozumienie jej wartości dodanej mogą przyczynić się do przekonania o istnieniu deficytu demokratycznego oraz prowadzą do rosnącego </w:t>
      </w:r>
      <w:proofErr w:type="spellStart"/>
      <w:r w:rsidRPr="00CF12EE">
        <w:t>eurosceptycyzmu</w:t>
      </w:r>
      <w:proofErr w:type="spellEnd"/>
      <w:r w:rsidRPr="00CF12EE">
        <w:t xml:space="preserve"> w państwach członkowskich;</w:t>
      </w:r>
    </w:p>
    <w:p w:rsidR="005850E7" w:rsidRPr="00CF12EE" w:rsidRDefault="005850E7" w:rsidP="005850E7">
      <w:pPr>
        <w:pStyle w:val="NormalHanging12a"/>
      </w:pPr>
      <w:r w:rsidRPr="00CF12EE">
        <w:t>I.</w:t>
      </w:r>
      <w:r w:rsidRPr="00CF12EE">
        <w:tab/>
      </w:r>
      <w:proofErr w:type="gramStart"/>
      <w:r w:rsidRPr="00CF12EE">
        <w:t>mając</w:t>
      </w:r>
      <w:proofErr w:type="gramEnd"/>
      <w:r w:rsidRPr="00CF12EE">
        <w:t xml:space="preserve"> na uwadze, że kurczenie się przestrzeni społeczeństwa obywatelskiego w Unii Europejskiej i innych krajach uczestniczących w programie wpływa na uczestnictwo w życiu demokratycznym i zdolność organizacji społeczeństwa obywatelskiego do pełnienia funkcji kontroli i równowagi w odniesieniu do praworządności; mając na uwadze, że działania zmierzające do wspierania i umożliwiania udziału społeczeństwa obywatelskiego, w tym organizacji mniejszości i organizacji oddolnych, które działają od wielu lat i mają znaczne doświadczenie, są kluczowe dla obrony demokracji, praworządności i praw człowieka w państwach członkowskich;</w:t>
      </w:r>
    </w:p>
    <w:p w:rsidR="005850E7" w:rsidRPr="00CF12EE" w:rsidRDefault="005850E7" w:rsidP="005850E7">
      <w:pPr>
        <w:pStyle w:val="NormalHanging12a"/>
        <w:rPr>
          <w:b/>
          <w:i/>
        </w:rPr>
      </w:pPr>
      <w:r w:rsidRPr="00CF12EE">
        <w:t>J.</w:t>
      </w:r>
      <w:r w:rsidRPr="00CF12EE">
        <w:tab/>
        <w:t xml:space="preserve">mając na uwadze, że organizacje społeczeństwa obywatelskiego zrzeszające mniejszości mają kluczowe znaczenie dla </w:t>
      </w:r>
      <w:proofErr w:type="spellStart"/>
      <w:r w:rsidRPr="00CF12EE">
        <w:t>samoreprezentacji</w:t>
      </w:r>
      <w:proofErr w:type="spellEnd"/>
      <w:r w:rsidRPr="00CF12EE">
        <w:t xml:space="preserve"> i zaangażowania obywatelskiego grup zmarginalizowanych, zwłaszcza tych, które nie mają innych formalnych możliwości reprezentacji politycznej;</w:t>
      </w:r>
    </w:p>
    <w:p w:rsidR="005850E7" w:rsidRPr="00CF12EE" w:rsidRDefault="005850E7" w:rsidP="005850E7">
      <w:pPr>
        <w:pStyle w:val="NormalHanging12a"/>
      </w:pPr>
      <w:r w:rsidRPr="00CF12EE">
        <w:t>K.</w:t>
      </w:r>
      <w:r w:rsidRPr="00CF12EE">
        <w:tab/>
        <w:t>mając na uwadze, że w 2020 r. w UE mieszkały ponad 22 mln obywateli państw trzecich</w:t>
      </w:r>
      <w:proofErr w:type="gramStart"/>
      <w:r w:rsidRPr="00CF12EE">
        <w:t>; mając</w:t>
      </w:r>
      <w:proofErr w:type="gramEnd"/>
      <w:r w:rsidRPr="00CF12EE">
        <w:t xml:space="preserve"> na uwadze, że grupy te nie mają dostępu do formalnych możliwości działalności politycznej, przez co decyzje wpływające na życie milionów ludzi są podejmowane bez ich udziału i umożliwienia im wniesienia wkładu w te decyzje; mając na uwadze, że stanowi to podstawowy deficyt demokratyczny na wszystkich szczeblach w całej UE oraz utrudnia opracowanie zrównoważonych, sprawiedliwych i skutecznych strategii oraz programów, a także mając na uwadze, że wypełnianie praw człowieka, które są związane z udziałem osób niebędących obywatelami w życiu politycznym i publicznym, odgrywa kluczową rolę </w:t>
      </w:r>
      <w:proofErr w:type="gramStart"/>
      <w:r w:rsidRPr="00CF12EE">
        <w:t>we</w:t>
      </w:r>
      <w:proofErr w:type="gramEnd"/>
      <w:r w:rsidRPr="00CF12EE">
        <w:t xml:space="preserve"> wspieraniu demokratycznych rządów, praworządności, włączenia społecznego, rozwoju gospodarczego oraz w eliminowaniu marginalizacji i dyskryminacji w UE;</w:t>
      </w:r>
    </w:p>
    <w:p w:rsidR="005850E7" w:rsidRPr="009156DB" w:rsidRDefault="005850E7" w:rsidP="005850E7">
      <w:pPr>
        <w:pStyle w:val="NormalHanging12a"/>
        <w:ind w:left="0" w:firstLine="0"/>
        <w:rPr>
          <w:i/>
        </w:rPr>
      </w:pPr>
      <w:r w:rsidRPr="009156DB">
        <w:rPr>
          <w:b/>
          <w:i/>
        </w:rPr>
        <w:t>Wczesne etapy realizacji programu „Obywatele, Równość, Prawa i Wartości” (2021–2027): Komponent 3 – Zaangażowanie obywateli</w:t>
      </w:r>
    </w:p>
    <w:p w:rsidR="005850E7" w:rsidRPr="00CF12EE" w:rsidRDefault="005850E7" w:rsidP="005850E7">
      <w:pPr>
        <w:pStyle w:val="NormalHanging12a"/>
        <w:rPr>
          <w:szCs w:val="24"/>
        </w:rPr>
      </w:pPr>
      <w:r w:rsidRPr="00CF12EE">
        <w:t>1.</w:t>
      </w:r>
      <w:r w:rsidRPr="00CF12EE">
        <w:tab/>
      </w:r>
      <w:proofErr w:type="gramStart"/>
      <w:r w:rsidRPr="00CF12EE">
        <w:t>jest</w:t>
      </w:r>
      <w:proofErr w:type="gramEnd"/>
      <w:r w:rsidRPr="00CF12EE">
        <w:t xml:space="preserve"> głęboko przekonany, że program „Obywatele, Równość, Prawa i Wartości” (program CERV) wnosi wyjątkowy wkład w zwiększanie zaangażowania obywateli i ich udziału z perspektywy praw podstawowych, ponieważ skutecznie łączy wartości, dialog obywatelski i obywatelstwo, a przy tym propaguje równość społeczną i równość płci oraz różnorodność przez wspieranie ochrony dziedzictwa regionalnego, świadomości historycznej, a także zwalczanie dyskryminacji i przemocy; uważa, że program CERV jest instrumentem o fundamentalnym znaczeniu dla przyszłości UE i rozwiązywania problemów społeczno-politycznych, takich jak luka w wiedzy, </w:t>
      </w:r>
      <w:proofErr w:type="spellStart"/>
      <w:r w:rsidRPr="00CF12EE">
        <w:t>eurosceptycyzm</w:t>
      </w:r>
      <w:proofErr w:type="spellEnd"/>
      <w:r w:rsidRPr="00CF12EE">
        <w:t xml:space="preserve">, kurczenie się przestrzeni dla społeczeństwa obywatelskiego, erozja praworządności i wyzwania dla praworządności w całej Europie; zachęca, by program wspierał działania </w:t>
      </w:r>
      <w:proofErr w:type="gramStart"/>
      <w:r w:rsidRPr="00CF12EE">
        <w:t>służące</w:t>
      </w:r>
      <w:proofErr w:type="gramEnd"/>
      <w:r w:rsidRPr="00CF12EE">
        <w:t xml:space="preserve"> budowaniu odporności organizacji społeczeństwa obywatelskiego, w tym tych, które skupiają się na praworządności i wartościach UE;</w:t>
      </w:r>
    </w:p>
    <w:p w:rsidR="005850E7" w:rsidRPr="00CF12EE" w:rsidRDefault="005850E7" w:rsidP="005850E7">
      <w:pPr>
        <w:pStyle w:val="NormalHanging12a"/>
      </w:pPr>
      <w:r w:rsidRPr="00CF12EE">
        <w:t>2.</w:t>
      </w:r>
      <w:r w:rsidRPr="00CF12EE">
        <w:tab/>
      </w:r>
      <w:proofErr w:type="gramStart"/>
      <w:r w:rsidRPr="00CF12EE">
        <w:t>przypomina</w:t>
      </w:r>
      <w:proofErr w:type="gramEnd"/>
      <w:r w:rsidRPr="00CF12EE">
        <w:t xml:space="preserve">, że realizacja programu CERV jest wciąż na wczesnym etapie, ponieważ rozporządzenie ustanawiające program zostało przyjęte dopiero w 2021 r.; zwraca </w:t>
      </w:r>
      <w:r w:rsidRPr="00CF12EE">
        <w:lastRenderedPageBreak/>
        <w:t>uwagę, że w związku z tym zrealizowano dopiero kilka projektów w ramach komponentu 3, a beneficjenci udostępniają niewiele informacji umożliwiających dokładną ocenę wyników;</w:t>
      </w:r>
    </w:p>
    <w:p w:rsidR="005850E7" w:rsidRPr="00CF12EE" w:rsidRDefault="005850E7" w:rsidP="005850E7">
      <w:pPr>
        <w:pStyle w:val="NormalHanging12a"/>
        <w:rPr>
          <w:szCs w:val="24"/>
        </w:rPr>
      </w:pPr>
      <w:r w:rsidRPr="00CF12EE">
        <w:t>3.</w:t>
      </w:r>
      <w:r w:rsidRPr="00CF12EE">
        <w:tab/>
      </w:r>
      <w:proofErr w:type="gramStart"/>
      <w:r w:rsidRPr="00CF12EE">
        <w:t>wzywa</w:t>
      </w:r>
      <w:proofErr w:type="gramEnd"/>
      <w:r w:rsidRPr="00CF12EE">
        <w:t xml:space="preserve"> Komisję do priorytetowego traktowania gromadzenia danych na temat programu CERV, w szczególności na temat grup </w:t>
      </w:r>
      <w:proofErr w:type="spellStart"/>
      <w:r w:rsidRPr="00CF12EE">
        <w:t>defaworyzowanych</w:t>
      </w:r>
      <w:proofErr w:type="spellEnd"/>
      <w:r w:rsidRPr="00CF12EE">
        <w:t xml:space="preserve">, w tym społeczności marginalizowanych, mniejszości i słabszych grup społecznych, aby sprostać wyjątkowym wyzwaniom, przed którymi stoją, i wspierać badania dotyczące ich doświadczeń; podkreśla potrzebę ustanowienia solidnych mechanizmów monitorowania i oceny; podkreśla, że podejście to będzie przydatne do kształtowania polityki, pozwoli zapewnić znaczący udział grup </w:t>
      </w:r>
      <w:proofErr w:type="spellStart"/>
      <w:r w:rsidRPr="00CF12EE">
        <w:t>defaworyzowanych</w:t>
      </w:r>
      <w:proofErr w:type="spellEnd"/>
      <w:r w:rsidRPr="00CF12EE">
        <w:t xml:space="preserve"> w inicjatywach na rzecz zaangażowania obywatelskiego, sprawi, że ich głosy będą lepiej słyszalne, a także umożliwi stworzenie bardziej włączającego i sprawiedliwego programu, przy jednoczesnym zapewnieniu ogółem lepszych ocen w przyszłości;</w:t>
      </w:r>
    </w:p>
    <w:p w:rsidR="005850E7" w:rsidRPr="00CF12EE" w:rsidRDefault="005850E7" w:rsidP="005850E7">
      <w:pPr>
        <w:pStyle w:val="NormalHanging12a"/>
        <w:rPr>
          <w:szCs w:val="24"/>
        </w:rPr>
      </w:pPr>
      <w:r w:rsidRPr="00CF12EE">
        <w:t>4.</w:t>
      </w:r>
      <w:r w:rsidRPr="00CF12EE">
        <w:tab/>
      </w:r>
      <w:proofErr w:type="gramStart"/>
      <w:r w:rsidRPr="00CF12EE">
        <w:t>podkreśla</w:t>
      </w:r>
      <w:proofErr w:type="gramEnd"/>
      <w:r w:rsidRPr="00CF12EE">
        <w:t>, że program stanął w obliczu szeregu wyzwań, które utrudniły jego realizacje na początkowych etapach, przy czym wiele z tych wyzwań spowodowanych było czynnikami zewnętrznymi, takimi jak pandemia COVID-19 i rosyjska wojna napastnicza przeciwko Ukrainie, oraz że wyzwania te zakłóciły i ograniczyły prawa obywateli i udział w życiu demokratycznym; zawraca jednak uwagę, że mimo trudnych początków wdrażanie programu poprawiło się i obecnie program dobrze funkcjonuje; ponadto podkreśla, że należy organizować kampanie uświadamiające, aby dotrzeć do większej części społeczeństwa, zwłaszcza z obszarów wiejskich;</w:t>
      </w:r>
    </w:p>
    <w:p w:rsidR="005850E7" w:rsidRPr="00CF12EE" w:rsidRDefault="005850E7" w:rsidP="005850E7">
      <w:pPr>
        <w:pStyle w:val="NormalHanging12a"/>
        <w:rPr>
          <w:szCs w:val="24"/>
        </w:rPr>
      </w:pPr>
      <w:r w:rsidRPr="00CF12EE">
        <w:t>5.</w:t>
      </w:r>
      <w:r w:rsidRPr="00CF12EE">
        <w:tab/>
      </w:r>
      <w:proofErr w:type="gramStart"/>
      <w:r w:rsidRPr="00CF12EE">
        <w:t>wyraża</w:t>
      </w:r>
      <w:proofErr w:type="gramEnd"/>
      <w:r w:rsidRPr="00CF12EE">
        <w:t xml:space="preserve"> zaniepokojenie faktem, że wykorzystanie i wprowadzenie nowych narzędzi cyfrowych do wdrażania funduszy UE (np. narzędzia </w:t>
      </w:r>
      <w:proofErr w:type="spellStart"/>
      <w:r w:rsidRPr="00CF12EE">
        <w:t>eGrants</w:t>
      </w:r>
      <w:proofErr w:type="spellEnd"/>
      <w:r w:rsidRPr="00CF12EE">
        <w:t xml:space="preserve">) wydaje się kluczowym problemem dla beneficjentów w kontekście rozwoju programu; ubolewa, że skomplikowane procedury utrudniły również udział mniejszych organizacji, które nie mają czasu i zasobów niezbędnych do przejścia przez proces składania wniosków w wyznaczonym terminie; uważa, że sposób skonstruowania tych narzędzi ogranicza zdolność programu do dostosowania się do nowych rozwiązań i zmieniających się potrzeb; wzywa do wyeliminowania obciążeń administracyjnych i uproszczenia procesów składania wniosków, zawierania umów i sprawozdawczości; podkreśla, że uproszczenie wymogów administracyjnych obejmuje również bardziej skuteczny i elastyczny proces składania wniosków przez </w:t>
      </w:r>
      <w:proofErr w:type="gramStart"/>
      <w:r w:rsidRPr="00CF12EE">
        <w:t>organizacje</w:t>
      </w:r>
      <w:proofErr w:type="gramEnd"/>
      <w:r w:rsidRPr="00CF12EE">
        <w:t>, które podpisały wieloletnie ramowe umowy o partnerstwie, także po to, by przewidzieć rozwój polityki; podkreśla ponadto, że należy zadbać o to, by portal do składania wniosków był bardziej przyjazny dla użytkowników, zwłaszcza dla organizacji działających na małą skalę, oraz należy zapewnić tłumaczenia wszystkich dokumentów związanych z procedurą na wszystkie języki UE, aby zwiększyć udział wnioskodawców z wszystkich państw członkowskich i zapewnić różnorodność kulturową;</w:t>
      </w:r>
    </w:p>
    <w:p w:rsidR="005850E7" w:rsidRPr="00CF12EE" w:rsidRDefault="005850E7" w:rsidP="005850E7">
      <w:pPr>
        <w:pStyle w:val="NormalHanging12a"/>
      </w:pPr>
      <w:r w:rsidRPr="00CF12EE">
        <w:t>6.</w:t>
      </w:r>
      <w:r w:rsidRPr="00CF12EE">
        <w:tab/>
      </w:r>
      <w:proofErr w:type="gramStart"/>
      <w:r w:rsidRPr="00CF12EE">
        <w:t>ubolewa</w:t>
      </w:r>
      <w:proofErr w:type="gramEnd"/>
      <w:r w:rsidRPr="00CF12EE">
        <w:t>, że państwa członkowskie nie mają obowiązku ustanowienia krajowego punktu kontaktowego ds. programu CERV, który zapewniałby wnioskodawcom, zainteresowanym stronom i beneficjentom bezstronne doradztwo, pomocne informacje i wsparcie, w tym pomoc w procesie składania wniosków, a przy tym udostępniałby łatwo zrozumiałe informacje o wynikach programu; stwierdza z żalem, że do czerwca 2023 r. jedynie 20 państw członkowskich wyznaczyło krajowe punkty kontaktowe;</w:t>
      </w:r>
    </w:p>
    <w:p w:rsidR="005850E7" w:rsidRPr="00CF12EE" w:rsidRDefault="005850E7" w:rsidP="005850E7">
      <w:pPr>
        <w:pStyle w:val="NormalHanging12a"/>
      </w:pPr>
      <w:r w:rsidRPr="00CF12EE">
        <w:t>7.</w:t>
      </w:r>
      <w:r w:rsidRPr="00CF12EE">
        <w:tab/>
      </w:r>
      <w:proofErr w:type="gramStart"/>
      <w:r w:rsidRPr="00CF12EE">
        <w:t>jest</w:t>
      </w:r>
      <w:proofErr w:type="gramEnd"/>
      <w:r w:rsidRPr="00CF12EE">
        <w:t xml:space="preserve"> głęboko zaniepokojony, że obecna inflacja wpływa negatywnie na bieżące koszty ponoszone przez beneficjentów programu CERV; ubolewa, że beneficjenci napotykają </w:t>
      </w:r>
      <w:r w:rsidRPr="00CF12EE">
        <w:lastRenderedPageBreak/>
        <w:t>trudności w realizacji zaplanowanych działań, szczególnie związane z kosztami jednostkowymi podróży, zakwaterowania i diet dziennych, i być może będą musieli ograniczyć niektóre z pierwotnie zaplanowanych działań, aby zmieścić się w budżecie;</w:t>
      </w:r>
    </w:p>
    <w:p w:rsidR="005850E7" w:rsidRPr="009156DB" w:rsidRDefault="005850E7" w:rsidP="005850E7">
      <w:pPr>
        <w:pStyle w:val="NormalHanging12a"/>
        <w:rPr>
          <w:i/>
        </w:rPr>
      </w:pPr>
      <w:r w:rsidRPr="009156DB">
        <w:rPr>
          <w:b/>
          <w:i/>
        </w:rPr>
        <w:t>Zalecenia polityczne dotyczące programu CERV w przyszłości</w:t>
      </w:r>
    </w:p>
    <w:p w:rsidR="005850E7" w:rsidRPr="00CF12EE" w:rsidRDefault="005850E7" w:rsidP="005850E7">
      <w:pPr>
        <w:pStyle w:val="NormalHanging12a"/>
      </w:pPr>
      <w:r w:rsidRPr="00CF12EE">
        <w:t>8.</w:t>
      </w:r>
      <w:r w:rsidRPr="00CF12EE">
        <w:tab/>
      </w:r>
      <w:proofErr w:type="gramStart"/>
      <w:r w:rsidRPr="00CF12EE">
        <w:t>wzywa</w:t>
      </w:r>
      <w:proofErr w:type="gramEnd"/>
      <w:r w:rsidRPr="00CF12EE">
        <w:t xml:space="preserve"> Komisję do stworzenia grupy dialogu obywatelskiego, aby zapewnić regularny, otwarty i przejrzysty dialog w celu umocnienia dialogu obywatelskiego za pośrednictwem programu w taki sposób, aby wspierać dwukierunkowy proces między instytucjami na wszystkich szczeblach i z wszystkimi zainteresowanymi stronami, w szczególności organizacjami społeczeństwa obywatelskiego, oraz w ramach wdrażania art. 11 rozporządzenia (UE) 2021/692, a także by wykorzystać dialog obywatelski jako narzędzie do zarządzania i określenia priorytetów dwuletniego programu prac oraz dalszego propagowania zbiorowego wymiaru zaangażowania obywatelskiego jako kluczowego wymiaru demokracji i praworządności; przypomina w związku z tym, że należy promować innowacyjne działania wspierające dialog ze społeczeństwem obywatelskim, w tym z myślą o </w:t>
      </w:r>
      <w:proofErr w:type="gramStart"/>
      <w:r w:rsidRPr="00CF12EE">
        <w:t>rozwijaniu</w:t>
      </w:r>
      <w:proofErr w:type="gramEnd"/>
      <w:r w:rsidRPr="00CF12EE">
        <w:t xml:space="preserve"> kultury partnerstwa opartego na zaufaniu z beneficjentami dotacji; wzywa w szczególności do działań na rzecz budowania zdolności w celu wspierania szerokiego udziału społeczeństwa obywatelskiego, zwłaszcza przez powiązania z innymi systemami finansowania udostępnianymi w ramach zarządzania dzielonego, takimi jak Instrument Wsparcia Technicznego;</w:t>
      </w:r>
    </w:p>
    <w:p w:rsidR="005850E7" w:rsidRPr="00CF12EE" w:rsidRDefault="005850E7" w:rsidP="005850E7">
      <w:pPr>
        <w:pStyle w:val="NormalHanging12a"/>
        <w:rPr>
          <w:szCs w:val="24"/>
        </w:rPr>
      </w:pPr>
      <w:r w:rsidRPr="00CF12EE">
        <w:t>9.</w:t>
      </w:r>
      <w:r w:rsidRPr="00CF12EE">
        <w:tab/>
      </w:r>
      <w:proofErr w:type="gramStart"/>
      <w:r w:rsidRPr="00CF12EE">
        <w:t>przypomina</w:t>
      </w:r>
      <w:proofErr w:type="gramEnd"/>
      <w:r w:rsidRPr="00CF12EE">
        <w:t>, że należy zachęcać obywateli do aktywnego udziału przez wzmocnienie europejskiego wymiaru edukacji obywatelskiej, zarówno w programach nauczania, jak i na zajęciach pozalekcyjnych; podkreśla, że prawdziwie europejska edukacja obywatelska może informować i formować obywateli w duchu zaangażowania i uczestnictwa obywatelskiego oraz że wytyczne UE mogą być przydatnym narzędziem w tym zakresie; podkreśla, jak ważne jest włączenie mieszkających w UE osób niebędących obywatelami oraz ich organizacji do grupy docelowej programu CERV, ponieważ wzmocni to demokratyczne rządy, praworządność i włączenie społeczne;</w:t>
      </w:r>
    </w:p>
    <w:p w:rsidR="005850E7" w:rsidRPr="00CF12EE" w:rsidRDefault="005850E7" w:rsidP="005850E7">
      <w:pPr>
        <w:pStyle w:val="NormalHanging12a"/>
        <w:rPr>
          <w:szCs w:val="24"/>
        </w:rPr>
      </w:pPr>
      <w:r w:rsidRPr="00CF12EE">
        <w:t>10.</w:t>
      </w:r>
      <w:r w:rsidRPr="00CF12EE">
        <w:tab/>
      </w:r>
      <w:proofErr w:type="gramStart"/>
      <w:r w:rsidRPr="00CF12EE">
        <w:t>apeluje</w:t>
      </w:r>
      <w:proofErr w:type="gramEnd"/>
      <w:r w:rsidRPr="00CF12EE">
        <w:t xml:space="preserve"> do państw członkowskich, które nie wyznaczyły jeszcze KPK, aby uczyniły to jak najszybciej, i wzywa Komisję do kontynuowania współpracy z siecią krajowych punktów kontaktowych w ramach spotkań, szkoleń i specjalnych wymian, ponieważ były one dotychczas organizowane z dużym powodzeniem; zachęca zatem Komisję, państwa członkowskie i krajowe punkty kontaktowe, by stworzyły europejską sieć krajowych punktów kontaktowych, co ułatwi im dzielenie się najlepszymi praktykami i wiedzą; ponadto zachęca Komisję, by utworzyła sieć beneficjentów programu CERV, która umożliwi im wymianę doświadczeń i najlepszych praktyk w celu lepszego zrozumienia lokalnych i krajowych realiów w całej UE i poza nią;</w:t>
      </w:r>
    </w:p>
    <w:p w:rsidR="005850E7" w:rsidRPr="00CF12EE" w:rsidRDefault="005850E7" w:rsidP="005850E7">
      <w:pPr>
        <w:pStyle w:val="NormalHanging12a"/>
        <w:rPr>
          <w:szCs w:val="24"/>
        </w:rPr>
      </w:pPr>
      <w:r w:rsidRPr="00CF12EE">
        <w:t>11.</w:t>
      </w:r>
      <w:r w:rsidRPr="00CF12EE">
        <w:tab/>
      </w:r>
      <w:proofErr w:type="gramStart"/>
      <w:r w:rsidRPr="00CF12EE">
        <w:t>zwraca</w:t>
      </w:r>
      <w:proofErr w:type="gramEnd"/>
      <w:r w:rsidRPr="00CF12EE">
        <w:t xml:space="preserve"> uwagę na wyniki wprowadzenia różnych rodzajów mechanizmów ponownego przyznawania dotacji w ramach programu CERV, które do tej pory były bardzo zachęcające; wzywa do przeprowadzenia analizy jakościowej i ilościowej poszczególnych zaproszeń do ponownego przyznawania dotacji w celu ewentualnego rozszerzenia ich zastosowania na pozostałe komponenty programu CERV, w stosownych przypadkach, a w szczególności na komponent 3, w celu zadbania o to, aby finansowanie unijne dotarło do oddolnych organizacji społeczeństwa obywatelskiego, które działają od wielu lat i mają już znaczne doświadczenie; wzywa Komisję do dalszego uproszczenia procedur administracyjnych i wymogów dotyczących ponownego przyznawania dotacji, aby zapewnić organizacjom ubiegającym się o </w:t>
      </w:r>
      <w:r w:rsidRPr="00CF12EE">
        <w:lastRenderedPageBreak/>
        <w:t xml:space="preserve">ponowne przyznanie dotacji </w:t>
      </w:r>
      <w:proofErr w:type="gramStart"/>
      <w:r w:rsidRPr="00CF12EE">
        <w:t>większą</w:t>
      </w:r>
      <w:proofErr w:type="gramEnd"/>
      <w:r w:rsidRPr="00CF12EE">
        <w:t xml:space="preserve"> elastyczność w stosunku do beneficjentów dotacji w systemie kaskadowym, a jednocześnie zapewnić odpowiednie standardy pracy, opieki zdrowotnej i ochrony socjalnej; uważa, że wymogi dotyczące współfinansowania mogłyby zostać zmienione w celu dostosowania przepisów do sytuacji danego beneficjenta, tak aby wspierać szersze spektrum beneficjentów, w tym osoby fizyczne i mikrostruktury, oraz w celu dostosowania dziedzin tematycznych; podkreśla, jak ważne jest promowanie korzystania z programu w całym sektorze edukacji, w tym wśród uczniów, nauczycieli, innych pracowników oświaty i osób pracujących z młodzieżą; podkreśla, że finansowanie z programu CERV w dziedzinie praw, równości, wartości i zaangażowania obywateli, w przypadku których to dziedzin inne </w:t>
      </w:r>
      <w:proofErr w:type="gramStart"/>
      <w:r w:rsidRPr="00CF12EE">
        <w:t>źródła</w:t>
      </w:r>
      <w:proofErr w:type="gramEnd"/>
      <w:r w:rsidRPr="00CF12EE">
        <w:t xml:space="preserve"> finansowania są bardzo ograniczone lub nie istnieją, powinno obejmować większy odsetek kwot dotacji; wzywa Komisję do dopilnowania, by finansowanie trafiło do organizacji, które przestrzegają Karty praw podstawowych Unii Europejskiej, na przykład przez ustanowienie mechanizmów kontroli, aby zapewnić odpowiednie standardy pracy, opieki zdrowotnej i ochrony socjalnej; wzywa do przeprowadzenia oceny mechanizmów ponownego przyznawania dotacji, aby ocenić jego skuteczność i elastyczność w docieraniu do grup oddolnych oraz we wspieraniu organizacji w krajach o kurczącej się przestrzeni obywatelskiej;</w:t>
      </w:r>
    </w:p>
    <w:p w:rsidR="005850E7" w:rsidRPr="00CF12EE" w:rsidRDefault="005850E7" w:rsidP="005850E7">
      <w:pPr>
        <w:pStyle w:val="NormalHanging12a"/>
        <w:rPr>
          <w:szCs w:val="24"/>
        </w:rPr>
      </w:pPr>
      <w:r w:rsidRPr="00CF12EE">
        <w:t>12.</w:t>
      </w:r>
      <w:r w:rsidRPr="00CF12EE">
        <w:tab/>
      </w:r>
      <w:proofErr w:type="gramStart"/>
      <w:r w:rsidRPr="00CF12EE">
        <w:t>wzywa</w:t>
      </w:r>
      <w:proofErr w:type="gramEnd"/>
      <w:r w:rsidRPr="00CF12EE">
        <w:t xml:space="preserve"> do zwiększenia budżetu programu do 2,6 mld EUR w kolejnych wieloletnich ramach finansowych (WRF) w celu zaspokojenia rosnącego zapotrzebowania na inicjatywy na rzecz zaangażowania obywatelskiego i uczestnictwa demokratycznego, a także do ustanowienia mechanizmu ad hoc na rzecz ochrony obrońców praw człowieka, podobnego do mechanizmów stworzonych z myślą o obrońcach praw człowieka poza UE lub o ochronie dziennikarzy, a także, ogólnie, do zajęcia się wpływem inflacji na koszty programu, biorąc również pod uwagę konkluzje Konferencji w sprawie przyszłości Europy dotyczące obywatelstwa europejskiego i edukacji, a także strategiczne znaczenie programu CERV dla realizacji priorytetów UE;</w:t>
      </w:r>
    </w:p>
    <w:p w:rsidR="005850E7" w:rsidRPr="00CF12EE" w:rsidRDefault="005850E7" w:rsidP="005850E7">
      <w:pPr>
        <w:pStyle w:val="NormalHanging12a"/>
        <w:rPr>
          <w:szCs w:val="24"/>
        </w:rPr>
      </w:pPr>
      <w:r w:rsidRPr="00CF12EE">
        <w:t>13.</w:t>
      </w:r>
      <w:r w:rsidRPr="00CF12EE">
        <w:tab/>
      </w:r>
      <w:proofErr w:type="gramStart"/>
      <w:r w:rsidRPr="00CF12EE">
        <w:t>podkreśla</w:t>
      </w:r>
      <w:proofErr w:type="gramEnd"/>
      <w:r w:rsidRPr="00CF12EE">
        <w:t>, że skuteczne działania komunikacyjne i uświadamiające mają zasadnicze znaczenie dla powodzenia programu, w związku z czym należy je traktować priorytetowo, by zaangażować potencjalnych beneficjentów, zwłaszcza na szczeblu lokalnym;</w:t>
      </w:r>
    </w:p>
    <w:p w:rsidR="005850E7" w:rsidRPr="00CF12EE" w:rsidRDefault="005850E7" w:rsidP="005850E7">
      <w:pPr>
        <w:pStyle w:val="NormalHanging12a"/>
        <w:rPr>
          <w:szCs w:val="24"/>
        </w:rPr>
      </w:pPr>
      <w:r w:rsidRPr="00CF12EE">
        <w:t>14.</w:t>
      </w:r>
      <w:r w:rsidRPr="00CF12EE">
        <w:tab/>
      </w:r>
      <w:proofErr w:type="gramStart"/>
      <w:r w:rsidRPr="00CF12EE">
        <w:t>uznaje</w:t>
      </w:r>
      <w:proofErr w:type="gramEnd"/>
      <w:r w:rsidRPr="00CF12EE">
        <w:t xml:space="preserve">, że wymiana i uczestnictwo w działaniach realizowanych w ramach programu CERV mają kluczowe znaczenie dla budowania zdolności organizacji społeczeństwa obywatelskiego do zwiększania zaangażowania obywateli i promowania wartości unijnych w państwach spoza UE; podkreśla, że aktywne zaangażowanie i działanie na rzecz europejskich wartości nie zaczyna się wraz z podpisaniem umów w sprawie przystąpienia, lecz jest wynikiem długotrwałej pracy aktywistów i organizacji społeczeństwa obywatelskiego na rzecz promowania tych idei oraz wspierania lokalnych działaczy w państwach spoza UE; zachęca Komisję, by ułatwiła udział obywateli państw spoza UE w programie przez zaangażowanie w działania CERV organizacji społeczeństwa obywatelskiego spoza UE; apeluje zatem, by </w:t>
      </w:r>
      <w:proofErr w:type="gramStart"/>
      <w:r w:rsidRPr="00CF12EE">
        <w:t>z</w:t>
      </w:r>
      <w:proofErr w:type="gramEnd"/>
      <w:r w:rsidRPr="00CF12EE">
        <w:t xml:space="preserve"> programu CERV pokrywano koszty uczestnictwa przedstawicieli społeczeństwa obywatelskiego, przynajmniej tych z krajów kandydujących i stowarzyszonych, niezależnie od tego, czy ich kraj uczestniczy w programie CERV; podkreśla, że należy sprostać wyzwaniom związanym z wojną w Ukrainie przez zachęcanie do realizacji projektów z ukraińskimi partnerami w ramach działań dotyczących pamięci o przeszłości, uczestnictwa w życiu demokratycznym i odzyskiwania ukraińskiego dziedzictwa kulturowego;</w:t>
      </w:r>
    </w:p>
    <w:p w:rsidR="005850E7" w:rsidRPr="00CF12EE" w:rsidRDefault="005850E7" w:rsidP="005850E7">
      <w:pPr>
        <w:pStyle w:val="NormalHanging12a"/>
        <w:rPr>
          <w:szCs w:val="24"/>
        </w:rPr>
      </w:pPr>
      <w:r w:rsidRPr="00CF12EE">
        <w:lastRenderedPageBreak/>
        <w:t>15.</w:t>
      </w:r>
      <w:r w:rsidRPr="00CF12EE">
        <w:tab/>
      </w:r>
      <w:proofErr w:type="gramStart"/>
      <w:r w:rsidRPr="00CF12EE">
        <w:t>ponownie</w:t>
      </w:r>
      <w:proofErr w:type="gramEnd"/>
      <w:r w:rsidRPr="00CF12EE">
        <w:t xml:space="preserve"> apeluje o to, by uczynić program CERV narzędziem działania na rzecz europejskiej świadomości historycznej przez aktywne wspieranie struktur, które mają promować krytyczną pamięć historyczną, na przykład w ramach transnarodowych badań i wizyt w miejscach pamięci, zarówno w UE, jak i poza nią; w szczególności apeluje o to, by potępiać rewizjonizm historyczny i kulturowy; wzywa Komisję i państwa członkowskie do zwrócenia szczególnej uwagi na wrażliwe kwestie społeczne, które mogą być przedmiotem ewentualnej instrumentalizacji;</w:t>
      </w:r>
    </w:p>
    <w:p w:rsidR="005850E7" w:rsidRPr="00CF12EE" w:rsidRDefault="005850E7" w:rsidP="005850E7">
      <w:pPr>
        <w:pStyle w:val="NormalHanging12a"/>
        <w:rPr>
          <w:szCs w:val="24"/>
        </w:rPr>
      </w:pPr>
      <w:r w:rsidRPr="00CF12EE">
        <w:t>16.</w:t>
      </w:r>
      <w:r w:rsidRPr="00CF12EE">
        <w:tab/>
      </w:r>
      <w:proofErr w:type="gramStart"/>
      <w:r w:rsidRPr="00CF12EE">
        <w:t>apeluje</w:t>
      </w:r>
      <w:proofErr w:type="gramEnd"/>
      <w:r w:rsidRPr="00CF12EE">
        <w:t>, by program CERV wspierał kształtującą się dynamikę łączenia partnerstw miast i sieci miast z partnerstwami instytucji edukacyjnych, co może wzmocnić wymiar europejski, wymianę dobrych praktyk i poczucie przynależności;</w:t>
      </w:r>
    </w:p>
    <w:p w:rsidR="005850E7" w:rsidRPr="00CF12EE" w:rsidRDefault="005850E7" w:rsidP="005850E7">
      <w:pPr>
        <w:pStyle w:val="NormalHanging12a"/>
      </w:pPr>
      <w:r w:rsidRPr="00CF12EE">
        <w:t>17.</w:t>
      </w:r>
      <w:r w:rsidRPr="00CF12EE">
        <w:tab/>
      </w:r>
      <w:proofErr w:type="gramStart"/>
      <w:r w:rsidRPr="00CF12EE">
        <w:t>wzywa</w:t>
      </w:r>
      <w:proofErr w:type="gramEnd"/>
      <w:r w:rsidRPr="00CF12EE">
        <w:t xml:space="preserve"> Komisję do dalszego uproszczenia procedur administracyjnych dotyczących czteroletnich partnerstw ramowych w zakresie dotacji przyznawanych na działalność, w szczególności w odniesieniu do specyfiki stosowanego narzędzia informatycznego, które wydaje się bardziej dostosowane do charakteru dotacji na działania;</w:t>
      </w:r>
    </w:p>
    <w:p w:rsidR="005850E7" w:rsidRPr="00CF12EE" w:rsidRDefault="005850E7" w:rsidP="005850E7">
      <w:pPr>
        <w:pStyle w:val="NormalHanging12a"/>
        <w:jc w:val="center"/>
      </w:pPr>
      <w:r w:rsidRPr="00CF12EE">
        <w:t>°</w:t>
      </w:r>
    </w:p>
    <w:p w:rsidR="005850E7" w:rsidRPr="00CF12EE" w:rsidRDefault="005850E7" w:rsidP="005850E7">
      <w:pPr>
        <w:pStyle w:val="NormalHanging12a"/>
        <w:jc w:val="center"/>
      </w:pPr>
      <w:r w:rsidRPr="00CF12EE">
        <w:t>°</w:t>
      </w:r>
      <w:r w:rsidRPr="00CF12EE">
        <w:tab/>
        <w:t>°</w:t>
      </w:r>
    </w:p>
    <w:p w:rsidR="005850E7" w:rsidRPr="00CF12EE" w:rsidRDefault="005850E7" w:rsidP="005850E7">
      <w:pPr>
        <w:pStyle w:val="NormalHanging12a"/>
        <w:ind w:left="560" w:hanging="560"/>
      </w:pPr>
      <w:r w:rsidRPr="00CF12EE">
        <w:t>18.</w:t>
      </w:r>
      <w:r w:rsidRPr="00CF12EE">
        <w:tab/>
      </w:r>
      <w:proofErr w:type="gramStart"/>
      <w:r w:rsidRPr="00CF12EE">
        <w:t>zobowiązuje</w:t>
      </w:r>
      <w:proofErr w:type="gramEnd"/>
      <w:r w:rsidRPr="00CF12EE">
        <w:t xml:space="preserve"> swoją przewodniczącą do przekazania niniejszej rezolucji Radzie i Komisji.</w:t>
      </w:r>
    </w:p>
    <w:p w:rsidR="005850E7" w:rsidRPr="00CF12EE" w:rsidRDefault="005850E7" w:rsidP="005850E7"/>
    <w:p w:rsidR="00E365E1" w:rsidRPr="00CF12EE" w:rsidRDefault="00E365E1" w:rsidP="005A1326">
      <w:bookmarkStart w:id="8" w:name="TextBodyEnd"/>
      <w:bookmarkEnd w:id="8"/>
    </w:p>
    <w:sectPr w:rsidR="00E365E1" w:rsidRPr="00CF12EE" w:rsidSect="00CF12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326" w:rsidRPr="00CF12EE" w:rsidRDefault="005A1326">
      <w:r w:rsidRPr="00CF12EE">
        <w:separator/>
      </w:r>
    </w:p>
  </w:endnote>
  <w:endnote w:type="continuationSeparator" w:id="0">
    <w:p w:rsidR="005A1326" w:rsidRPr="00CF12EE" w:rsidRDefault="005A1326">
      <w:r w:rsidRPr="00CF12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326" w:rsidRPr="00CF12EE" w:rsidRDefault="005A1326">
      <w:r w:rsidRPr="00CF12EE">
        <w:separator/>
      </w:r>
    </w:p>
  </w:footnote>
  <w:footnote w:type="continuationSeparator" w:id="0">
    <w:p w:rsidR="005A1326" w:rsidRPr="00CF12EE" w:rsidRDefault="005A1326">
      <w:r w:rsidRPr="00CF12EE">
        <w:continuationSeparator/>
      </w:r>
    </w:p>
  </w:footnote>
  <w:footnote w:id="1">
    <w:p w:rsidR="005850E7" w:rsidRPr="00CF12EE" w:rsidRDefault="005850E7" w:rsidP="00CF12EE">
      <w:pPr>
        <w:pStyle w:val="FootnoteText"/>
        <w:ind w:left="567" w:hanging="567"/>
        <w:rPr>
          <w:color w:val="0000FF"/>
          <w:sz w:val="24"/>
          <w:u w:val="single" w:color="0000FF"/>
          <w:lang w:val="pl-PL"/>
        </w:rPr>
      </w:pPr>
      <w:r w:rsidRPr="00CF12EE">
        <w:rPr>
          <w:rStyle w:val="FootnoteReference"/>
          <w:sz w:val="24"/>
          <w:lang w:val="pl-PL"/>
        </w:rPr>
        <w:footnoteRef/>
      </w:r>
      <w:r w:rsidR="00CF12EE" w:rsidRPr="00CF12EE">
        <w:rPr>
          <w:sz w:val="24"/>
          <w:lang w:val="pl-PL"/>
        </w:rPr>
        <w:t xml:space="preserve"> </w:t>
      </w:r>
      <w:r w:rsidR="00CF12EE" w:rsidRPr="00CF12EE">
        <w:rPr>
          <w:sz w:val="24"/>
          <w:lang w:val="pl-PL"/>
        </w:rPr>
        <w:tab/>
      </w:r>
      <w:r w:rsidRPr="00CF12EE">
        <w:rPr>
          <w:sz w:val="24"/>
          <w:lang w:val="pl-PL"/>
        </w:rPr>
        <w:t xml:space="preserve">Dz.U. L 156 z 5.5.2021, </w:t>
      </w:r>
      <w:proofErr w:type="gramStart"/>
      <w:r w:rsidRPr="00CF12EE">
        <w:rPr>
          <w:sz w:val="24"/>
          <w:lang w:val="pl-PL"/>
        </w:rPr>
        <w:t>s</w:t>
      </w:r>
      <w:proofErr w:type="gramEnd"/>
      <w:r w:rsidRPr="00CF12EE">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2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PL"/>
    <w:docVar w:name="dvnumam" w:val="0"/>
    <w:docVar w:name="dvpe" w:val="750.184"/>
    <w:docVar w:name="dvrapporteur" w:val="Sprawozdawca: "/>
    <w:docVar w:name="dvstar" w:val="??"/>
    <w:docVar w:name="dvtitre" w:val="Rezolucja Parlamentu Europejskiego z dnia  2024 r. w sprawie wdrażania programu „Obywatele, Równość, Prawa i Wartości” na lata 2021–2027 – zaangażowanie obywateli w życie demokratyczne i ich udział w nim(2023/2004(INI))"/>
  </w:docVars>
  <w:rsids>
    <w:rsidRoot w:val="005A13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0E7"/>
    <w:rsid w:val="005A132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6D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2EE"/>
    <w:rsid w:val="00D058B8"/>
    <w:rsid w:val="00D56C11"/>
    <w:rsid w:val="00D834A0"/>
    <w:rsid w:val="00D872DF"/>
    <w:rsid w:val="00D91E21"/>
    <w:rsid w:val="00DA7FCD"/>
    <w:rsid w:val="00E365E1"/>
    <w:rsid w:val="00E51628"/>
    <w:rsid w:val="00E820A4"/>
    <w:rsid w:val="00E93FF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A4454"/>
  <w15:chartTrackingRefBased/>
  <w15:docId w15:val="{93790E4D-2E9D-4920-901C-BC8717E1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50E7"/>
    <w:pPr>
      <w:spacing w:after="240"/>
      <w:ind w:left="567" w:hanging="567"/>
    </w:pPr>
  </w:style>
  <w:style w:type="paragraph" w:customStyle="1" w:styleId="EPComma">
    <w:name w:val="EPComma"/>
    <w:basedOn w:val="Normal"/>
    <w:rsid w:val="005850E7"/>
    <w:pPr>
      <w:spacing w:before="480" w:after="240"/>
    </w:pPr>
  </w:style>
  <w:style w:type="character" w:customStyle="1" w:styleId="NormalHanging12aChar">
    <w:name w:val="NormalHanging12a Char"/>
    <w:basedOn w:val="DefaultParagraphFont"/>
    <w:link w:val="NormalHanging12a"/>
    <w:rsid w:val="005850E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62728-581D-40D0-B2B2-D72BFCAD5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3463</Words>
  <Characters>19744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2024-01-16T12:12:00Z</dcterms:created>
  <dcterms:modified xsi:type="dcterms:W3CDTF">2024-01-16T12:12:00Z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A9-0392/2023</vt:lpwstr>
  </property>
  <property fmtid="{D5CDD505-2E9C-101B-9397-08002B2CF9AE}" pid="4" name="&lt;Type&gt;">
    <vt:lpwstr>RR</vt:lpwstr>
  </property>
</Properties>
</file>