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C1D" w:rsidTr="0010095E">
        <w:trPr>
          <w:trHeight w:hRule="exact" w:val="1418"/>
        </w:trPr>
        <w:tc>
          <w:tcPr>
            <w:tcW w:w="6804" w:type="dxa"/>
            <w:shd w:val="clear" w:color="auto" w:fill="auto"/>
            <w:vAlign w:val="center"/>
          </w:tcPr>
          <w:p w:rsidR="00751A4A" w:rsidRPr="00902C1D" w:rsidRDefault="006D07E6" w:rsidP="0010095E">
            <w:pPr>
              <w:pStyle w:val="EPName"/>
            </w:pPr>
            <w:r w:rsidRPr="00902C1D">
              <w:t>Parlamento Europeu</w:t>
            </w:r>
          </w:p>
          <w:p w:rsidR="00751A4A" w:rsidRPr="00902C1D" w:rsidRDefault="00817416" w:rsidP="00756632">
            <w:pPr>
              <w:pStyle w:val="EPTerm"/>
              <w:rPr>
                <w:rStyle w:val="HideTWBExt"/>
                <w:noProof w:val="0"/>
                <w:vanish w:val="0"/>
                <w:color w:val="auto"/>
              </w:rPr>
            </w:pPr>
            <w:r w:rsidRPr="00902C1D">
              <w:t>2019-2024</w:t>
            </w:r>
          </w:p>
        </w:tc>
        <w:tc>
          <w:tcPr>
            <w:tcW w:w="2268" w:type="dxa"/>
            <w:shd w:val="clear" w:color="auto" w:fill="auto"/>
          </w:tcPr>
          <w:p w:rsidR="00751A4A" w:rsidRPr="00902C1D" w:rsidRDefault="00187494" w:rsidP="0010095E">
            <w:pPr>
              <w:pStyle w:val="EPLogo"/>
            </w:pPr>
            <w:r w:rsidRPr="00902C1D">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2C1D" w:rsidRDefault="00D058B8" w:rsidP="004C5D52">
      <w:pPr>
        <w:pStyle w:val="LineTop"/>
      </w:pPr>
    </w:p>
    <w:p w:rsidR="00680577" w:rsidRPr="00902C1D" w:rsidRDefault="006D07E6" w:rsidP="00680577">
      <w:pPr>
        <w:pStyle w:val="EPBodyTA1"/>
      </w:pPr>
      <w:r w:rsidRPr="00902C1D">
        <w:t>TEXTOS APROVADOS</w:t>
      </w:r>
    </w:p>
    <w:p w:rsidR="00D058B8" w:rsidRPr="00902C1D" w:rsidRDefault="00D058B8" w:rsidP="00D058B8">
      <w:pPr>
        <w:pStyle w:val="LineBottom"/>
      </w:pPr>
    </w:p>
    <w:p w:rsidR="006D07E6" w:rsidRPr="00902C1D" w:rsidRDefault="006D07E6" w:rsidP="006D07E6">
      <w:pPr>
        <w:pStyle w:val="ATHeading1"/>
      </w:pPr>
      <w:bookmarkStart w:id="0" w:name="TANumber"/>
      <w:r w:rsidRPr="00902C1D">
        <w:t>P9_</w:t>
      </w:r>
      <w:proofErr w:type="gramStart"/>
      <w:r w:rsidRPr="00902C1D">
        <w:t>TA(</w:t>
      </w:r>
      <w:proofErr w:type="gramEnd"/>
      <w:r w:rsidRPr="00902C1D">
        <w:t>2024)000</w:t>
      </w:r>
      <w:r w:rsidR="00902C1D" w:rsidRPr="00902C1D">
        <w:t>9</w:t>
      </w:r>
      <w:bookmarkEnd w:id="0"/>
    </w:p>
    <w:p w:rsidR="006D07E6" w:rsidRPr="00902C1D" w:rsidRDefault="006D07E6" w:rsidP="006D07E6">
      <w:pPr>
        <w:pStyle w:val="ATHeading2"/>
      </w:pPr>
      <w:bookmarkStart w:id="1" w:name="title"/>
      <w:r w:rsidRPr="00902C1D">
        <w:t>Execução do Programa Cidadãos, Igualdade</w:t>
      </w:r>
      <w:r w:rsidR="00902C1D">
        <w:t>, Direitos e Valores 2021-2027 –</w:t>
      </w:r>
      <w:r w:rsidRPr="00902C1D">
        <w:t xml:space="preserve"> envolvimento e participação dos cidadãos</w:t>
      </w:r>
      <w:bookmarkEnd w:id="1"/>
    </w:p>
    <w:p w:rsidR="006D07E6" w:rsidRPr="00902C1D" w:rsidRDefault="006D07E6" w:rsidP="006D07E6">
      <w:pPr>
        <w:rPr>
          <w:i/>
          <w:vanish/>
        </w:rPr>
      </w:pPr>
      <w:r w:rsidRPr="00902C1D">
        <w:rPr>
          <w:i/>
        </w:rPr>
        <w:fldChar w:fldCharType="begin"/>
      </w:r>
      <w:r w:rsidRPr="00902C1D">
        <w:rPr>
          <w:i/>
        </w:rPr>
        <w:instrText xml:space="preserve"> TC"(</w:instrText>
      </w:r>
      <w:bookmarkStart w:id="2" w:name="DocNumber"/>
      <w:r w:rsidRPr="00902C1D">
        <w:rPr>
          <w:i/>
        </w:rPr>
        <w:instrText>A9-0392/2023</w:instrText>
      </w:r>
      <w:bookmarkEnd w:id="2"/>
      <w:r w:rsidRPr="00902C1D">
        <w:rPr>
          <w:i/>
        </w:rPr>
        <w:instrText xml:space="preserve"> - Relator: Łukasz Kohut)"\l3 \n&gt; \* MERGEFORMAT </w:instrText>
      </w:r>
      <w:r w:rsidRPr="00902C1D">
        <w:rPr>
          <w:i/>
        </w:rPr>
        <w:fldChar w:fldCharType="end"/>
      </w:r>
    </w:p>
    <w:p w:rsidR="006D07E6" w:rsidRPr="00902C1D" w:rsidRDefault="006D07E6" w:rsidP="006D07E6">
      <w:pPr>
        <w:rPr>
          <w:vanish/>
        </w:rPr>
      </w:pPr>
      <w:bookmarkStart w:id="3" w:name="Commission"/>
      <w:r w:rsidRPr="00902C1D">
        <w:rPr>
          <w:vanish/>
        </w:rPr>
        <w:t>Comissão da Cultura e da Educação</w:t>
      </w:r>
      <w:bookmarkEnd w:id="3"/>
    </w:p>
    <w:p w:rsidR="006D07E6" w:rsidRPr="00902C1D" w:rsidRDefault="006D07E6" w:rsidP="006D07E6">
      <w:pPr>
        <w:rPr>
          <w:vanish/>
        </w:rPr>
      </w:pPr>
      <w:bookmarkStart w:id="4" w:name="PE"/>
      <w:r w:rsidRPr="00902C1D">
        <w:rPr>
          <w:vanish/>
        </w:rPr>
        <w:t>PE750.184</w:t>
      </w:r>
      <w:bookmarkEnd w:id="4"/>
    </w:p>
    <w:p w:rsidR="006D07E6" w:rsidRPr="00902C1D" w:rsidRDefault="006D07E6" w:rsidP="006D07E6">
      <w:pPr>
        <w:pStyle w:val="ATHeading3"/>
      </w:pPr>
      <w:bookmarkStart w:id="5" w:name="Sujet"/>
      <w:r w:rsidRPr="00902C1D">
        <w:t xml:space="preserve">Resolução do Parlamento Europeu, de </w:t>
      </w:r>
      <w:r w:rsidR="00902C1D" w:rsidRPr="00902C1D">
        <w:t xml:space="preserve">16 </w:t>
      </w:r>
      <w:r w:rsidRPr="00902C1D">
        <w:t xml:space="preserve">de </w:t>
      </w:r>
      <w:r w:rsidR="00132B8C" w:rsidRPr="00902C1D">
        <w:t xml:space="preserve">janeiro </w:t>
      </w:r>
      <w:r w:rsidRPr="00902C1D">
        <w:t>de 2024, sobre a execução do Programa Cidadãos, Igualdade</w:t>
      </w:r>
      <w:r w:rsidR="00902C1D">
        <w:t>, Direitos e Valores 2021-2027 –</w:t>
      </w:r>
      <w:r w:rsidRPr="00902C1D">
        <w:t xml:space="preserve"> envolvimento e participação dos cidadãos</w:t>
      </w:r>
      <w:bookmarkEnd w:id="5"/>
      <w:r w:rsidRPr="00902C1D">
        <w:t xml:space="preserve"> </w:t>
      </w:r>
      <w:bookmarkStart w:id="6" w:name="References"/>
      <w:r w:rsidRPr="00902C1D">
        <w:t>(2023/2004(INI))</w:t>
      </w:r>
      <w:bookmarkEnd w:id="6"/>
    </w:p>
    <w:p w:rsidR="00835614" w:rsidRPr="00902C1D" w:rsidRDefault="00835614" w:rsidP="00835614">
      <w:pPr>
        <w:pStyle w:val="EPComma"/>
      </w:pPr>
      <w:bookmarkStart w:id="7" w:name="TextBodyBegin"/>
      <w:bookmarkEnd w:id="7"/>
      <w:r w:rsidRPr="00902C1D">
        <w:rPr>
          <w:i/>
          <w:iCs/>
        </w:rPr>
        <w:t>O Parlamento Europeu,</w:t>
      </w:r>
    </w:p>
    <w:p w:rsidR="00835614" w:rsidRPr="00902C1D" w:rsidRDefault="00835614" w:rsidP="00835614">
      <w:pPr>
        <w:pStyle w:val="NormalHanging12a"/>
      </w:pPr>
      <w:r w:rsidRPr="00902C1D">
        <w:t>–</w:t>
      </w:r>
      <w:r w:rsidRPr="00902C1D">
        <w:tab/>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902C1D">
        <w:rPr>
          <w:vertAlign w:val="superscript"/>
        </w:rPr>
        <w:footnoteReference w:id="1"/>
      </w:r>
      <w:r w:rsidRPr="00902C1D">
        <w:t>,</w:t>
      </w:r>
    </w:p>
    <w:p w:rsidR="00835614" w:rsidRPr="00902C1D" w:rsidRDefault="00835614" w:rsidP="00835614">
      <w:pPr>
        <w:pStyle w:val="NormalHanging12a"/>
      </w:pPr>
      <w:r w:rsidRPr="00902C1D">
        <w:t>–</w:t>
      </w:r>
      <w:r w:rsidRPr="00902C1D">
        <w:tab/>
        <w:t>Tendo em conta o documento de trabalho da Comissão, de 30 de maio de 2018, intitulado «Avaliação de impacto que acompanha o documento: Proposta de Regulamento que cria o programa «Direitos e Valores», Proposta de Regulamento que cria o programa «Justiça», Proposta de Regulamento que cria o programa «Europa Criativa» (</w:t>
      </w:r>
      <w:proofErr w:type="gramStart"/>
      <w:r w:rsidRPr="00902C1D">
        <w:t>SWD(</w:t>
      </w:r>
      <w:proofErr w:type="gramEnd"/>
      <w:r w:rsidRPr="00902C1D">
        <w:t>2018)0290),</w:t>
      </w:r>
    </w:p>
    <w:p w:rsidR="00835614" w:rsidRPr="00902C1D" w:rsidRDefault="00835614" w:rsidP="00835614">
      <w:pPr>
        <w:pStyle w:val="NormalHanging12a"/>
      </w:pPr>
      <w:r w:rsidRPr="00902C1D">
        <w:t>–</w:t>
      </w:r>
      <w:r w:rsidRPr="00902C1D">
        <w:tab/>
        <w:t>Tendo em conta o Relatório de 2020 sobre a Cidadania da União,</w:t>
      </w:r>
    </w:p>
    <w:p w:rsidR="00835614" w:rsidRPr="00902C1D" w:rsidRDefault="00835614" w:rsidP="00835614">
      <w:pPr>
        <w:pStyle w:val="NormalHanging12a"/>
      </w:pPr>
      <w:r w:rsidRPr="00902C1D">
        <w:t>–</w:t>
      </w:r>
      <w:r w:rsidRPr="00902C1D">
        <w:tab/>
        <w:t>Tendo em conta a Carta dos Direitos Fundamentais da UE,</w:t>
      </w:r>
    </w:p>
    <w:p w:rsidR="00835614" w:rsidRPr="00902C1D" w:rsidRDefault="00835614" w:rsidP="00835614">
      <w:pPr>
        <w:pStyle w:val="NormalHanging12a"/>
      </w:pPr>
      <w:r w:rsidRPr="00902C1D">
        <w:t>–</w:t>
      </w:r>
      <w:r w:rsidRPr="00902C1D">
        <w:tab/>
        <w:t>Tendo em conta o artigo 20.º do Tratado sobre o Funcionamento da União Europeia e o artigo 9.º do Tratado da União Europeia,</w:t>
      </w:r>
    </w:p>
    <w:p w:rsidR="00835614" w:rsidRPr="00902C1D" w:rsidRDefault="00835614" w:rsidP="00835614">
      <w:pPr>
        <w:pStyle w:val="NormalHanging12a"/>
      </w:pPr>
      <w:r w:rsidRPr="00902C1D">
        <w:t>–</w:t>
      </w:r>
      <w:r w:rsidRPr="00902C1D">
        <w:rPr>
          <w:b/>
          <w:i/>
        </w:rPr>
        <w:tab/>
      </w:r>
      <w:r w:rsidRPr="00902C1D">
        <w:t>Tendo em conta o Relatório do Parlamento Europeu, de 6 de abril de 2022, sobre a aplicação de medidas de educação para a cidadania (2021/2008(INI)),</w:t>
      </w:r>
    </w:p>
    <w:p w:rsidR="00835614" w:rsidRPr="00902C1D" w:rsidRDefault="00835614" w:rsidP="00835614">
      <w:pPr>
        <w:pStyle w:val="NormalHanging12a"/>
        <w:rPr>
          <w:b/>
          <w:i/>
        </w:rPr>
      </w:pPr>
      <w:r w:rsidRPr="00902C1D">
        <w:t>–</w:t>
      </w:r>
      <w:r w:rsidRPr="00902C1D">
        <w:tab/>
        <w:t>Tendo em conta a Recomendação do Conselho, de 22 de maio de 2018, relativa à promoção de valores comuns, da educação inclusiva e da dimensão europeia do ensino,</w:t>
      </w:r>
    </w:p>
    <w:p w:rsidR="00835614" w:rsidRPr="00902C1D" w:rsidRDefault="00835614" w:rsidP="00835614">
      <w:pPr>
        <w:pStyle w:val="NormalHanging12a"/>
      </w:pPr>
      <w:r w:rsidRPr="00902C1D">
        <w:t>–</w:t>
      </w:r>
      <w:r w:rsidRPr="00902C1D">
        <w:tab/>
        <w:t>Tendo em conta a Comunicação da Comissão, de 3 de dezembro de 2020, sobre o plano de ação para a democracia europeia (</w:t>
      </w:r>
      <w:proofErr w:type="gramStart"/>
      <w:r w:rsidRPr="00902C1D">
        <w:t>COM(</w:t>
      </w:r>
      <w:proofErr w:type="gramEnd"/>
      <w:r w:rsidRPr="00902C1D">
        <w:t>2020)0790),</w:t>
      </w:r>
    </w:p>
    <w:p w:rsidR="00835614" w:rsidRPr="00902C1D" w:rsidRDefault="00835614" w:rsidP="00835614">
      <w:pPr>
        <w:pStyle w:val="NormalHanging12a"/>
      </w:pPr>
      <w:r w:rsidRPr="00902C1D">
        <w:t>–</w:t>
      </w:r>
      <w:r w:rsidRPr="00902C1D">
        <w:tab/>
        <w:t xml:space="preserve">Tendo em conta a Comunicação da Comissão, de 2 de dezembro de 2020, intitulada «Estratégia para reforçar a aplicação da Carta dos Direitos Fundamentais na UE» </w:t>
      </w:r>
      <w:r w:rsidRPr="00902C1D">
        <w:lastRenderedPageBreak/>
        <w:t>(</w:t>
      </w:r>
      <w:proofErr w:type="gramStart"/>
      <w:r w:rsidRPr="00902C1D">
        <w:t>COM(</w:t>
      </w:r>
      <w:proofErr w:type="gramEnd"/>
      <w:r w:rsidRPr="00902C1D">
        <w:t>2020)0711),</w:t>
      </w:r>
    </w:p>
    <w:p w:rsidR="00835614" w:rsidRPr="00902C1D" w:rsidRDefault="00835614" w:rsidP="00835614">
      <w:pPr>
        <w:pStyle w:val="NormalHanging12a"/>
      </w:pPr>
      <w:r w:rsidRPr="00902C1D">
        <w:t>–</w:t>
      </w:r>
      <w:r w:rsidRPr="00902C1D">
        <w:tab/>
        <w:t>Tendo em conta a Comunicação da Comissão, de 18 de setembro de 2020, intitulada «Uma União da igualdade: plano de ação da UE contra o racismo 2020</w:t>
      </w:r>
      <w:r w:rsidRPr="00902C1D">
        <w:noBreakHyphen/>
        <w:t>2025» (COM</w:t>
      </w:r>
      <w:bookmarkStart w:id="8" w:name="_GoBack"/>
      <w:bookmarkEnd w:id="8"/>
      <w:r w:rsidRPr="00902C1D">
        <w:t>(2020)0565),</w:t>
      </w:r>
    </w:p>
    <w:p w:rsidR="00835614" w:rsidRPr="00902C1D" w:rsidRDefault="00835614" w:rsidP="00835614">
      <w:pPr>
        <w:pStyle w:val="NormalHanging12a"/>
      </w:pPr>
      <w:r w:rsidRPr="00902C1D">
        <w:t>–</w:t>
      </w:r>
      <w:r w:rsidRPr="00902C1D">
        <w:tab/>
        <w:t>Tendo em conta a Comunicação da Comissão, de 12 de novembro de 2020, intitulada «União da Igualdade: Estratégia para a igualdade de tratamento das pessoas LGBTIQ 2020</w:t>
      </w:r>
      <w:r w:rsidRPr="00902C1D">
        <w:noBreakHyphen/>
        <w:t>2025» (</w:t>
      </w:r>
      <w:proofErr w:type="gramStart"/>
      <w:r w:rsidRPr="00902C1D">
        <w:t>COM(</w:t>
      </w:r>
      <w:proofErr w:type="gramEnd"/>
      <w:r w:rsidRPr="00902C1D">
        <w:t>2020)0698),</w:t>
      </w:r>
    </w:p>
    <w:p w:rsidR="00835614" w:rsidRPr="00902C1D" w:rsidRDefault="00835614" w:rsidP="00835614">
      <w:pPr>
        <w:pStyle w:val="NormalHanging12a"/>
      </w:pPr>
      <w:r w:rsidRPr="00902C1D">
        <w:t>–</w:t>
      </w:r>
      <w:r w:rsidRPr="00902C1D">
        <w:tab/>
        <w:t>Tendo em conta a Comunicação da Comissão, de 5 de março de 2020, intitulada «Uma União da Igualdade: Estratégia para a Igualdade de Género 2020</w:t>
      </w:r>
      <w:r w:rsidRPr="00902C1D">
        <w:noBreakHyphen/>
        <w:t>2025» (</w:t>
      </w:r>
      <w:proofErr w:type="gramStart"/>
      <w:r w:rsidRPr="00902C1D">
        <w:t>COM(</w:t>
      </w:r>
      <w:proofErr w:type="gramEnd"/>
      <w:r w:rsidRPr="00902C1D">
        <w:t>2020)0152),</w:t>
      </w:r>
    </w:p>
    <w:p w:rsidR="00835614" w:rsidRPr="00902C1D" w:rsidRDefault="00835614" w:rsidP="00835614">
      <w:pPr>
        <w:pStyle w:val="NormalHanging12a"/>
      </w:pPr>
      <w:r w:rsidRPr="00902C1D">
        <w:t>–</w:t>
      </w:r>
      <w:r w:rsidRPr="00902C1D">
        <w:tab/>
        <w:t>Tendo em conta a Comunicação da Comissão, de 5 de outubro de 2021, intitulada «Estratégia da UE para combater o antissemitismo e apoiar a vida judaica (2021</w:t>
      </w:r>
      <w:r w:rsidRPr="00902C1D">
        <w:noBreakHyphen/>
        <w:t>2030)» (</w:t>
      </w:r>
      <w:proofErr w:type="gramStart"/>
      <w:r w:rsidRPr="00902C1D">
        <w:t>COM(</w:t>
      </w:r>
      <w:proofErr w:type="gramEnd"/>
      <w:r w:rsidRPr="00902C1D">
        <w:t>2021)0615),</w:t>
      </w:r>
    </w:p>
    <w:p w:rsidR="00835614" w:rsidRPr="00902C1D" w:rsidRDefault="00835614" w:rsidP="00835614">
      <w:pPr>
        <w:pStyle w:val="NormalHanging12a"/>
        <w:rPr>
          <w:b/>
          <w:i/>
        </w:rPr>
      </w:pPr>
      <w:r w:rsidRPr="00902C1D">
        <w:t>–</w:t>
      </w:r>
      <w:r w:rsidRPr="00902C1D">
        <w:rPr>
          <w:b/>
          <w:i/>
        </w:rPr>
        <w:tab/>
      </w:r>
      <w:r w:rsidRPr="00902C1D">
        <w:t>Tendo em conta a Comunicação da Comissão, de 7 de outubro de 2020, intitulada «Uma União da igualdade: Quadro estratégico da UE para a igualdade, a inclusão e a participação dos ciganos (</w:t>
      </w:r>
      <w:proofErr w:type="gramStart"/>
      <w:r w:rsidRPr="00902C1D">
        <w:t>COM(</w:t>
      </w:r>
      <w:proofErr w:type="gramEnd"/>
      <w:r w:rsidRPr="00902C1D">
        <w:t>2020)0620),</w:t>
      </w:r>
    </w:p>
    <w:p w:rsidR="00835614" w:rsidRPr="00902C1D" w:rsidRDefault="00835614" w:rsidP="00835614">
      <w:pPr>
        <w:pStyle w:val="NormalHanging12a"/>
      </w:pPr>
      <w:r w:rsidRPr="00902C1D">
        <w:t>–</w:t>
      </w:r>
      <w:r w:rsidRPr="00902C1D">
        <w:tab/>
        <w:t>Tendo em conta a Comunicação da Comissão, de 24 de março de 2021, intitulada «Estratégia da UE sobre os direitos da criança» (</w:t>
      </w:r>
      <w:proofErr w:type="gramStart"/>
      <w:r w:rsidRPr="00902C1D">
        <w:t>COM(</w:t>
      </w:r>
      <w:proofErr w:type="gramEnd"/>
      <w:r w:rsidRPr="00902C1D">
        <w:t>2021)0142),</w:t>
      </w:r>
    </w:p>
    <w:p w:rsidR="00835614" w:rsidRPr="00902C1D" w:rsidRDefault="00835614" w:rsidP="00835614">
      <w:pPr>
        <w:pStyle w:val="NormalHanging12a"/>
      </w:pPr>
      <w:r w:rsidRPr="00902C1D">
        <w:t>–</w:t>
      </w:r>
      <w:r w:rsidRPr="00902C1D">
        <w:tab/>
        <w:t>Tendo em conta o artigo 54.º do seu Regimento, bem como o artigo 1.º, n.º 1, alínea e), e o anexo 3 da Decisão da Conferência dos Presidentes, de 12 de dezembro de 2002, sobre o processo de autorização para elaborar relatórios de iniciativa,</w:t>
      </w:r>
    </w:p>
    <w:p w:rsidR="00835614" w:rsidRPr="00902C1D" w:rsidRDefault="00835614" w:rsidP="00835614">
      <w:pPr>
        <w:pStyle w:val="NormalHanging12a"/>
      </w:pPr>
      <w:r w:rsidRPr="00902C1D">
        <w:t>–</w:t>
      </w:r>
      <w:r w:rsidRPr="00902C1D">
        <w:tab/>
        <w:t>Tendo em conta o relatório da Comissão da Cultura e da Educação (A9</w:t>
      </w:r>
      <w:r w:rsidRPr="00902C1D">
        <w:noBreakHyphen/>
        <w:t>0392/2023),</w:t>
      </w:r>
    </w:p>
    <w:p w:rsidR="00835614" w:rsidRPr="00902C1D" w:rsidRDefault="00835614" w:rsidP="00835614">
      <w:pPr>
        <w:pStyle w:val="NormalHanging12a"/>
      </w:pPr>
      <w:r w:rsidRPr="00902C1D">
        <w:t>A.</w:t>
      </w:r>
      <w:r w:rsidRPr="00902C1D">
        <w:tab/>
        <w:t>Considerando que a participação ativa na vida política e cultural é um direito fundamental que deve ser igualmente acessível a todos</w:t>
      </w:r>
      <w:r w:rsidR="005222A9" w:rsidRPr="00902C1D">
        <w:t>; considerando que</w:t>
      </w:r>
      <w:r w:rsidRPr="00902C1D">
        <w:t xml:space="preserve"> a Declaração Universal dos Direitos Humanos prevê o direito de participar no governo e em eleições livres, o direito de participar na vida cultural da comunidade e o direito de reunião e associação pacíficas, permitindo a plena participação na sociedade;</w:t>
      </w:r>
    </w:p>
    <w:p w:rsidR="00835614" w:rsidRPr="00902C1D" w:rsidRDefault="00835614" w:rsidP="00835614">
      <w:pPr>
        <w:pStyle w:val="NormalHanging12a"/>
        <w:rPr>
          <w:szCs w:val="24"/>
        </w:rPr>
      </w:pPr>
      <w:r w:rsidRPr="00902C1D">
        <w:t>B.</w:t>
      </w:r>
      <w:r w:rsidRPr="00902C1D">
        <w:tab/>
        <w:t>Considerando que a cidadania da União confere às pessoas vários direitos, em particular o direito de apresentarem petições ao Parlamento sobre qualquer questão da responsabilidade da UE, o direito de apresentarem junto do Provedor de Justiça Europeu alegados casos de má administração por parte de qualquer instituição da UE, o direito de escreverem a qualquer instituição da UE numa das línguas oficiais da UE e de receberem uma resposta na mesma língua e o direito de acesso aos documentos do Parlamento, do Conselho e da Comissão em conformidade com os regras da UE aplicáveis;</w:t>
      </w:r>
    </w:p>
    <w:p w:rsidR="00835614" w:rsidRPr="00902C1D" w:rsidRDefault="00835614" w:rsidP="00835614">
      <w:pPr>
        <w:pStyle w:val="NormalHanging12a"/>
        <w:rPr>
          <w:szCs w:val="24"/>
        </w:rPr>
      </w:pPr>
      <w:r w:rsidRPr="00902C1D">
        <w:t>C.</w:t>
      </w:r>
      <w:r w:rsidRPr="00902C1D">
        <w:tab/>
        <w:t>Considerando que os desafios sistémicos atuais e emergentes, como a crise climática, as pandemias mundiais, a transição digital e as desigualdades sociais, exigem a adaptação de estruturas e abordagens que assegurem uma participação ativa dos cidadãos na sociedade</w:t>
      </w:r>
      <w:r w:rsidR="005222A9" w:rsidRPr="00902C1D">
        <w:t>; considerando que</w:t>
      </w:r>
      <w:r w:rsidRPr="00902C1D">
        <w:t xml:space="preserve"> a participação digital ativa dos cidadãos deve ter em conta e colmatar o fosso digital entre as gerações e grupos sociais, bem como entre zonas urbanas com boas ligações e zonas rurais e remotas, melhorando simultaneamente a </w:t>
      </w:r>
      <w:r w:rsidRPr="00902C1D">
        <w:lastRenderedPageBreak/>
        <w:t>literacia digital geral;</w:t>
      </w:r>
    </w:p>
    <w:p w:rsidR="00835614" w:rsidRPr="00902C1D" w:rsidRDefault="00835614" w:rsidP="00835614">
      <w:pPr>
        <w:pStyle w:val="NormalHanging12a"/>
        <w:rPr>
          <w:szCs w:val="24"/>
        </w:rPr>
      </w:pPr>
      <w:r w:rsidRPr="00902C1D">
        <w:t>D.</w:t>
      </w:r>
      <w:r w:rsidRPr="00902C1D">
        <w:tab/>
        <w:t>Considerando que os programas da UE que promovem a participação cívica, os direitos e os valores, o sentimento de pertença e o aumento das competências sociocívicas e do pensamento crítico são mais importantes do que nunca;</w:t>
      </w:r>
    </w:p>
    <w:p w:rsidR="00835614" w:rsidRPr="00902C1D" w:rsidRDefault="00835614" w:rsidP="00835614">
      <w:pPr>
        <w:pStyle w:val="NormalHanging12a"/>
        <w:rPr>
          <w:szCs w:val="24"/>
        </w:rPr>
      </w:pPr>
      <w:r w:rsidRPr="00902C1D">
        <w:t>E.</w:t>
      </w:r>
      <w:r w:rsidRPr="00902C1D">
        <w:tab/>
        <w:t>Considerando que a participação dos cidadãos deve ser entendida como um processo a vários níveis, abrangendo processos locais, regionais, nacionais, europeus e globais, através dos quais as pessoas adquirem consciência e conhecimentos e exprimem as suas opiniões, participando e influenciando as decisões que afetam as suas vidas</w:t>
      </w:r>
      <w:r w:rsidR="005222A9" w:rsidRPr="00902C1D">
        <w:t>; considerando que</w:t>
      </w:r>
      <w:r w:rsidRPr="00902C1D">
        <w:t xml:space="preserve"> os participantes das zonas rurais e remotas devem ser incentivados a participar no programa</w:t>
      </w:r>
      <w:r w:rsidR="005222A9" w:rsidRPr="00902C1D">
        <w:t>; considerando que</w:t>
      </w:r>
      <w:r w:rsidRPr="00902C1D">
        <w:t xml:space="preserve"> o processo de globalização e a integração europeia em curso exigirão que a nova geração de europeus participe cada vez mais na política a vários níveis, para ser capaz de viver e trabalhar no estrangeiro, bem como de lidar com a diferença na sua vida quotidiana</w:t>
      </w:r>
      <w:r w:rsidR="005222A9" w:rsidRPr="00902C1D">
        <w:t>; considerando que</w:t>
      </w:r>
      <w:r w:rsidRPr="00902C1D">
        <w:t xml:space="preserve"> as sociedades se estão a tornar mais diversificadas, levando a que o respeito pela dignidade humana, pela diversidade de culturas e origens e o repúdio de todas as formas de discriminação das mulheres, das pessoas LGTBIQ+, das minorias étnicas e outros grupos marginalizados sejam cada vez mais importantes na Europa;</w:t>
      </w:r>
    </w:p>
    <w:p w:rsidR="00835614" w:rsidRPr="00902C1D" w:rsidRDefault="00835614" w:rsidP="00835614">
      <w:pPr>
        <w:pStyle w:val="NormalHanging12a"/>
        <w:rPr>
          <w:szCs w:val="24"/>
        </w:rPr>
      </w:pPr>
      <w:r w:rsidRPr="00902C1D">
        <w:t>F.</w:t>
      </w:r>
      <w:r w:rsidRPr="00902C1D">
        <w:tab/>
        <w:t>Considerando que as mudanças sociopolíticas observadas nos Estados‑Membros, desde a polarização social e a baixa confiança nas instituições até ao retrocesso democrático, à erosão do Estado de direito, à redução da área de manobra da sociedade civil, ao nacionalismo de exclusão e à instrumentalização do euroceticismo para fins políticos, juntamente com o aumento dos movimentos extremistas e do autoritarismo, o entrismo dos fundamentalismos religiosos, bem como as campanhas de desinformação e a informação errónea, podem constituir uma séria ameaça para as democracias europeias e desestabilizar a União no seu conjunto</w:t>
      </w:r>
      <w:r w:rsidR="005222A9" w:rsidRPr="00902C1D">
        <w:t>; considerando que</w:t>
      </w:r>
      <w:r w:rsidRPr="00902C1D">
        <w:t xml:space="preserve"> o reforço da participação e do envolvimento ativos dos cidadãos através do ensino formal, não formal, informal e da aprendizagem ao longo da vida desempenha um papel fundamental na luta contra esta tendência;</w:t>
      </w:r>
    </w:p>
    <w:p w:rsidR="00835614" w:rsidRPr="00902C1D" w:rsidRDefault="00835614" w:rsidP="00835614">
      <w:pPr>
        <w:pStyle w:val="NormalHanging12a"/>
        <w:rPr>
          <w:szCs w:val="24"/>
        </w:rPr>
      </w:pPr>
      <w:r w:rsidRPr="00902C1D">
        <w:t>G.</w:t>
      </w:r>
      <w:r w:rsidRPr="00902C1D">
        <w:tab/>
        <w:t>Considerando que a emergência de uma cidadania europeia tem sido dificultada por um défice de conhecimentos e um défice emocional, que está frequentemente relacionada com perceções erradas da UE e que, por conseguinte, deve ser acompanhada e reforçada por um conjunto de mecanismos que permitam a participação dos cidadãos e o diálogo intercultural</w:t>
      </w:r>
      <w:r w:rsidR="005222A9" w:rsidRPr="00902C1D">
        <w:t>; considerando que</w:t>
      </w:r>
      <w:r w:rsidRPr="00902C1D">
        <w:t xml:space="preserve"> uma melhor compreensão da nossa História europeia comum e um maior envolvimento dos cidadãos na vida social e política podem ter um impacto benéfico numa identidade europeia emergente que complemente as múltiplas identidades locais, regionais, nacionais, geográficas, culturais ou outras dos cidadãos</w:t>
      </w:r>
      <w:r w:rsidR="005222A9" w:rsidRPr="00902C1D">
        <w:t>; considerando que</w:t>
      </w:r>
      <w:r w:rsidRPr="00902C1D">
        <w:t xml:space="preserve"> a participação ativa dos cidadãos e o diálogo estão interligados com a dimensão europeia da educação para a cidadania e podem contribuir eficazmente para a criação de uma cidadania europeia com direitos e obrigações claros;</w:t>
      </w:r>
    </w:p>
    <w:p w:rsidR="00835614" w:rsidRPr="00902C1D" w:rsidRDefault="00835614" w:rsidP="00835614">
      <w:pPr>
        <w:pStyle w:val="NormalHanging12a"/>
      </w:pPr>
      <w:proofErr w:type="gramStart"/>
      <w:r w:rsidRPr="00902C1D">
        <w:t>H.</w:t>
      </w:r>
      <w:r w:rsidRPr="00902C1D">
        <w:tab/>
        <w:t>Considerando</w:t>
      </w:r>
      <w:proofErr w:type="gramEnd"/>
      <w:r w:rsidRPr="00902C1D">
        <w:t xml:space="preserve"> que um envolvimento insuficiente dos cidadãos, um conhecimento limitado sobre a UE e uma má compreensão da sua mais‑valia podem contribuir para a perceção de um défice democrático e conduzir ao euroceticismo nos Estados‑Membros;</w:t>
      </w:r>
    </w:p>
    <w:p w:rsidR="00835614" w:rsidRPr="00902C1D" w:rsidRDefault="00835614" w:rsidP="00835614">
      <w:pPr>
        <w:pStyle w:val="NormalHanging12a"/>
      </w:pPr>
      <w:r w:rsidRPr="00902C1D">
        <w:t>I.</w:t>
      </w:r>
      <w:r w:rsidRPr="00902C1D">
        <w:tab/>
        <w:t xml:space="preserve">Considerando que a redução do espaço cívico na União Europeia e noutros países participantes no programa está a afetar a participação democrática e a capacidade das organizações da sociedade civil de agirem como fator de equilíbrio de poderes no que </w:t>
      </w:r>
      <w:r w:rsidRPr="00902C1D">
        <w:lastRenderedPageBreak/>
        <w:t>diz respeito ao Estado de direito</w:t>
      </w:r>
      <w:r w:rsidR="005222A9" w:rsidRPr="00902C1D">
        <w:t>; considerando que</w:t>
      </w:r>
      <w:r w:rsidRPr="00902C1D">
        <w:t xml:space="preserve"> as ações destinadas a apoiar e permitir a participação da sociedade civil, incluindo as organizações formadas por minorias e as organizações de base que têm um longo historial e uma experiência significativa, são fundamentais para a defesa da democracia, do Estado de direito e dos direitos humanos nos Estados‑Membros;</w:t>
      </w:r>
    </w:p>
    <w:p w:rsidR="00835614" w:rsidRPr="00902C1D" w:rsidRDefault="00835614" w:rsidP="00835614">
      <w:pPr>
        <w:pStyle w:val="NormalHanging12a"/>
        <w:rPr>
          <w:b/>
          <w:i/>
        </w:rPr>
      </w:pPr>
      <w:proofErr w:type="gramStart"/>
      <w:r w:rsidRPr="00902C1D">
        <w:t>J.</w:t>
      </w:r>
      <w:r w:rsidRPr="00902C1D">
        <w:tab/>
        <w:t>Considerando</w:t>
      </w:r>
      <w:proofErr w:type="gramEnd"/>
      <w:r w:rsidRPr="00902C1D">
        <w:t xml:space="preserve"> que as organizações da sociedade civil constituídas por minorias são fundamentais para a autorrepresentação e a participação cívica das pessoas de grupos minoritários, especialmente para os grupos que não dispõem de outras vias formais de representação política;</w:t>
      </w:r>
    </w:p>
    <w:p w:rsidR="00835614" w:rsidRPr="00902C1D" w:rsidRDefault="00835614" w:rsidP="00835614">
      <w:pPr>
        <w:pStyle w:val="NormalHanging12a"/>
      </w:pPr>
      <w:r w:rsidRPr="00902C1D">
        <w:t>K.</w:t>
      </w:r>
      <w:r w:rsidRPr="00902C1D">
        <w:tab/>
        <w:t>Considerando que, em 2020, havia mais de 22 milhões de nacionais de países terceiros a residir na UE</w:t>
      </w:r>
      <w:r w:rsidR="005222A9" w:rsidRPr="00902C1D">
        <w:t>; considerando que</w:t>
      </w:r>
      <w:r w:rsidRPr="00902C1D">
        <w:t xml:space="preserve"> estes grupos não têm acesso a atividades políticas formais, o que implica que a vida de milhões de pessoas seja afetada por decisões tomadas sem o seu envolvimento ou contributo</w:t>
      </w:r>
      <w:r w:rsidR="005222A9" w:rsidRPr="00902C1D">
        <w:t>; considerando que</w:t>
      </w:r>
      <w:r w:rsidRPr="00902C1D">
        <w:t xml:space="preserve"> esta situação representa um défice democrático fundamental na UE a todos os níveis e um desafio para a elaboração de políticas e programas sustentáveis, equitativos e eficazes, que o respeito pelos direitos humanos relacionados com a participação política e pública dos cidadãos de países terceiros desempenha um papel crucial na promoção da governação democrática, do Estado de direito, da inclusão social, do desenvolvimento económico e da eliminação da marginalização e da discriminação na UE;</w:t>
      </w:r>
    </w:p>
    <w:p w:rsidR="00835614" w:rsidRPr="00902C1D" w:rsidRDefault="00835614" w:rsidP="00835614">
      <w:pPr>
        <w:pStyle w:val="NormalHanging12a"/>
        <w:ind w:left="0" w:firstLine="0"/>
        <w:rPr>
          <w:i/>
        </w:rPr>
      </w:pPr>
      <w:r w:rsidRPr="00902C1D">
        <w:rPr>
          <w:b/>
          <w:i/>
        </w:rPr>
        <w:t>As fases iniciais da execução do programa Cidadãos, Igualdade, Direitos e Valores (2021</w:t>
      </w:r>
      <w:r w:rsidRPr="00902C1D">
        <w:rPr>
          <w:b/>
          <w:i/>
        </w:rPr>
        <w:noBreakHyphen/>
        <w:t xml:space="preserve">2027): Vertente 3 </w:t>
      </w:r>
      <w:r w:rsidR="00653348" w:rsidRPr="00902C1D">
        <w:rPr>
          <w:b/>
          <w:i/>
        </w:rPr>
        <w:t xml:space="preserve">– </w:t>
      </w:r>
      <w:r w:rsidRPr="00902C1D">
        <w:rPr>
          <w:b/>
          <w:i/>
        </w:rPr>
        <w:t>Envolvimento dos cidadãos</w:t>
      </w:r>
    </w:p>
    <w:p w:rsidR="00835614" w:rsidRPr="00902C1D" w:rsidRDefault="00835614" w:rsidP="00835614">
      <w:pPr>
        <w:pStyle w:val="NormalHanging12a"/>
        <w:rPr>
          <w:szCs w:val="24"/>
        </w:rPr>
      </w:pPr>
      <w:r w:rsidRPr="00902C1D">
        <w:t>1.</w:t>
      </w:r>
      <w:r w:rsidRPr="00902C1D">
        <w:tab/>
        <w:t>Está firmemente convicto de que o programa Cidadãos, Igualdade, Direitos e Valores (CIDV) dá um contributo único para o reforço da participação cívica do ponto de vista dos direitos fundamentais, conjugando, de forma eficaz, valores, diálogo civil e cidadania e promovendo, simultaneamente, a igualdade social e de género, a diversidade através do apoio à preservação do património regional, a consciência histórica e a luta contra a discriminação e a violência; considera que o programa CIDV é essencial para o futuro da UE e para fazer face a desafios sociopolíticos, como o défice de conhecimentos, o euroceticismo, a redução do espaço cívico e a erosão do Estado de direito em toda a Europa; incentiva o programa a apoiar ações destinadas a reforçar a resiliência das organizações da sociedade civil, nomeadamente as que se dedicam ao Estado de direito e aos valores da UE;</w:t>
      </w:r>
    </w:p>
    <w:p w:rsidR="00835614" w:rsidRPr="00902C1D" w:rsidRDefault="00835614" w:rsidP="00835614">
      <w:pPr>
        <w:pStyle w:val="NormalHanging12a"/>
      </w:pPr>
      <w:proofErr w:type="gramStart"/>
      <w:r w:rsidRPr="00902C1D">
        <w:t>2.</w:t>
      </w:r>
      <w:r w:rsidRPr="00902C1D">
        <w:tab/>
        <w:t>Recorda</w:t>
      </w:r>
      <w:proofErr w:type="gramEnd"/>
      <w:r w:rsidRPr="00902C1D">
        <w:t xml:space="preserve"> que a execução do programa CIDV ainda se encontra numa fase inicial, uma vez que o regulamento que cria o programa só foi adotado em 2021; salienta que, por este motivo, apenas alguns projetos da vertente 3 foram concluídos e que existe pouca informação proveniente dos beneficiários que permita uma avaliação rigorosa dos resultados;</w:t>
      </w:r>
    </w:p>
    <w:p w:rsidR="00835614" w:rsidRPr="00902C1D" w:rsidRDefault="00835614" w:rsidP="00835614">
      <w:pPr>
        <w:pStyle w:val="NormalHanging12a"/>
        <w:rPr>
          <w:szCs w:val="24"/>
        </w:rPr>
      </w:pPr>
      <w:r w:rsidRPr="00902C1D">
        <w:t>3.</w:t>
      </w:r>
      <w:r w:rsidRPr="00902C1D">
        <w:tab/>
        <w:t xml:space="preserve">Insta a Comissão a dar prioridade à recolha de dados sobre o programa CIDV, em particular sobre os grupos desfavorecidos, incluindo as comunidades marginalizadas, as minorias e as populações vulneráveis, a fim de dar resposta aos seus desafios únicos e promover a investigação das suas experiências; insiste na necessidade de estabelecer mecanismos sólidos de acompanhamento e avaliação; sublinha que esta abordagem será útil para fundamentar o desenvolvimento de políticas, assegurando a participação significativa dos grupos desfavorecidos em iniciativas de participação cívica e elevar as suas vozes, bem como para criar um programa mais inclusivo e equitativo, assegurando </w:t>
      </w:r>
      <w:r w:rsidRPr="00902C1D">
        <w:lastRenderedPageBreak/>
        <w:t>simultaneamente melhores avaliações futuras em geral;</w:t>
      </w:r>
    </w:p>
    <w:p w:rsidR="00835614" w:rsidRPr="00902C1D" w:rsidRDefault="00835614" w:rsidP="00835614">
      <w:pPr>
        <w:pStyle w:val="NormalHanging12a"/>
        <w:rPr>
          <w:szCs w:val="24"/>
        </w:rPr>
      </w:pPr>
      <w:r w:rsidRPr="00902C1D">
        <w:t>4.</w:t>
      </w:r>
      <w:r w:rsidRPr="00902C1D">
        <w:tab/>
        <w:t>Sublinha que o programa enfrentou vários desafios que dificultaram as fases iniciais da sua execução, muitos dos quais foram fatores externos, como a pandemia de COVID</w:t>
      </w:r>
      <w:r w:rsidRPr="00902C1D">
        <w:noBreakHyphen/>
        <w:t>19 e a guerra de agressão da Rússia contra a Ucrânia, e que estes perturbaram e comprometeram os direitos e a participação dos cidadãos na democracia; observa, no entanto, que, após um início lento, a sua execução foi intensificada e, atualmente, o programa está a funcionar bem; Salienta, ademais, que devem ser organizadas campanhas de sensibilização para chegar a um público mais alargado, especialmente das zonas rurais;</w:t>
      </w:r>
    </w:p>
    <w:p w:rsidR="00835614" w:rsidRPr="00902C1D" w:rsidRDefault="00835614" w:rsidP="00835614">
      <w:pPr>
        <w:pStyle w:val="NormalHanging12a"/>
        <w:rPr>
          <w:szCs w:val="24"/>
        </w:rPr>
      </w:pPr>
      <w:r w:rsidRPr="00902C1D">
        <w:t>5.</w:t>
      </w:r>
      <w:r w:rsidRPr="00902C1D">
        <w:tab/>
        <w:t>Manifesta a sua preocupação pelo facto de a utilização e a introdução de novas ferramentas digitais para a execução dos fundos da UE (por exemplo, a ferramenta eGrants) parecerem ser uma questão fundamental para os beneficiários no que diz respeito ao desenvolvimento do programa; lamenta que procedimentos complexos tenham igualmente dificultado a participação de organizações de menor dimensão que não dispõem do tempo e dos recursos necessários para passar pelo processo de candidatura dentro dos prazos fixados; considera que a conceção destas ferramentas limita a capacidade de adaptação do programa a novos desenvolvimentos e à evolução das necessidades; insta à eliminação dos encargos administrativos e à simplificação dos processos de candidatura, contratação e comunicação de informações; sublinha que a simplificação dos requisitos administrativos inclui também um processo de candidatura mais eficiente e flexível para as organizações que assinaram acordos</w:t>
      </w:r>
      <w:r w:rsidRPr="00902C1D">
        <w:noBreakHyphen/>
        <w:t>quadro de parceria plurianuais, também para antecipar a evolução das políticas; salienta, além disso, a necessidade de tornar o portal de candidaturas mais fácil de utilizar, especialmente pelas organizações de pequena dimensão, e de assegurar que todos os documentos relacionados com o procedimento sejam traduzidos em todas as línguas da UE, a fim de alargar a participação de todos os Estados</w:t>
      </w:r>
      <w:r w:rsidRPr="00902C1D">
        <w:noBreakHyphen/>
        <w:t>Membros e assegurar a diversidade cultural;</w:t>
      </w:r>
    </w:p>
    <w:p w:rsidR="00835614" w:rsidRPr="00902C1D" w:rsidRDefault="00835614" w:rsidP="00835614">
      <w:pPr>
        <w:pStyle w:val="NormalHanging12a"/>
      </w:pPr>
      <w:proofErr w:type="gramStart"/>
      <w:r w:rsidRPr="00902C1D">
        <w:t>6.</w:t>
      </w:r>
      <w:r w:rsidRPr="00902C1D">
        <w:tab/>
        <w:t>Lamenta</w:t>
      </w:r>
      <w:proofErr w:type="gramEnd"/>
      <w:r w:rsidRPr="00902C1D">
        <w:t xml:space="preserve"> que os Estados‑Membros não sejam obrigados a criar um ponto de contacto nacional (PCN) do programa CIDV que ofereça aconselhamento neutro, informações úteis e apoio aos candidatos, às partes interessadas e aos beneficiários, incluindo assistência no processo de candidatura, partilhando, simultaneamente, informações fáceis de compreender sobre os resultados do programa; regista com pesar que apenas 20 Estados‑Membros dispusessem de PCN até junho de 2023;</w:t>
      </w:r>
    </w:p>
    <w:p w:rsidR="00835614" w:rsidRPr="00902C1D" w:rsidRDefault="00835614" w:rsidP="00835614">
      <w:pPr>
        <w:pStyle w:val="NormalHanging12a"/>
      </w:pPr>
      <w:proofErr w:type="gramStart"/>
      <w:r w:rsidRPr="00902C1D">
        <w:t>7.</w:t>
      </w:r>
      <w:r w:rsidRPr="00902C1D">
        <w:tab/>
        <w:t>Manifesta</w:t>
      </w:r>
      <w:proofErr w:type="gramEnd"/>
      <w:r w:rsidRPr="00902C1D">
        <w:t xml:space="preserve"> a sua profunda preocupação pelo facto de as atuais taxas de inflação estarem a afetar os custos de funcionamento suportados pelos beneficiários do CIDV; lamenta que os beneficiários enfrentem desafios na execução das suas atividades previstas, em particular no que diz respeito aos custos unitários de viagem, alojamento e ajudas de custo diárias, e que possam ter de reduzir algumas das atividades que inicialmente planearam para se manterem dentro do orçamento;</w:t>
      </w:r>
    </w:p>
    <w:p w:rsidR="00835614" w:rsidRPr="00902C1D" w:rsidRDefault="00835614" w:rsidP="00835614">
      <w:pPr>
        <w:pStyle w:val="NormalHanging12a"/>
        <w:rPr>
          <w:i/>
        </w:rPr>
      </w:pPr>
      <w:r w:rsidRPr="00902C1D">
        <w:rPr>
          <w:b/>
          <w:i/>
        </w:rPr>
        <w:t>Recomendações políticas para o futuro do programa CIDV</w:t>
      </w:r>
    </w:p>
    <w:p w:rsidR="00835614" w:rsidRPr="00902C1D" w:rsidRDefault="00835614" w:rsidP="00835614">
      <w:pPr>
        <w:pStyle w:val="NormalHanging12a"/>
      </w:pPr>
      <w:r w:rsidRPr="00902C1D">
        <w:t>8.</w:t>
      </w:r>
      <w:r w:rsidRPr="00902C1D">
        <w:tab/>
        <w:t xml:space="preserve">Insta a Comissão a criar o grupo de diálogo civil para assegurar um diálogo regular, aberto e transparente, a fim de reforçar o diálogo civil ao longo do programa, de modo a apoiar um processo bidirecional entre as instituições a todos os níveis e todas as partes interessadas relevantes, especialmente as OSC, e como parte da aplicação do artigo 11.º do Regulamento (UE) 2021/692, bem como a utilizar o diálogo civil como um instrumento de governação e a determinar as prioridades para o programa de trabalho de </w:t>
      </w:r>
      <w:r w:rsidRPr="00902C1D">
        <w:lastRenderedPageBreak/>
        <w:t>dois anos e a promover ainda mais a dimensão coletiva da participação cívica como uma dimensão crítica da democracia e do Estado de direito; recorda, a este respeito, que devem ser promovidas ações inovadoras de apoio ao diálogo com a sociedade civil, nomeadamente com vista a promover uma cultura de parceria baseada na confiança com os beneficiários de subvenções; solicita, em particular, ações de reforço das capacidades para apoiar a ampla participação da sociedade civil, designadamente através de ligações com outros regimes de financiamento concedidos através da gestão partilhada, como o instrumento de assistência técnica;</w:t>
      </w:r>
    </w:p>
    <w:p w:rsidR="00835614" w:rsidRPr="00902C1D" w:rsidRDefault="00835614" w:rsidP="00835614">
      <w:pPr>
        <w:pStyle w:val="NormalHanging12a"/>
        <w:rPr>
          <w:szCs w:val="24"/>
        </w:rPr>
      </w:pPr>
      <w:r w:rsidRPr="00902C1D">
        <w:t>9.</w:t>
      </w:r>
      <w:r w:rsidRPr="00902C1D">
        <w:tab/>
        <w:t>Recorda a necessidade de incentivar a participação ativa dos cidadãos, reforçando a dimensão europeia da educação para a cidadania, tanto nas atividades curriculares como nas atividades extracurriculares; salienta que uma verdadeira educação para a cidadania europeia pode informar e formar os cidadãos no espírito do empenhamento e da participação cívica e que orientações adequadas da UE podem ser um instrumento útil neste âmbito; realça a importância de incluir os cidadãos de países terceiros que vivem na UE e as suas organizações autogeridas no grupo</w:t>
      </w:r>
      <w:r w:rsidRPr="00902C1D">
        <w:noBreakHyphen/>
        <w:t>alvo do programa CIDV, que promoverá a governação democrática, o Estado de direito e a inclusão social;</w:t>
      </w:r>
    </w:p>
    <w:p w:rsidR="00835614" w:rsidRPr="00902C1D" w:rsidRDefault="00835614" w:rsidP="00835614">
      <w:pPr>
        <w:pStyle w:val="NormalHanging12a"/>
        <w:rPr>
          <w:szCs w:val="24"/>
        </w:rPr>
      </w:pPr>
      <w:r w:rsidRPr="00902C1D">
        <w:t>10.</w:t>
      </w:r>
      <w:r w:rsidRPr="00902C1D">
        <w:tab/>
        <w:t>Insta os Estados‑Membros que ainda não designaram PCN a fazê‑lo o mais rapidamente possível e insta a Comissão a continuar a trabalhar com a rede de PCN através de reuniões, ações de formação e intercâmbios específicos, uma vez que estes têm sido organizados com bastante êxito até à data; neste contexto, incentiva a Comissão, os Estados</w:t>
      </w:r>
      <w:r w:rsidRPr="00902C1D">
        <w:noBreakHyphen/>
        <w:t>Membros e os PCN a criarem uma rede europeia de PCN para facilitar a partilha de boas práticas e o intercâmbio de conhecimentos; além disso, incentiva a Comissão a criar uma rede de beneficiários do CERV para o intercâmbio de experiências e boas práticas, com vista a uma compreensão mais profunda das realidades locais e nacionais em toda a UE e fora dela;</w:t>
      </w:r>
    </w:p>
    <w:p w:rsidR="00835614" w:rsidRPr="00902C1D" w:rsidRDefault="00835614" w:rsidP="00835614">
      <w:pPr>
        <w:pStyle w:val="NormalHanging12a"/>
        <w:rPr>
          <w:szCs w:val="24"/>
        </w:rPr>
      </w:pPr>
      <w:r w:rsidRPr="00902C1D">
        <w:t>11.</w:t>
      </w:r>
      <w:r w:rsidRPr="00902C1D">
        <w:tab/>
        <w:t xml:space="preserve">Regista os resultados da introdução de diferentes tipos de mecanismos de concessão de novas subvenções no âmbito do programa CIDV, que têm sido muito encorajadores até à data; insta a uma análise qualitativa e quantitativa dos diferentes convites à concessão de novas subvenções, com vista à possível extensão da sua utilização às outras vertentes do programa CIDV, se for caso disso, e em particular à vertente 3, a fim de assegurar que o financiamento da UE chegue às OSC de base que têm um longo historial e uma experiência considerável; exorta a Comissão a simplificar ainda mais os procedimentos administrativos e os requisitos de concessão de novas subvenções, a fim de dar às organizações que se candidatem à concessão de uma nova subvenção mais flexibilidade em relação aos beneficiários de subsubvenções, garantindo normas adequadas em matéria de trabalho, cuidados de saúde e proteção social; considera que os requisitos de cofinanciamento poderão ser revistos com vista a adaptar as regras à situação do beneficiário, a fim de apoiar uma maior variedade de beneficiários, incluindo particulares e microestruturas, e domínios temáticos; insiste na importância de promover a utilização do programa no setor da educação em geral, nomeadamente por estudantes, professores, pessoal educativo e técnicos de juventude; sublinha que o financiamento concedido pelo programa CIDV no domínio dos direitos, da igualdade, dos valores e da participação cívica, para o qual outras fontes de financiamento são muito escassas ou inexistentes, deve abranger uma maior percentagem dos montantes das subvenções; insta a Comissão a assegurar que seja atribuído financiamento a estruturas que respeitem a Carta dos Direitos Fundamentais da União Europeia, por exemplo, através da criação de mecanismos de controlo, e que disponham de normas adequadas em matéria laboral, de cuidados de saúde e de proteção social; solicita uma </w:t>
      </w:r>
      <w:r w:rsidRPr="00902C1D">
        <w:lastRenderedPageBreak/>
        <w:t>avaliação dos mecanismos de concessão de novas subvenções, a fim de avaliar a sua eficácia e flexibilidade para chegar aos grupos de base e apoiar as organizações em países em que o espaço cívico esteja cada vez mais reduzido;</w:t>
      </w:r>
    </w:p>
    <w:p w:rsidR="00835614" w:rsidRPr="00902C1D" w:rsidRDefault="00835614" w:rsidP="00835614">
      <w:pPr>
        <w:pStyle w:val="NormalHanging12a"/>
        <w:rPr>
          <w:szCs w:val="24"/>
        </w:rPr>
      </w:pPr>
      <w:r w:rsidRPr="00902C1D">
        <w:t>12.</w:t>
      </w:r>
      <w:r w:rsidRPr="00902C1D">
        <w:tab/>
        <w:t xml:space="preserve">Insta a que o orçamento do programa seja aumentado para 2,6 mil milhões de EUR no próximo quadro financeiro plurianual (QFP), a fim de dar resposta à crescente procura de iniciativas de participação cívica e de participação democrática, e à criação de um mecanismo </w:t>
      </w:r>
      <w:r w:rsidRPr="00902C1D">
        <w:rPr>
          <w:i/>
          <w:iCs/>
        </w:rPr>
        <w:t>ad hoc</w:t>
      </w:r>
      <w:r w:rsidRPr="00902C1D">
        <w:t xml:space="preserve"> para a proteção dos defensores dos direitos humanos, semelhante aos mecanismos em vigor para os defensores dos direitos humanos fora da UE ou à proteção dos jornalistas, e, de um modo geral, para fazer face ao impacto da inflação nos custos dos programas, tendo igualmente em conta as conclusões da Conferência sobre o Futuro da Europa sobre a cidadania europeia e a educação, bem como a importância estratégica do programa CERV para a execução das prioridades da UE;</w:t>
      </w:r>
    </w:p>
    <w:p w:rsidR="00835614" w:rsidRPr="00902C1D" w:rsidRDefault="00835614" w:rsidP="00835614">
      <w:pPr>
        <w:pStyle w:val="NormalHanging12a"/>
        <w:rPr>
          <w:szCs w:val="24"/>
        </w:rPr>
      </w:pPr>
      <w:proofErr w:type="gramStart"/>
      <w:r w:rsidRPr="00902C1D">
        <w:t>13.</w:t>
      </w:r>
      <w:r w:rsidRPr="00902C1D">
        <w:tab/>
        <w:t>Salienta</w:t>
      </w:r>
      <w:proofErr w:type="gramEnd"/>
      <w:r w:rsidRPr="00902C1D">
        <w:t xml:space="preserve"> que a eficácia da comunicação e das atividades de sensibilização é essencial para o êxito do programa, pelo que deve ser dada prioridade ao envolvimento dos potenciais beneficiários, especialmente a nível local;</w:t>
      </w:r>
    </w:p>
    <w:p w:rsidR="00835614" w:rsidRPr="00902C1D" w:rsidRDefault="00835614" w:rsidP="00835614">
      <w:pPr>
        <w:pStyle w:val="NormalHanging12a"/>
        <w:rPr>
          <w:szCs w:val="24"/>
        </w:rPr>
      </w:pPr>
      <w:r w:rsidRPr="00902C1D">
        <w:t>14.</w:t>
      </w:r>
      <w:r w:rsidRPr="00902C1D">
        <w:tab/>
        <w:t>Reconhece que os intercâmbios e a participação em atividades no âmbito do programa CIDV são fundamentais para reforçar a capacidade das organizações da sociedade civil para a participação cívica e a promoção dos valores da UE em países terceiros; sublinha que a participação ativa e o empenho nos valores europeus não têm início com os acordos de adesão e são o resultado do trabalho de longa data de ativistas e organizações da sociedade civil para promover estas ideias e apoiar ativistas locais em países terceiros; incentiva a Comissão a facilitar a participação de cidadãos de países terceiros através do envolvimento de OSC de países terceiros nas atividades do programa CIDV; solicita, por conseguinte, que o programa CIDV cubra os custos de participação dos representantes da sociedade civil, pelo menos os dos países candidatos e associados, independentemente de o seu país estar ou não envolvido no programa CIDV; salienta a necessidade de dar resposta aos desafios associados à guerra na Ucrânia, incentivando projetos com parceiros ucranianos através de atividades de evocação da memória, de participação democrática e de recuperação do património cultural ucraniano;</w:t>
      </w:r>
    </w:p>
    <w:p w:rsidR="00835614" w:rsidRPr="00902C1D" w:rsidRDefault="00835614" w:rsidP="00835614">
      <w:pPr>
        <w:pStyle w:val="NormalHanging12a"/>
        <w:rPr>
          <w:szCs w:val="24"/>
        </w:rPr>
      </w:pPr>
      <w:r w:rsidRPr="00902C1D">
        <w:t>15.</w:t>
      </w:r>
      <w:r w:rsidRPr="00902C1D">
        <w:tab/>
        <w:t>Reitera o seu pedido para que a Comissão transforme o programa CIDV numa alavanca de ação no âmbito da consciência histórica europeia, apoiando ativamente estruturas que visem promover uma memória histórica crítica, por exemplo, através da investigação transnacional e da visita a lugares de memória, tanto dentro como fora da UE; denuncia, em particular, o revisionismo histórico e cultural; insta a Comissão e os Estados</w:t>
      </w:r>
      <w:r w:rsidRPr="00902C1D">
        <w:noBreakHyphen/>
        <w:t>Membros a prestarem especial atenção a questões societais sensíveis que possam ser objeto de uma eventual instrumentalização;</w:t>
      </w:r>
    </w:p>
    <w:p w:rsidR="00835614" w:rsidRPr="00902C1D" w:rsidRDefault="00835614" w:rsidP="00835614">
      <w:pPr>
        <w:pStyle w:val="NormalHanging12a"/>
        <w:rPr>
          <w:szCs w:val="24"/>
        </w:rPr>
      </w:pPr>
      <w:proofErr w:type="gramStart"/>
      <w:r w:rsidRPr="00902C1D">
        <w:t>16.</w:t>
      </w:r>
      <w:r w:rsidRPr="00902C1D">
        <w:tab/>
        <w:t>Insta</w:t>
      </w:r>
      <w:proofErr w:type="gramEnd"/>
      <w:r w:rsidRPr="00902C1D">
        <w:t xml:space="preserve"> a que o programa CIDV apoie a dinâmica emergente de ligar a geminação de cidades e as redes de cidades à geminação de estabelecimentos de ensino, o que poderá reforçar a dimensão europeia, o intercâmbio de boas práticas e o sentimento de pertença;</w:t>
      </w:r>
    </w:p>
    <w:p w:rsidR="00835614" w:rsidRPr="00902C1D" w:rsidRDefault="00835614" w:rsidP="00835614">
      <w:pPr>
        <w:pStyle w:val="NormalHanging12a"/>
      </w:pPr>
      <w:r w:rsidRPr="00902C1D">
        <w:t>17.</w:t>
      </w:r>
      <w:r w:rsidRPr="00902C1D">
        <w:tab/>
        <w:t>Exorta a Comissão a simplificar ainda mais os procedimentos administrativos das parcerias</w:t>
      </w:r>
      <w:r w:rsidRPr="00902C1D">
        <w:noBreakHyphen/>
        <w:t>quadro de quatro anos para as subvenções de funcionamento, em particular no que diz respeito às características específicas da ferramenta informática utilizada, que parece mais adequada à natureza das subvenções de ação;</w:t>
      </w:r>
    </w:p>
    <w:p w:rsidR="00363684" w:rsidRPr="00902C1D" w:rsidRDefault="00363684" w:rsidP="00363684">
      <w:pPr>
        <w:pStyle w:val="NormalHanging12a"/>
        <w:widowControl/>
        <w:ind w:left="0" w:firstLine="0"/>
        <w:jc w:val="center"/>
      </w:pPr>
      <w:r w:rsidRPr="00902C1D">
        <w:lastRenderedPageBreak/>
        <w:t>°</w:t>
      </w:r>
    </w:p>
    <w:p w:rsidR="00363684" w:rsidRPr="00902C1D" w:rsidRDefault="00363684" w:rsidP="00363684">
      <w:pPr>
        <w:pStyle w:val="NormalHanging12a"/>
        <w:widowControl/>
        <w:ind w:left="0" w:firstLine="0"/>
        <w:jc w:val="center"/>
      </w:pPr>
      <w:r w:rsidRPr="00902C1D">
        <w:t>°     °</w:t>
      </w:r>
    </w:p>
    <w:p w:rsidR="00835614" w:rsidRPr="00902C1D" w:rsidRDefault="00835614" w:rsidP="00835614">
      <w:pPr>
        <w:pStyle w:val="NormalHanging12a"/>
        <w:ind w:left="560" w:hanging="560"/>
      </w:pPr>
      <w:proofErr w:type="gramStart"/>
      <w:r w:rsidRPr="00902C1D">
        <w:t>18.</w:t>
      </w:r>
      <w:r w:rsidRPr="00902C1D">
        <w:tab/>
        <w:t>Encarrega</w:t>
      </w:r>
      <w:proofErr w:type="gramEnd"/>
      <w:r w:rsidRPr="00902C1D">
        <w:t xml:space="preserve"> a sua Presidente de transmitir a presente resolução </w:t>
      </w:r>
      <w:r w:rsidR="00AE73B3" w:rsidRPr="00902C1D">
        <w:t>ao Conselho e à Comissão.</w:t>
      </w:r>
    </w:p>
    <w:sectPr w:rsidR="00835614" w:rsidRPr="00902C1D" w:rsidSect="00AE73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7E6" w:rsidRPr="00AE73B3" w:rsidRDefault="006D07E6">
      <w:r w:rsidRPr="00AE73B3">
        <w:separator/>
      </w:r>
    </w:p>
  </w:endnote>
  <w:endnote w:type="continuationSeparator" w:id="0">
    <w:p w:rsidR="006D07E6" w:rsidRPr="00AE73B3" w:rsidRDefault="006D07E6">
      <w:r w:rsidRPr="00AE73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3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3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3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7E6" w:rsidRPr="00AE73B3" w:rsidRDefault="006D07E6">
      <w:r w:rsidRPr="00AE73B3">
        <w:separator/>
      </w:r>
    </w:p>
  </w:footnote>
  <w:footnote w:type="continuationSeparator" w:id="0">
    <w:p w:rsidR="006D07E6" w:rsidRPr="00AE73B3" w:rsidRDefault="006D07E6">
      <w:r w:rsidRPr="00AE73B3">
        <w:continuationSeparator/>
      </w:r>
    </w:p>
  </w:footnote>
  <w:footnote w:id="1">
    <w:p w:rsidR="00835614" w:rsidRPr="00902C1D" w:rsidRDefault="00835614" w:rsidP="00AE73B3">
      <w:pPr>
        <w:pStyle w:val="FootnoteText"/>
        <w:ind w:left="567" w:hanging="567"/>
        <w:rPr>
          <w:sz w:val="24"/>
          <w:u w:val="single" w:color="0000FF"/>
          <w:lang w:val="pt-PT"/>
        </w:rPr>
      </w:pPr>
      <w:r w:rsidRPr="00AE73B3">
        <w:rPr>
          <w:rStyle w:val="FootnoteReference"/>
          <w:sz w:val="24"/>
          <w:lang w:val="pt-PT"/>
        </w:rPr>
        <w:footnoteRef/>
      </w:r>
      <w:r w:rsidR="00AE73B3" w:rsidRPr="00AE73B3">
        <w:rPr>
          <w:sz w:val="24"/>
          <w:lang w:val="pt-PT"/>
        </w:rPr>
        <w:t xml:space="preserve"> </w:t>
      </w:r>
      <w:r w:rsidR="00AE73B3" w:rsidRPr="00AE73B3">
        <w:rPr>
          <w:sz w:val="24"/>
          <w:lang w:val="pt-PT"/>
        </w:rPr>
        <w:tab/>
      </w:r>
      <w:r w:rsidRPr="00AE73B3">
        <w:rPr>
          <w:sz w:val="24"/>
          <w:lang w:val="pt-PT"/>
        </w:rPr>
        <w:t>JO L 156 de 5.5.2021,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3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3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3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PT"/>
    <w:docVar w:name="dvnumam" w:val="0"/>
    <w:docVar w:name="dvpe" w:val="750.184"/>
    <w:docVar w:name="dvrapporteur" w:val="Relator: "/>
    <w:docVar w:name="dvtitre" w:val="Resolução do Parlamento Europeu, de ... de ... de 2024,_x000d__x000a_ sobre a execução do Programa Cidadãos, Igualdade, Direitos e Valores 2021-2027 - envolvimento e participação dos cidadãos(2023/2004(INI))"/>
  </w:docVars>
  <w:rsids>
    <w:rsidRoot w:val="006D07E6"/>
    <w:rsid w:val="00002272"/>
    <w:rsid w:val="00064002"/>
    <w:rsid w:val="000677B9"/>
    <w:rsid w:val="000831BA"/>
    <w:rsid w:val="000A42CC"/>
    <w:rsid w:val="000E7DD9"/>
    <w:rsid w:val="0010095E"/>
    <w:rsid w:val="00110707"/>
    <w:rsid w:val="00125B37"/>
    <w:rsid w:val="00132B8C"/>
    <w:rsid w:val="00187494"/>
    <w:rsid w:val="001F32AE"/>
    <w:rsid w:val="002767FF"/>
    <w:rsid w:val="002B18FE"/>
    <w:rsid w:val="002B5493"/>
    <w:rsid w:val="00343214"/>
    <w:rsid w:val="00361C00"/>
    <w:rsid w:val="00363684"/>
    <w:rsid w:val="00395FA1"/>
    <w:rsid w:val="003E15D4"/>
    <w:rsid w:val="00411CCE"/>
    <w:rsid w:val="0041666E"/>
    <w:rsid w:val="00421060"/>
    <w:rsid w:val="00471C19"/>
    <w:rsid w:val="004867E3"/>
    <w:rsid w:val="00494A28"/>
    <w:rsid w:val="004C0004"/>
    <w:rsid w:val="004C5D52"/>
    <w:rsid w:val="0050519A"/>
    <w:rsid w:val="005072A1"/>
    <w:rsid w:val="00514517"/>
    <w:rsid w:val="005222A9"/>
    <w:rsid w:val="00545827"/>
    <w:rsid w:val="00560270"/>
    <w:rsid w:val="005C2568"/>
    <w:rsid w:val="006037C0"/>
    <w:rsid w:val="00653348"/>
    <w:rsid w:val="006631B6"/>
    <w:rsid w:val="00680577"/>
    <w:rsid w:val="006D07E6"/>
    <w:rsid w:val="006F74FA"/>
    <w:rsid w:val="00731ADD"/>
    <w:rsid w:val="00734777"/>
    <w:rsid w:val="00747932"/>
    <w:rsid w:val="00751A4A"/>
    <w:rsid w:val="00756632"/>
    <w:rsid w:val="00762C74"/>
    <w:rsid w:val="00786EC0"/>
    <w:rsid w:val="007D1690"/>
    <w:rsid w:val="007E22AD"/>
    <w:rsid w:val="00817416"/>
    <w:rsid w:val="00835614"/>
    <w:rsid w:val="00842779"/>
    <w:rsid w:val="00865F67"/>
    <w:rsid w:val="00881A7B"/>
    <w:rsid w:val="008840E5"/>
    <w:rsid w:val="00887B3E"/>
    <w:rsid w:val="008C2AC6"/>
    <w:rsid w:val="00902C1D"/>
    <w:rsid w:val="00930C23"/>
    <w:rsid w:val="0093193B"/>
    <w:rsid w:val="009509D8"/>
    <w:rsid w:val="00950B64"/>
    <w:rsid w:val="00981893"/>
    <w:rsid w:val="00A1687D"/>
    <w:rsid w:val="00A43E52"/>
    <w:rsid w:val="00A4678D"/>
    <w:rsid w:val="00A778C7"/>
    <w:rsid w:val="00AB441E"/>
    <w:rsid w:val="00AB6293"/>
    <w:rsid w:val="00AE0928"/>
    <w:rsid w:val="00AE73B3"/>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427111-702C-4CA3-8C49-DC52E32E2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35614"/>
    <w:pPr>
      <w:spacing w:after="240"/>
      <w:ind w:left="567" w:hanging="567"/>
    </w:pPr>
  </w:style>
  <w:style w:type="paragraph" w:customStyle="1" w:styleId="EPComma">
    <w:name w:val="EPComma"/>
    <w:basedOn w:val="Normal"/>
    <w:rsid w:val="00835614"/>
    <w:pPr>
      <w:spacing w:before="480" w:after="240"/>
    </w:pPr>
  </w:style>
  <w:style w:type="character" w:customStyle="1" w:styleId="NormalHanging12aChar">
    <w:name w:val="NormalHanging12a Char"/>
    <w:basedOn w:val="DefaultParagraphFont"/>
    <w:link w:val="NormalHanging12a"/>
    <w:rsid w:val="00835614"/>
    <w:rPr>
      <w:sz w:val="24"/>
      <w:lang w:val="pt-PT"/>
    </w:rPr>
  </w:style>
  <w:style w:type="paragraph" w:styleId="BalloonText">
    <w:name w:val="Balloon Text"/>
    <w:basedOn w:val="Normal"/>
    <w:link w:val="BalloonTextChar"/>
    <w:rsid w:val="00132B8C"/>
    <w:rPr>
      <w:rFonts w:ascii="Segoe UI" w:hAnsi="Segoe UI" w:cs="Segoe UI"/>
      <w:sz w:val="18"/>
      <w:szCs w:val="18"/>
    </w:rPr>
  </w:style>
  <w:style w:type="character" w:customStyle="1" w:styleId="BalloonTextChar">
    <w:name w:val="Balloon Text Char"/>
    <w:basedOn w:val="DefaultParagraphFont"/>
    <w:link w:val="BalloonText"/>
    <w:rsid w:val="00132B8C"/>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D5F75-8C82-4890-9BEC-FE4EC06FB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3559</Words>
  <Characters>19550</Characters>
  <Application>Microsoft Office Word</Application>
  <DocSecurity>0</DocSecurity>
  <Lines>850</Lines>
  <Paragraphs>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2024-02-26T10:29:00Z</dcterms:created>
  <dcterms:modified xsi:type="dcterms:W3CDTF">2024-02-26T10:29:00Z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A9-0392/2023</vt:lpwstr>
  </property>
  <property fmtid="{D5CDD505-2E9C-101B-9397-08002B2CF9AE}" pid="4" name="&lt;Type&gt;">
    <vt:lpwstr>RR</vt:lpwstr>
  </property>
</Properties>
</file>