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0F0D" w:rsidTr="0010095E">
        <w:trPr>
          <w:trHeight w:hRule="exact" w:val="1418"/>
        </w:trPr>
        <w:tc>
          <w:tcPr>
            <w:tcW w:w="6804" w:type="dxa"/>
            <w:shd w:val="clear" w:color="auto" w:fill="auto"/>
            <w:vAlign w:val="center"/>
          </w:tcPr>
          <w:p w:rsidR="00751A4A" w:rsidRPr="00920F0D" w:rsidRDefault="002E5FA7" w:rsidP="0010095E">
            <w:pPr>
              <w:pStyle w:val="EPName"/>
            </w:pPr>
            <w:r>
              <w:t>Ev</w:t>
            </w:r>
            <w:bookmarkStart w:id="0" w:name="_GoBack"/>
            <w:bookmarkEnd w:id="0"/>
            <w:r w:rsidR="00DA160F" w:rsidRPr="00920F0D">
              <w:t>ropski parlament</w:t>
            </w:r>
          </w:p>
          <w:p w:rsidR="00751A4A" w:rsidRPr="00920F0D" w:rsidRDefault="00817416" w:rsidP="00756632">
            <w:pPr>
              <w:pStyle w:val="EPTerm"/>
              <w:rPr>
                <w:rStyle w:val="HideTWBExt"/>
                <w:noProof w:val="0"/>
                <w:vanish w:val="0"/>
                <w:color w:val="auto"/>
              </w:rPr>
            </w:pPr>
            <w:r w:rsidRPr="00920F0D">
              <w:t>2019-2024</w:t>
            </w:r>
          </w:p>
        </w:tc>
        <w:tc>
          <w:tcPr>
            <w:tcW w:w="2268" w:type="dxa"/>
            <w:shd w:val="clear" w:color="auto" w:fill="auto"/>
          </w:tcPr>
          <w:p w:rsidR="00751A4A" w:rsidRPr="00920F0D" w:rsidRDefault="00187494" w:rsidP="0010095E">
            <w:pPr>
              <w:pStyle w:val="EPLogo"/>
            </w:pPr>
            <w:r w:rsidRPr="00920F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0F0D" w:rsidRDefault="00D058B8" w:rsidP="004C5D52">
      <w:pPr>
        <w:pStyle w:val="LineTop"/>
      </w:pPr>
    </w:p>
    <w:p w:rsidR="00680577" w:rsidRPr="00920F0D" w:rsidRDefault="00DA160F" w:rsidP="00680577">
      <w:pPr>
        <w:pStyle w:val="EPBodyTA1"/>
      </w:pPr>
      <w:r w:rsidRPr="00920F0D">
        <w:t>SPREJETA BESEDILA</w:t>
      </w:r>
    </w:p>
    <w:p w:rsidR="00D058B8" w:rsidRPr="00920F0D" w:rsidRDefault="00D058B8" w:rsidP="00D058B8">
      <w:pPr>
        <w:pStyle w:val="LineBottom"/>
      </w:pPr>
    </w:p>
    <w:p w:rsidR="00DA160F" w:rsidRPr="00920F0D" w:rsidRDefault="00DA160F" w:rsidP="00920F0D">
      <w:pPr>
        <w:pStyle w:val="ATHeading1"/>
      </w:pPr>
      <w:bookmarkStart w:id="1" w:name="TANumber"/>
      <w:r w:rsidRPr="00920F0D">
        <w:t>P9_TA(2024)000</w:t>
      </w:r>
      <w:r w:rsidR="00920F0D" w:rsidRPr="00920F0D">
        <w:t>9</w:t>
      </w:r>
      <w:bookmarkEnd w:id="1"/>
    </w:p>
    <w:p w:rsidR="00DA160F" w:rsidRPr="00920F0D" w:rsidRDefault="00DA160F" w:rsidP="00DA160F">
      <w:pPr>
        <w:pStyle w:val="ATHeading2"/>
      </w:pPr>
      <w:bookmarkStart w:id="2" w:name="title"/>
      <w:r w:rsidRPr="00920F0D">
        <w:t>Izvajanje programa Državljani, enakost, pravice in vrednote za obdobje 2021–2027 – Udeležba in sodelovanje državljanov</w:t>
      </w:r>
      <w:bookmarkEnd w:id="2"/>
    </w:p>
    <w:p w:rsidR="00DA160F" w:rsidRPr="00920F0D" w:rsidRDefault="00DA160F" w:rsidP="00DA160F">
      <w:pPr>
        <w:rPr>
          <w:i/>
          <w:vanish/>
        </w:rPr>
      </w:pPr>
      <w:r w:rsidRPr="00920F0D">
        <w:rPr>
          <w:i/>
        </w:rPr>
        <w:fldChar w:fldCharType="begin"/>
      </w:r>
      <w:r w:rsidRPr="00920F0D">
        <w:rPr>
          <w:i/>
        </w:rPr>
        <w:instrText xml:space="preserve"> TC"(</w:instrText>
      </w:r>
      <w:bookmarkStart w:id="3" w:name="DocNumber"/>
      <w:r w:rsidRPr="00920F0D">
        <w:rPr>
          <w:i/>
        </w:rPr>
        <w:instrText>A9-0392/2023</w:instrText>
      </w:r>
      <w:bookmarkEnd w:id="3"/>
      <w:r w:rsidRPr="00920F0D">
        <w:rPr>
          <w:i/>
        </w:rPr>
        <w:instrText xml:space="preserve"> - Poročevalec: Łukasz Kohut)"\l3 \n&gt; \* MERGEFORMAT </w:instrText>
      </w:r>
      <w:r w:rsidRPr="00920F0D">
        <w:rPr>
          <w:i/>
        </w:rPr>
        <w:fldChar w:fldCharType="end"/>
      </w:r>
    </w:p>
    <w:p w:rsidR="00DA160F" w:rsidRPr="00920F0D" w:rsidRDefault="00DA160F" w:rsidP="00DA160F">
      <w:pPr>
        <w:rPr>
          <w:vanish/>
        </w:rPr>
      </w:pPr>
      <w:bookmarkStart w:id="4" w:name="Commission"/>
      <w:r w:rsidRPr="00920F0D">
        <w:rPr>
          <w:vanish/>
        </w:rPr>
        <w:t>Odbor za kulturo in izobraževanje</w:t>
      </w:r>
      <w:bookmarkEnd w:id="4"/>
    </w:p>
    <w:p w:rsidR="00DA160F" w:rsidRPr="00920F0D" w:rsidRDefault="00DA160F" w:rsidP="00DA160F">
      <w:pPr>
        <w:rPr>
          <w:vanish/>
        </w:rPr>
      </w:pPr>
      <w:bookmarkStart w:id="5" w:name="PE"/>
      <w:r w:rsidRPr="00920F0D">
        <w:rPr>
          <w:vanish/>
        </w:rPr>
        <w:t>PE750.184</w:t>
      </w:r>
      <w:bookmarkEnd w:id="5"/>
    </w:p>
    <w:p w:rsidR="00DA160F" w:rsidRPr="00920F0D" w:rsidRDefault="00DA160F" w:rsidP="00920F0D">
      <w:pPr>
        <w:pStyle w:val="ATHeading3"/>
      </w:pPr>
      <w:bookmarkStart w:id="6" w:name="Sujet"/>
      <w:r w:rsidRPr="00920F0D">
        <w:t xml:space="preserve">Resolucija Evropskega parlamenta z dne </w:t>
      </w:r>
      <w:r w:rsidR="00920F0D" w:rsidRPr="00920F0D">
        <w:t>16</w:t>
      </w:r>
      <w:r w:rsidRPr="00920F0D">
        <w:t>. januarja 2024 o izvajanju programa Državljani, enakost, pravice in vrednote za obdobje 2021–2027 – Udeležba in sodelovanje državljanov</w:t>
      </w:r>
      <w:bookmarkEnd w:id="6"/>
      <w:r w:rsidRPr="00920F0D">
        <w:t xml:space="preserve"> </w:t>
      </w:r>
      <w:bookmarkStart w:id="7" w:name="References"/>
      <w:r w:rsidRPr="00920F0D">
        <w:t>(2023/2004(INI))</w:t>
      </w:r>
      <w:bookmarkEnd w:id="7"/>
    </w:p>
    <w:p w:rsidR="00D722B8" w:rsidRPr="00920F0D" w:rsidRDefault="00D722B8" w:rsidP="00D722B8">
      <w:pPr>
        <w:pStyle w:val="EPComma"/>
      </w:pPr>
      <w:bookmarkStart w:id="8" w:name="TextBodyBegin"/>
      <w:bookmarkEnd w:id="8"/>
      <w:r w:rsidRPr="00920F0D">
        <w:rPr>
          <w:i/>
        </w:rPr>
        <w:t>Evropski parlament,</w:t>
      </w:r>
    </w:p>
    <w:p w:rsidR="00D722B8" w:rsidRPr="00920F0D" w:rsidRDefault="00D722B8" w:rsidP="00D722B8">
      <w:pPr>
        <w:pStyle w:val="NormalHanging12a"/>
      </w:pPr>
      <w:r w:rsidRPr="00920F0D">
        <w:t>–</w:t>
      </w:r>
      <w:r w:rsidRPr="00920F0D">
        <w:tab/>
        <w:t>ob upoštevanju Uredbe (EU) 2021/692 Evropskega parlamenta in Sveta z dne 28. aprila 2021 o vzpostavitvi programa Državljani, enakost, pravice in vrednote ter razveljavitvi Uredbe (EU) št. 1381/2013 Evropskega parlamenta in Sveta in Uredbe Sveta (EU) št. 390/2014</w:t>
      </w:r>
      <w:r w:rsidRPr="00920F0D">
        <w:rPr>
          <w:vertAlign w:val="superscript"/>
        </w:rPr>
        <w:footnoteReference w:id="1"/>
      </w:r>
      <w:r w:rsidRPr="00920F0D">
        <w:t>,</w:t>
      </w:r>
    </w:p>
    <w:p w:rsidR="00D722B8" w:rsidRPr="00920F0D" w:rsidRDefault="00D722B8" w:rsidP="00D722B8">
      <w:pPr>
        <w:pStyle w:val="NormalHanging12a"/>
      </w:pPr>
      <w:r w:rsidRPr="00920F0D">
        <w:t>–</w:t>
      </w:r>
      <w:r w:rsidRPr="00920F0D">
        <w:tab/>
        <w:t xml:space="preserve">ob upoštevanju delovnega dokumenta služb Komisije z dne 30. maja 2018 z naslovom </w:t>
      </w:r>
      <w:r w:rsidRPr="00920F0D">
        <w:rPr>
          <w:i/>
          <w:iCs/>
        </w:rPr>
        <w:t>Impact assessment accompanying the document: Proposal for a Regulation establishing the Rights and Values programme, Proposal for a Regulation establishing the Justice programme, Proposal for a Regulation establishing the Creative Europe programme</w:t>
      </w:r>
      <w:r w:rsidRPr="00920F0D">
        <w:t xml:space="preserve"> (Ocena učinka, spremni dokument k predlogu uredbe o vzpostavitvi programa za pravice in vrednote, predlog uredbe o vzpostavitvi programa za pravosodje, predlog uredbe o vzpostavitvi programa Ustvarjalna Evropa (SWD(2018)0290),</w:t>
      </w:r>
    </w:p>
    <w:p w:rsidR="00D722B8" w:rsidRPr="00920F0D" w:rsidRDefault="00D722B8" w:rsidP="00D722B8">
      <w:pPr>
        <w:pStyle w:val="NormalHanging12a"/>
      </w:pPr>
      <w:r w:rsidRPr="00920F0D">
        <w:t>–</w:t>
      </w:r>
      <w:r w:rsidRPr="00920F0D">
        <w:tab/>
        <w:t>ob upoštevanju poročila o državljanstvu EU iz leta 2020,</w:t>
      </w:r>
    </w:p>
    <w:p w:rsidR="00D722B8" w:rsidRPr="00920F0D" w:rsidRDefault="00D722B8" w:rsidP="00D722B8">
      <w:pPr>
        <w:pStyle w:val="NormalHanging12a"/>
      </w:pPr>
      <w:r w:rsidRPr="00920F0D">
        <w:t>–</w:t>
      </w:r>
      <w:r w:rsidRPr="00920F0D">
        <w:tab/>
        <w:t>ob upoštevanju Listine Evropske unije o temeljnih pravicah,</w:t>
      </w:r>
    </w:p>
    <w:p w:rsidR="00D722B8" w:rsidRPr="00920F0D" w:rsidRDefault="00D722B8" w:rsidP="00D722B8">
      <w:pPr>
        <w:pStyle w:val="NormalHanging12a"/>
      </w:pPr>
      <w:r w:rsidRPr="00920F0D">
        <w:t>–</w:t>
      </w:r>
      <w:r w:rsidRPr="00920F0D">
        <w:tab/>
        <w:t>ob upoštevanju člena 20 Pogodbe o delovanju Evropske unije in člena 9 Pogodbe o Evropski uniji,</w:t>
      </w:r>
    </w:p>
    <w:p w:rsidR="00D722B8" w:rsidRPr="00920F0D" w:rsidRDefault="00D722B8" w:rsidP="00D722B8">
      <w:pPr>
        <w:pStyle w:val="NormalHanging12a"/>
      </w:pPr>
      <w:r w:rsidRPr="00920F0D">
        <w:t>–</w:t>
      </w:r>
      <w:r w:rsidRPr="00920F0D">
        <w:rPr>
          <w:b/>
          <w:i/>
        </w:rPr>
        <w:tab/>
      </w:r>
      <w:r w:rsidRPr="00920F0D">
        <w:t>ob upoštevanju poročila Evropskega parlamenta z dne 6. aprila 2022 o izvajanju ukrepov državljanske vzgoje (2021/2008(INI)),</w:t>
      </w:r>
    </w:p>
    <w:p w:rsidR="00D722B8" w:rsidRPr="00920F0D" w:rsidRDefault="00D722B8" w:rsidP="00D722B8">
      <w:pPr>
        <w:pStyle w:val="NormalHanging12a"/>
        <w:rPr>
          <w:b/>
          <w:i/>
        </w:rPr>
      </w:pPr>
      <w:r w:rsidRPr="00920F0D">
        <w:t>–</w:t>
      </w:r>
      <w:r w:rsidRPr="00920F0D">
        <w:tab/>
        <w:t xml:space="preserve">ob upoštevanju priporočila Sveta z dne 22. maja 2018 o spodbujanju skupnih vrednot, </w:t>
      </w:r>
      <w:r w:rsidRPr="00920F0D">
        <w:lastRenderedPageBreak/>
        <w:t>vključujočega izobraževanja in evropske razsežnosti poučevanja,</w:t>
      </w:r>
    </w:p>
    <w:p w:rsidR="00D722B8" w:rsidRPr="00920F0D" w:rsidRDefault="00D722B8" w:rsidP="00D722B8">
      <w:pPr>
        <w:pStyle w:val="NormalHanging12a"/>
      </w:pPr>
      <w:r w:rsidRPr="00920F0D">
        <w:t>–</w:t>
      </w:r>
      <w:r w:rsidRPr="00920F0D">
        <w:tab/>
        <w:t>ob upoštevanju sporočila Komisije z dne 3. decembra 2020 o akcijskem načrtu za evropsko demokracijo (COM(2020)0790),</w:t>
      </w:r>
    </w:p>
    <w:p w:rsidR="00D722B8" w:rsidRPr="00920F0D" w:rsidRDefault="00D722B8" w:rsidP="00D722B8">
      <w:pPr>
        <w:pStyle w:val="NormalHanging12a"/>
      </w:pPr>
      <w:r w:rsidRPr="00920F0D">
        <w:t>–</w:t>
      </w:r>
      <w:r w:rsidRPr="00920F0D">
        <w:tab/>
        <w:t>ob upoštevanju sporočila Komisije z dne 2. decembra 2020 z naslovom Strategija za okrepitev uporabe Listine o temeljnih pravicah v EU (COM(2020)0711),</w:t>
      </w:r>
    </w:p>
    <w:p w:rsidR="00D722B8" w:rsidRPr="00920F0D" w:rsidRDefault="00D722B8" w:rsidP="00D722B8">
      <w:pPr>
        <w:pStyle w:val="NormalHanging12a"/>
      </w:pPr>
      <w:r w:rsidRPr="00920F0D">
        <w:t>–</w:t>
      </w:r>
      <w:r w:rsidRPr="00920F0D">
        <w:tab/>
        <w:t>ob upoštevanju sporočila Komisije z dne 18. septembra 2020 z naslovom Unija enakosti: akcijski načrt EU za boj proti rasizmu za obdobje 2020–2025 (COM(2020)0565),</w:t>
      </w:r>
    </w:p>
    <w:p w:rsidR="00D722B8" w:rsidRPr="00920F0D" w:rsidRDefault="00D722B8" w:rsidP="00D722B8">
      <w:pPr>
        <w:pStyle w:val="NormalHanging12a"/>
      </w:pPr>
      <w:r w:rsidRPr="00920F0D">
        <w:t>–</w:t>
      </w:r>
      <w:r w:rsidRPr="00920F0D">
        <w:tab/>
        <w:t>ob upoštevanju sporočila Komisije z dne 12. novembra 2020 z naslovom Unija enakosti: strategija za enakost LGBTIQ oseb za obdobje 2020–2025 (COM(2020)0698),</w:t>
      </w:r>
    </w:p>
    <w:p w:rsidR="00D722B8" w:rsidRPr="00920F0D" w:rsidRDefault="00D722B8" w:rsidP="00D722B8">
      <w:pPr>
        <w:pStyle w:val="NormalHanging12a"/>
      </w:pPr>
      <w:r w:rsidRPr="00920F0D">
        <w:t>–</w:t>
      </w:r>
      <w:r w:rsidRPr="00920F0D">
        <w:tab/>
        <w:t>ob upoštevanju sporočila Komisije z dne 5. marca 2020 z naslovom Unija enakosti: strategija za enakost spolov za obdobje 2020–2025 (COM(2020)0152),</w:t>
      </w:r>
    </w:p>
    <w:p w:rsidR="00D722B8" w:rsidRPr="00920F0D" w:rsidRDefault="00D722B8" w:rsidP="00D722B8">
      <w:pPr>
        <w:pStyle w:val="NormalHanging12a"/>
      </w:pPr>
      <w:r w:rsidRPr="00920F0D">
        <w:t>–</w:t>
      </w:r>
      <w:r w:rsidRPr="00920F0D">
        <w:tab/>
        <w:t>ob upoštevanju sporočila Komisije z dne 5. oktobra 2021 z naslovom Strategija EU za boj proti antisemitizmu in negovanje judovskega življenja (2021–2030) (COM(2021)0615),</w:t>
      </w:r>
    </w:p>
    <w:p w:rsidR="00D722B8" w:rsidRPr="00920F0D" w:rsidRDefault="00D722B8" w:rsidP="00D722B8">
      <w:pPr>
        <w:pStyle w:val="NormalHanging12a"/>
        <w:rPr>
          <w:b/>
          <w:i/>
        </w:rPr>
      </w:pPr>
      <w:r w:rsidRPr="00920F0D">
        <w:t>–</w:t>
      </w:r>
      <w:r w:rsidRPr="00920F0D">
        <w:rPr>
          <w:b/>
          <w:i/>
        </w:rPr>
        <w:tab/>
      </w:r>
      <w:r w:rsidRPr="00920F0D">
        <w:t>ob upoštevanju sporočila Komisije z dne 7. oktobra 2020 z naslovom Unija enakosti: strateški okvir EU za enakost, vključevanje in udeležbo Romov (COM(2020)0620),</w:t>
      </w:r>
    </w:p>
    <w:p w:rsidR="00D722B8" w:rsidRPr="00920F0D" w:rsidRDefault="00D722B8" w:rsidP="00D722B8">
      <w:pPr>
        <w:pStyle w:val="NormalHanging12a"/>
      </w:pPr>
      <w:r w:rsidRPr="00920F0D">
        <w:t>–</w:t>
      </w:r>
      <w:r w:rsidRPr="00920F0D">
        <w:tab/>
        <w:t>ob upoštevanju sporočila Komisije z dne 24. marca 2021 z naslovom Strategija EU o otrokovih pravicah (COM(2021)0142),</w:t>
      </w:r>
    </w:p>
    <w:p w:rsidR="00D722B8" w:rsidRPr="00920F0D" w:rsidRDefault="00D722B8" w:rsidP="00D722B8">
      <w:pPr>
        <w:pStyle w:val="NormalHanging12a"/>
      </w:pPr>
      <w:r w:rsidRPr="00920F0D">
        <w:t>–</w:t>
      </w:r>
      <w:r w:rsidRPr="00920F0D">
        <w:tab/>
        <w:t>ob upoštevanju člena 54 Poslovnika ter člena 1(1)(e) sklepa konference predsednikov z dne 12. decembra 2002 o postopku pridobitve dovoljenja za pripravo samoiniciativnih poročil in priloge 3 k temu sklepu,</w:t>
      </w:r>
    </w:p>
    <w:p w:rsidR="00D722B8" w:rsidRPr="00920F0D" w:rsidRDefault="00D722B8" w:rsidP="00D722B8">
      <w:pPr>
        <w:pStyle w:val="NormalHanging12a"/>
      </w:pPr>
      <w:r w:rsidRPr="00920F0D">
        <w:t>–</w:t>
      </w:r>
      <w:r w:rsidRPr="00920F0D">
        <w:tab/>
        <w:t>ob upoštevanju poročila Odbora za kulturo in izobraževanje (A9-0392/2023),</w:t>
      </w:r>
    </w:p>
    <w:p w:rsidR="00D722B8" w:rsidRPr="00920F0D" w:rsidRDefault="00D722B8" w:rsidP="00D722B8">
      <w:pPr>
        <w:pStyle w:val="NormalHanging12a"/>
      </w:pPr>
      <w:r w:rsidRPr="00920F0D">
        <w:t>A.</w:t>
      </w:r>
      <w:r w:rsidRPr="00920F0D">
        <w:tab/>
        <w:t>ker je aktivno sodelovanje v političnem in kulturnem življenju temeljna pravica, ki bi morala biti enako dostopna vsem; ker splošna deklaracija o človekovih pravicah določa pravico do sodelovanja v vladi in na svobodnih volitvah, pravico do sodelovanja v kulturnem življenju skupnosti ter pravico do mirnega zbiranja in združevanja, kar omogoča polno sodelovanje v družbi;</w:t>
      </w:r>
    </w:p>
    <w:p w:rsidR="00D722B8" w:rsidRPr="00920F0D" w:rsidRDefault="00D722B8" w:rsidP="00D722B8">
      <w:pPr>
        <w:pStyle w:val="NormalHanging12a"/>
        <w:rPr>
          <w:szCs w:val="24"/>
        </w:rPr>
      </w:pPr>
      <w:r w:rsidRPr="00920F0D">
        <w:t>B.</w:t>
      </w:r>
      <w:r w:rsidRPr="00920F0D">
        <w:tab/>
        <w:t>ker državljanstvo Unije daje ljudem različne pravice, zlasti pravico, da se obrnejo na Parlament s peticijo o katerem koli vprašanju, za katerega je pristojna EU, pravico, da pri evropskem varuhu človekovih pravic opozorijo na domnevne primere slabega upravljanja katere koli institucije EU, pravico, da pišejo kateri koli instituciji EU v enem od uradnih jezikov EU in prejmejo odgovor v istem jeziku, ter pravico do dostopa do dokumentov Parlamenta, Sveta in Komisije v skladu z veljavnimi predpisi EU;</w:t>
      </w:r>
    </w:p>
    <w:p w:rsidR="00D722B8" w:rsidRPr="00920F0D" w:rsidRDefault="00D722B8" w:rsidP="00D722B8">
      <w:pPr>
        <w:pStyle w:val="NormalHanging12a"/>
        <w:rPr>
          <w:szCs w:val="24"/>
        </w:rPr>
      </w:pPr>
      <w:r w:rsidRPr="00920F0D">
        <w:t>C.</w:t>
      </w:r>
      <w:r w:rsidRPr="00920F0D">
        <w:tab/>
        <w:t xml:space="preserve">ker sedanji in nastajajoči sistemski izzivi, kot so podnebna kriza, svetovne pandemije, digitalni prehod in socialne neenakosti, zahtevajo prilagoditev struktur in pristopov, ki državljanom zagotavljajo aktivno udeležbo v družbi; ker bi bilo treba pri aktivnem digitalnem udejstvovanju državljanov upoštevati in obravnavati digitalno vrzel med </w:t>
      </w:r>
      <w:r w:rsidRPr="00920F0D">
        <w:lastRenderedPageBreak/>
        <w:t>generacijami in družbenimi skupinami, pa tudi med dobro povezanimi mestnimi območji ter podeželskimi in oddaljenimi območji, obenem pa izboljšati splošno digitalno pismenost;</w:t>
      </w:r>
    </w:p>
    <w:p w:rsidR="00D722B8" w:rsidRPr="00920F0D" w:rsidRDefault="00D722B8" w:rsidP="00D722B8">
      <w:pPr>
        <w:pStyle w:val="NormalHanging12a"/>
        <w:rPr>
          <w:szCs w:val="24"/>
        </w:rPr>
      </w:pPr>
      <w:r w:rsidRPr="00920F0D">
        <w:t>D.</w:t>
      </w:r>
      <w:r w:rsidRPr="00920F0D">
        <w:tab/>
        <w:t>ker so programi EU, ki spodbujajo državljansko udejstvovanje, pravice in vrednote ter občutek pripadnosti, pomembnejši kot kdaj koli prej, ter povečujejo družbeno-državljanske kompetence in kritično mišljenje;</w:t>
      </w:r>
    </w:p>
    <w:p w:rsidR="00D722B8" w:rsidRPr="00920F0D" w:rsidRDefault="00D722B8" w:rsidP="00D722B8">
      <w:pPr>
        <w:pStyle w:val="NormalHanging12a"/>
        <w:rPr>
          <w:szCs w:val="24"/>
        </w:rPr>
      </w:pPr>
      <w:r w:rsidRPr="00920F0D">
        <w:t>E.</w:t>
      </w:r>
      <w:r w:rsidRPr="00920F0D">
        <w:tab/>
        <w:t>ker je treba udejstvovanje državljanov razumeti kot proces na več ravneh, ki obsegajo lokalne, regionalne, nacionalne, evropske in svetovne procese, prek katerih se ljudje ozaveščajo, učijo in izražajo svoje stališče ter poskušajo sodelovati pri odločitvah, ki vplivajo na njihovo življenje, in vplivati nanje; ker je treba udeležence s podeželja in oddaljenih območij spodbujati k temu, da sodelujejo v programu; ker se bo morala nova generacija Evropejcev zaradi globalizacije in evropskega povezovanja vse bolj politično udejstvovati na več ravneh, da bi bila sposobna živeti in delati na mednarodni ravni ter obvladovati raznolikost v svojem vsakdanjiku; ker družbe postajajo vse bolj raznolike, zaradi česar je spoštovanje človekovega dostojanstva, raznolikosti kultur in izvora ter zavračanje vsakršne diskriminacije žensk, oseb LGTBIQ, etničnih manjšin in drugih marginaliziranih skupin v Evropi vse pomembnejše;</w:t>
      </w:r>
    </w:p>
    <w:p w:rsidR="00D722B8" w:rsidRPr="00920F0D" w:rsidRDefault="00D722B8" w:rsidP="00D722B8">
      <w:pPr>
        <w:pStyle w:val="NormalHanging12a"/>
        <w:rPr>
          <w:szCs w:val="24"/>
        </w:rPr>
      </w:pPr>
      <w:r w:rsidRPr="00920F0D">
        <w:t>F.</w:t>
      </w:r>
      <w:r w:rsidRPr="00920F0D">
        <w:tab/>
        <w:t>ker družbenopolitične spremembe v državah članicah, ki segajo od družbene polarizacije in nizke ravni zaupanja v institucije do demokratičnega nazadovanja, spodkopavanja pravne države, krčenja prostora civilne družbe, izključevalnega nacionalizma in instrumentalizacije evroskepticizma v politične namene, skupaj s porastom ekstremističnih gibanj in avtoritarizma, infiltracijo verskih fundamentalizmov ter dezinformacijskimi kampanjami in napačnimi informacijami, resno ogrožajo evropske demokracije in destabilizirajo Unijo kot celoto; ker ima krepitev aktivnega sodelovanja in udeležbe državljanov prek formalnega, neformalnega, priložnostnega in vseživljenjskega učenja ter izobraževanja ključno vlogo pri uspešnem upiranju temu trendu;</w:t>
      </w:r>
    </w:p>
    <w:p w:rsidR="00D722B8" w:rsidRPr="00920F0D" w:rsidRDefault="00D722B8" w:rsidP="00D722B8">
      <w:pPr>
        <w:pStyle w:val="NormalHanging12a"/>
        <w:rPr>
          <w:szCs w:val="24"/>
        </w:rPr>
      </w:pPr>
      <w:r w:rsidRPr="00920F0D">
        <w:t>G.</w:t>
      </w:r>
      <w:r w:rsidRPr="00920F0D">
        <w:tab/>
        <w:t>ker uveljavitev evropskega državljanstva ovira vrzel v znanju in čustvih, ki je pogosto povezana z napačnimi predstavami o EU, zato ga mora spremljati in krepiti sklop mehanizmov, ki omogočajo sodelovanje državljanov in medkulturni dialog; ker lahko boljše razumevanje naše skupne evropske zgodovine in večja vključenost državljanov v družbeno in politično življenje ugodno vplivata na porajajočo se evropsko identiteto, ki dopolnjuje številne lokalne, regionalne, nacionalne, geografske, kulturne in druge identitete državljanov; ker sta aktivna udeležba in državljanov in dialog povezana z evropsko razsežnostjo državljanske vzgoje in lahko učinkovito prispevata k oblikovanju evropskega državljanstva z jasnimi pravicami in obveznostmi;</w:t>
      </w:r>
    </w:p>
    <w:p w:rsidR="00D722B8" w:rsidRPr="00920F0D" w:rsidRDefault="00D722B8" w:rsidP="00D722B8">
      <w:pPr>
        <w:pStyle w:val="NormalHanging12a"/>
      </w:pPr>
      <w:r w:rsidRPr="00920F0D">
        <w:t>H.</w:t>
      </w:r>
      <w:r w:rsidRPr="00920F0D">
        <w:tab/>
        <w:t>ker nezadostna vključenost državljanov, omejeno poznavanje EU in nerazumevanje njene dodane vrednosti povzročijo občutek, da primanjkuje demokracije, in vodijo v evroskepticizem v državah članicah;</w:t>
      </w:r>
    </w:p>
    <w:p w:rsidR="00D722B8" w:rsidRPr="00920F0D" w:rsidRDefault="00D722B8" w:rsidP="00D722B8">
      <w:pPr>
        <w:pStyle w:val="NormalHanging12a"/>
      </w:pPr>
      <w:r w:rsidRPr="00920F0D">
        <w:t>I.</w:t>
      </w:r>
      <w:r w:rsidRPr="00920F0D">
        <w:tab/>
        <w:t xml:space="preserve">ker krčenje prostora civilne družbe v Evropski uniji in drugih državah, ki sodelujejo v programu, vpliva na demokratično udeležbo in zmožnost organizacij civilne družbe, da delujejo kot sistem zavor in ravnovesij v zvezi s pravno državo; ker so ukrepi za podporo in omogočanje sodelovanja civilne družbe, vključno z organizacijami, ki zastopajo manjšine, in lokalnimi organizacijami, ki imajo dolgoletne dosežke in bogate izkušnje, najpomembnejši za zaščito demokracije, pravne države in človekovih pravic v </w:t>
      </w:r>
      <w:r w:rsidRPr="00920F0D">
        <w:lastRenderedPageBreak/>
        <w:t>državah članicah;</w:t>
      </w:r>
    </w:p>
    <w:p w:rsidR="00D722B8" w:rsidRPr="00920F0D" w:rsidRDefault="00D722B8" w:rsidP="00D722B8">
      <w:pPr>
        <w:pStyle w:val="NormalHanging12a"/>
        <w:rPr>
          <w:b/>
          <w:i/>
        </w:rPr>
      </w:pPr>
      <w:r w:rsidRPr="00920F0D">
        <w:t>J.</w:t>
      </w:r>
      <w:r w:rsidRPr="00920F0D">
        <w:tab/>
        <w:t>ker so organizacije civilne družbe, ki zastopajo manjšine, ključne za samozastopanje in državljansko udeležbo pripadnikov manjšin, zlasti tistih skupin, ki nimajo drugih formalnih možnosti za politično zastopanje;</w:t>
      </w:r>
    </w:p>
    <w:p w:rsidR="00D722B8" w:rsidRPr="00920F0D" w:rsidRDefault="00D722B8" w:rsidP="00D722B8">
      <w:pPr>
        <w:pStyle w:val="NormalHanging12a"/>
      </w:pPr>
      <w:r w:rsidRPr="00920F0D">
        <w:t>K.</w:t>
      </w:r>
      <w:r w:rsidRPr="00920F0D">
        <w:tab/>
        <w:t>ker je leta 2020 v EU prebivalo več kot 22 milijonov državljanov tretjih držav; ker te skupine nimajo možnosti sodelovati v formalnih političnih dejavnostih, kar pomeni, da so odločitve, ki vplivajo na življenje več milijonov ljudi, sprejete brez njihovega sodelovanja ali prispevka; ker to kaže, da na vseh ravneh po vsej EU obstaja temeljni demokratični primanjkljaj, kar otežuje oblikovanje trajnostnih, pravičnih in učinkovitih politik in programov, in ker ima uresničevanje človekovih pravic, povezanih s sodelovanjem nedržavljanov v političnem in javnem življenju, ključno vlogo pri spodbujanju demokratičnega upravljanja, pravne države, socialne vključenosti in gospodarskega razvoja ter odpravljanju marginalizacije in diskriminacije v EU;</w:t>
      </w:r>
    </w:p>
    <w:p w:rsidR="00D722B8" w:rsidRPr="00920F0D" w:rsidRDefault="00D722B8" w:rsidP="00D722B8">
      <w:pPr>
        <w:pStyle w:val="NormalHanging12a"/>
        <w:ind w:left="0" w:firstLine="0"/>
        <w:rPr>
          <w:i/>
          <w:iCs/>
        </w:rPr>
      </w:pPr>
      <w:r w:rsidRPr="00920F0D">
        <w:rPr>
          <w:b/>
          <w:i/>
          <w:iCs/>
        </w:rPr>
        <w:t>Zgodnje faze izvajanja programa Državljani, enakost, pravice in vrednote (2021–2027): sklop 3 – udeležba državljanov</w:t>
      </w:r>
    </w:p>
    <w:p w:rsidR="00D722B8" w:rsidRPr="00920F0D" w:rsidRDefault="00D722B8" w:rsidP="00D722B8">
      <w:pPr>
        <w:pStyle w:val="NormalHanging12a"/>
        <w:rPr>
          <w:szCs w:val="24"/>
        </w:rPr>
      </w:pPr>
      <w:r w:rsidRPr="00920F0D">
        <w:t>1.</w:t>
      </w:r>
      <w:r w:rsidRPr="00920F0D">
        <w:tab/>
        <w:t>je trdno prepričan, da program Državljani, enakost, pravice in vrednote edinstveno prispeva h krepitvi državljanske udeležbe in sodelovanja z vidika temeljnih pravic, saj učinkovito združuje vrednote, civilni dialog in državljanstvo ter hkrati spodbuja socialno enakost, enakost spolov in raznolikost, saj podpira varstvo regionalne dediščine in zgodovinsko zavest, spodbuja pa tudi boj proti diskriminaciji in nasilju; meni, da je program bistven instrument za prihodnost EU pri reševanju družbeno-političnih izzivov, kot so pomanjkanje znanja, evroskepticizem, krčenje prostora civilne družbe ter spodkopavanje pravne države in izzivi zanjo po vsej Evropi; spodbuja, naj program podpira ukrepe za krepitev odpornosti organizacij civilne družbe, vključno s tistimi, ki se osredotočajo na pravno državo in vrednote EU;</w:t>
      </w:r>
    </w:p>
    <w:p w:rsidR="00D722B8" w:rsidRPr="00920F0D" w:rsidRDefault="00D722B8" w:rsidP="00D722B8">
      <w:pPr>
        <w:pStyle w:val="NormalHanging12a"/>
      </w:pPr>
      <w:r w:rsidRPr="00920F0D">
        <w:t>2.</w:t>
      </w:r>
      <w:r w:rsidRPr="00920F0D">
        <w:tab/>
        <w:t>opozarja, da je izvajanje programa še vedno v začetni fazi, saj je bila uredba o njegovi vzpostavitvi sprejeta šele leta 2021; opozarja, da je bilo zato zaključenih le nekaj projektov iz sklopa 3 in da je na voljo le malo informacij od upravičencev, ki bi omogočile natančno oceno rezultatov;</w:t>
      </w:r>
    </w:p>
    <w:p w:rsidR="00D722B8" w:rsidRPr="00920F0D" w:rsidRDefault="00D722B8" w:rsidP="00D722B8">
      <w:pPr>
        <w:pStyle w:val="NormalHanging12a"/>
        <w:rPr>
          <w:szCs w:val="24"/>
        </w:rPr>
      </w:pPr>
      <w:r w:rsidRPr="00920F0D">
        <w:t>3.</w:t>
      </w:r>
      <w:r w:rsidRPr="00920F0D">
        <w:tab/>
        <w:t>poziva Komisijo, naj v sklopu programa prednostno zbira podatke, zlasti o prikrajšanih skupinah, vključno z marginaliziranimi skupnostmi, manjšinami in ranljivim prebivalstvom, da bi obravnavali njihove edinstvene izzive in spodbujali raziskave o njihovih izkušnjah vztraja, da je treba vzpostaviti močne mehanizme za spremljanje in ocenjevanje; poudarja, da bo ta pristop koristen za oblikovanje politik, zagotavljanje smiselne udeležbe prikrajšanih skupin v pobudah za državljansko udejstvovanje in okrepitev njihovega glasu ter oblikovanje bolj vključujočega in pravičnega programa, hkrati pa bo zagotovil boljše ocene v prihodnosti na splošno;</w:t>
      </w:r>
    </w:p>
    <w:p w:rsidR="00D722B8" w:rsidRPr="00920F0D" w:rsidRDefault="00D722B8" w:rsidP="00D722B8">
      <w:pPr>
        <w:pStyle w:val="NormalHanging12a"/>
        <w:rPr>
          <w:szCs w:val="24"/>
        </w:rPr>
      </w:pPr>
      <w:r w:rsidRPr="00920F0D">
        <w:t>4.</w:t>
      </w:r>
      <w:r w:rsidRPr="00920F0D">
        <w:tab/>
        <w:t>poudarja, da se je program soočal s številnimi izzivi, ki so ovirali začetne faze njegovega izvajanja, med katerimi so bili številni zunanji dejavniki, kot sta pandemija covida-19 in ruska vojaška agresija nad Ukrajino, ki so ovirali in ogrožali pravice državljanov in njihovo sodelovanje v demokraciji; vendar ugotavlja, da je program po počasnem začetku dobil zagon in trenutno dobro deluje; poudarja tudi, da je treba organizirati kampanje ozaveščanja, da bi dosegli širše prebivalstvo, zlasti s podeželja;</w:t>
      </w:r>
    </w:p>
    <w:p w:rsidR="00D722B8" w:rsidRPr="00920F0D" w:rsidRDefault="00D722B8" w:rsidP="00D722B8">
      <w:pPr>
        <w:pStyle w:val="NormalHanging12a"/>
        <w:rPr>
          <w:szCs w:val="24"/>
        </w:rPr>
      </w:pPr>
      <w:r w:rsidRPr="00920F0D">
        <w:lastRenderedPageBreak/>
        <w:t>5.</w:t>
      </w:r>
      <w:r w:rsidRPr="00920F0D">
        <w:tab/>
        <w:t>je zaskrbljen, ker se zdi, da sta uporaba in uvedba novih digitalnih orodij za izvrševanje sredstev EU (npr. orodje eGrants) za upravičence ključna težava, kar zadeva razvoj programa; obžaluje, da so zapleteni postopki ovirali tudi sodelovanje manjših organizacij, ki nimajo dovolj časa in sredstev, da bi se prijavile v določenem roku; meni, da je program zaradi zasnove teh orodij manj prilagodljiv novostim in spreminjajočim se potrebam; poziva k odpravi upravnih bremen ter poenostavitvi postopkov prijave, sklepanja pogodb in poročanja; poudarja, da poenostavitev upravnih zahtev vključuje tudi učinkovitejši in prožnejši postopek prijave za organizacije, ki so podpisale večletne okvirne sporazume o partnerstvu, tudi zato, da bi lahko predvideli razvoj politik; poudarja tudi, da je treba portal za prijave narediti uporabniku prijaznejši, zlasti za manjše organizacije, ter poskrbeti, da bodo vsi dokumenti, povezani s postopkom, prevedeni v vse jezike EU, da povečali udeležbo iz vseh držav članic in zagotovili kulturno raznolikost;</w:t>
      </w:r>
    </w:p>
    <w:p w:rsidR="00D722B8" w:rsidRPr="00920F0D" w:rsidRDefault="00D722B8" w:rsidP="00D722B8">
      <w:pPr>
        <w:pStyle w:val="NormalHanging12a"/>
      </w:pPr>
      <w:r w:rsidRPr="00920F0D">
        <w:t>6.</w:t>
      </w:r>
      <w:r w:rsidRPr="00920F0D">
        <w:tab/>
        <w:t>obžaluje, da za države članice ni obvezno, da vzpostavijo nacionalno kontaktno točko programa, ki vložnikom, deležnikom in upravičencem nudi nepristranske nasvete, koristne informacije in podporo, vključno s pomočjo pri postopku prijave, ter zagotavlja razumljive informacije o rezultatih programa; z obžalovanjem ugotavlja, da je do junija 2023 nacionalne kontaktne točke imelo le 20 držav članic;</w:t>
      </w:r>
    </w:p>
    <w:p w:rsidR="00D722B8" w:rsidRPr="00920F0D" w:rsidRDefault="00D722B8" w:rsidP="00D722B8">
      <w:pPr>
        <w:pStyle w:val="NormalHanging12a"/>
      </w:pPr>
      <w:r w:rsidRPr="00920F0D">
        <w:t>7.</w:t>
      </w:r>
      <w:r w:rsidRPr="00920F0D">
        <w:tab/>
        <w:t>je zelo zaskrbljen, ker sedanje stopnje inflacije vplivajo na tekoče stroške upravičencev programa; obžaluje, da se upravičenci soočajo z izzivi pri izvajanju načrtovanih dejavnosti, zlasti v zvezi s stroški na enoto za potovanje, nastanitev in dnevnice, in da bodo morda morali zmanjšati nekatere prvotno načrtovane dejavnosti, da bi ostali v okviru proračuna;</w:t>
      </w:r>
    </w:p>
    <w:p w:rsidR="00D722B8" w:rsidRPr="00920F0D" w:rsidRDefault="00D722B8" w:rsidP="00D722B8">
      <w:pPr>
        <w:pStyle w:val="NormalHanging12a"/>
        <w:rPr>
          <w:i/>
          <w:iCs/>
        </w:rPr>
      </w:pPr>
      <w:r w:rsidRPr="00920F0D">
        <w:rPr>
          <w:b/>
          <w:i/>
          <w:iCs/>
        </w:rPr>
        <w:t>Politična priporočila za prihodnost programa Državljani, enakost, pravice in vrednote</w:t>
      </w:r>
    </w:p>
    <w:p w:rsidR="00D722B8" w:rsidRPr="00920F0D" w:rsidRDefault="00D722B8" w:rsidP="00D722B8">
      <w:pPr>
        <w:pStyle w:val="NormalHanging12a"/>
      </w:pPr>
      <w:r w:rsidRPr="00920F0D">
        <w:t>8.</w:t>
      </w:r>
      <w:r w:rsidRPr="00920F0D">
        <w:tab/>
        <w:t>poziva Komisijo, naj ustanovi skupino za civilni dialog, da bi zagotovila reden, odprt in pregleden dialog za krepitev civilnega dialoga v okviru programa tako, da bo podpiral dvosmerni proces med institucijami na vseh ravneh in z vsemi ustreznimi deležniki, zlasti organizacijami civilne družbe, ter v okviru izvajanja člena 11 Uredbe (EU) 2021/692, civilni dialog pa naj uporabi tudi kot orodje za upravljanje, za določitev prednostnih nalog za dvoletni program dela ter nadaljnje spodbujanje kolektivne razsežnosti državljanske udeležbe kot ključnega elementa demokracije in pravne države; v zvezi s tem opozarja, da je treba spodbujati inovativne ukrepe v podporo dialogu s civilno družbo, tudi z namenom gojenja kulture partnerstva s prejemniki sredstev, ki temelji na zaupanju; poziva zlasti k ukrepom za krepitev zmogljivosti v podporo širokemu sodelovanju civilne družbe, zlasti prek povezav z drugimi programi financiranja v deljenem upravljanju, kot je instrument tehnične podpore;</w:t>
      </w:r>
    </w:p>
    <w:p w:rsidR="00D722B8" w:rsidRPr="00920F0D" w:rsidRDefault="00D722B8" w:rsidP="00D722B8">
      <w:pPr>
        <w:pStyle w:val="NormalHanging12a"/>
        <w:rPr>
          <w:szCs w:val="24"/>
        </w:rPr>
      </w:pPr>
      <w:r w:rsidRPr="00920F0D">
        <w:t>9.</w:t>
      </w:r>
      <w:r w:rsidRPr="00920F0D">
        <w:tab/>
        <w:t>opozarja, da se je treba spodbujati aktivno udeležbo državljanov s krepitvijo evropske razsežnosti državljanske vzgoje, tako v učnih načrtih kot pri obšolskih dejavnostih; poudarja, da lahko resnično evropska državljanska vzgoja državljane obvešča in oblikuje v duhu državljanskega udejstvovanja in udeležbe ter da so lahko pri tem ustrezne smernice EU koristno orodje; poudarja, kako pomembno je prebivalce EU, ki niso njeni državljani, in njihove organizacije, ki jih vodijo sami, vključiti v ciljno skupino programa, saj bo to okrepilo demokratično upravljanje, pravno državo in socialno vključenost;</w:t>
      </w:r>
    </w:p>
    <w:p w:rsidR="00D722B8" w:rsidRPr="00920F0D" w:rsidRDefault="00D722B8" w:rsidP="00D722B8">
      <w:pPr>
        <w:pStyle w:val="NormalHanging12a"/>
        <w:rPr>
          <w:szCs w:val="24"/>
        </w:rPr>
      </w:pPr>
      <w:r w:rsidRPr="00920F0D">
        <w:t>10.</w:t>
      </w:r>
      <w:r w:rsidRPr="00920F0D">
        <w:tab/>
        <w:t xml:space="preserve">poziva države članice, ki še niso odprle nacionalnih kontaktnih točk, naj to storijo čim </w:t>
      </w:r>
      <w:r w:rsidRPr="00920F0D">
        <w:lastRenderedPageBreak/>
        <w:t>prej, in poziva Komisijo, naj še naprej sodeluje z mrežo nacionalnih kontaktnih točk prek srečanj, ukrepov usposabljanja in namenskih izmenjav, saj so bile te doslej organizirane zelo uspešno; v zvezi s tem spodbuja Komisijo, države članice in nacionalne kontaktne točke, naj vzpostavijo evropsko mrežo nacionalnih kontaktnih točk, da bi olajšale izmenjavo primerov dobre prakse in znanj; Komisijo tudi spodbuja, naj vzpostavi mrežo upravičencev programa, da bodo lahko delili svoje izkušnje, si izmenjevali primere dobre prakse in bolje razumeli lokalne in nacionalne okoliščine v EU in zunaj nje;</w:t>
      </w:r>
    </w:p>
    <w:p w:rsidR="00D722B8" w:rsidRPr="00920F0D" w:rsidRDefault="00D722B8" w:rsidP="00D722B8">
      <w:pPr>
        <w:pStyle w:val="NormalHanging12a"/>
        <w:rPr>
          <w:szCs w:val="24"/>
        </w:rPr>
      </w:pPr>
      <w:r w:rsidRPr="00920F0D">
        <w:t>11.</w:t>
      </w:r>
      <w:r w:rsidRPr="00920F0D">
        <w:tab/>
        <w:t>je seznanjen z rezultati različnih vrst mehanizmov za ponovno dodeljevanje nepovratnih sredstev v okviru programa, ki so bili doslej zelo spodbudni; poziva h kvalitativni in kvantitativni analizi različnih razpisov za ponovno dodelitev sredstev, da bi jih po potrebi razširili na druge sklope programa, zlasti na sklop 3, s čimer bi zagotovili, da sredstva EU dosežejo lokalne organizacije civilne družbe, ki imajo dolgoletne dosežke in bogate izkušnje; poziva Komisijo, naj dodatno poenostavi upravne postopke in zahteve za ponovno dodelitev sredstev, da bi organizacijam, ki zaprosijo za ponovno dodelitev sredstev, omogočila večjo prožnost v odnosu do podizvajalcev ter zagotovila ustrezne standarde dela, zdravstvenega varstva in socialne zaščite; meni, da bi bilo treba zahteve za sofinanciranje revidirati, da bi pravila prilagodili položaju upravičenca ter tako podprli več različnih upravičencev, vključno s posamezniki in mikrostrukturami, in tematskih področij; vztraja, da je treba spodbujati, da se program uporablja v celotnem izobraževalnem sektorju, vključno z učenci, učitelji, pedagoškim osebjem in mladinskimi delavci; poudarja, da bi moralo financiranje iz programa na področju pravic, enakosti, vrednot in državljanske udeležbe, za katero so drugi viri financiranja zelo omejeni ali pa jih sploh ni, zajemati večji odstotni delež zneskov nepovratnih sredstev; poziva Komisijo, naj poskrbi, da bodo sredstva dodeljena strukturam, ki spoštujejo Listino Evropske unije o temeljnih pravicah, na primer z vzpostavitvijo nadzornih mehanizmov, ki bodo zagotovili ustrezne delovne in zdravstvene standarde in standarde socialne zaščite; poziva k oceni mehanizmov za ponovno dodeljevanje, da bi ocenili njihovo učinkovitost in prožnost pri doseganju lokalnih skupin in podpiranju organizacij v državah, kjer se prostor civilne družbe krči;</w:t>
      </w:r>
    </w:p>
    <w:p w:rsidR="00D722B8" w:rsidRPr="00920F0D" w:rsidRDefault="00D722B8" w:rsidP="00D722B8">
      <w:pPr>
        <w:pStyle w:val="NormalHanging12a"/>
        <w:rPr>
          <w:szCs w:val="24"/>
        </w:rPr>
      </w:pPr>
      <w:r w:rsidRPr="00920F0D">
        <w:t>12.</w:t>
      </w:r>
      <w:r w:rsidRPr="00920F0D">
        <w:tab/>
        <w:t>poziva, naj se proračun programa v naslednjem večletnem finančnem okviru poveča na 2,6 milijarde EUR, da bi zadostili vse večjemu povpraševanju po pobudah za državljansko udejstvovanje in demokratično udeležbo, ter k vzpostavitvi ad hoc mehanizma za zaščito zagovornikov človekovih pravic, podobnega mehanizmom, vzpostavljenim za zagovornike človekovih pravic zunaj EU ali za zaščito novinarjev, ter na splošno za obravnavanje vpliva inflacije na stroške programa, tudi ob upoštevanju sklepov konference o prihodnosti Evrope o evropskem državljanstvu in izobraževanju ter strateškega pomena programa za izvajanje prednostnih nalog EU;</w:t>
      </w:r>
    </w:p>
    <w:p w:rsidR="00D722B8" w:rsidRPr="00920F0D" w:rsidRDefault="00D722B8" w:rsidP="00D722B8">
      <w:pPr>
        <w:pStyle w:val="NormalHanging12a"/>
        <w:rPr>
          <w:szCs w:val="24"/>
        </w:rPr>
      </w:pPr>
      <w:r w:rsidRPr="00920F0D">
        <w:t>13.</w:t>
      </w:r>
      <w:r w:rsidRPr="00920F0D">
        <w:tab/>
        <w:t>poudarja, da so učinkovite dejavnosti obveščanja in ozaveščanja bistvenega pomena za uspeh programa, zato jim je treba dati prednost, da bi pritegnili morebitne upravičence, zlasti na lokalni ravni;</w:t>
      </w:r>
    </w:p>
    <w:p w:rsidR="00D722B8" w:rsidRPr="00920F0D" w:rsidRDefault="00D722B8" w:rsidP="00D722B8">
      <w:pPr>
        <w:pStyle w:val="NormalHanging12a"/>
        <w:rPr>
          <w:szCs w:val="24"/>
        </w:rPr>
      </w:pPr>
      <w:r w:rsidRPr="00920F0D">
        <w:t>14.</w:t>
      </w:r>
      <w:r w:rsidRPr="00920F0D">
        <w:tab/>
        <w:t xml:space="preserve">priznava, da so izmenjave in sodelovanje pri dejavnostih v okviru programa ključnega pomena za krepitev zmogljivosti organizacij civilne družbe za državljansko udeležbo in spodbujanje vrednot EU v državah, ki niso članice EU; poudarja, da se aktivna udeležba in zavezanost evropskim vrednotam ne začneta s pristopnimi sporazumi, ampak sta rezultat dolgoletnega dela aktivistov in organizacij civilne družbe, ki spodbujajo te ideje in podpirajo lokalne aktiviste v državah, ki niso članice EU; spodbuja Komisijo, naj </w:t>
      </w:r>
      <w:r w:rsidRPr="00920F0D">
        <w:lastRenderedPageBreak/>
        <w:t>olajša sodelovanje državljanov tretjih držav, tako da v dejavnosti programa vključuje organizacije in predstavnike civilne družbe iz tretjih držav; zato poziva, naj program krije stroške udeležbe predstavnikov civilne družbe, vsaj tistih iz držav kandidatk in pridruženih držav, ne glede na to, ali je njihova država vključena v program ali ne; poudarja, da je treba izzive, povezane z vojno v Ukrajini, reševati s spodbujanjem projektov z ukrajinskimi partnerji v okviru spominskih dejavnosti, dejavnosti demokratičnega sodelovanja in obnove ukrajinske kulturne dediščine;</w:t>
      </w:r>
    </w:p>
    <w:p w:rsidR="00D722B8" w:rsidRPr="00920F0D" w:rsidRDefault="00D722B8" w:rsidP="00D722B8">
      <w:pPr>
        <w:pStyle w:val="NormalHanging12a"/>
        <w:rPr>
          <w:szCs w:val="24"/>
        </w:rPr>
      </w:pPr>
      <w:r w:rsidRPr="00920F0D">
        <w:t>15.</w:t>
      </w:r>
      <w:r w:rsidRPr="00920F0D">
        <w:tab/>
        <w:t>znova poziva, naj se program uporabi kot vzvod za ukrepanje na področju evropske zgodovinske zavesti tako, da bo aktivno podpiral strukture, namenjene spodbujanju kritičnega zgodovinskega spomina, na primer pri nadnacionalnih raziskavah in obiskih spominskih krajev v EU in zunaj nje; zlasti, da se obsodi zgodovinski in kulturni revizionizem; poziva Komisijo in države članice, naj bodo pozorne na občutljiva družbena vprašanja, ki bi jih bilo mogoče instrumentalizirati;</w:t>
      </w:r>
    </w:p>
    <w:p w:rsidR="00D722B8" w:rsidRPr="00920F0D" w:rsidRDefault="00D722B8" w:rsidP="00D722B8">
      <w:pPr>
        <w:pStyle w:val="NormalHanging12a"/>
        <w:rPr>
          <w:szCs w:val="24"/>
        </w:rPr>
      </w:pPr>
      <w:r w:rsidRPr="00920F0D">
        <w:t>16.</w:t>
      </w:r>
      <w:r w:rsidRPr="00920F0D">
        <w:tab/>
        <w:t>poziva, naj se s programom podpira porajajoča dinamika, da se pobratenje mest in mrež mest poveže s pobratenjem izobraževalnih ustanov, kar lahko okrepi evropsko razsežnost, izmenjavo primerov dobre prakse in občutek pripadnosti;</w:t>
      </w:r>
    </w:p>
    <w:p w:rsidR="00D722B8" w:rsidRPr="00920F0D" w:rsidRDefault="00D722B8" w:rsidP="00D722B8">
      <w:pPr>
        <w:pStyle w:val="NormalHanging12a"/>
      </w:pPr>
      <w:r w:rsidRPr="00920F0D">
        <w:t>17.</w:t>
      </w:r>
      <w:r w:rsidRPr="00920F0D">
        <w:tab/>
        <w:t>poziva Komisijo, naj dodatno poenostavi upravne postopke za štiriletna okvirna partnerstva za nepovratna sredstva za poslovanje, zlasti glede posebnih značilnosti uporabljenega orodja IT, ki se zdi bolj primerno za značaj nepovratnih sredstev za ukrepe;</w:t>
      </w:r>
    </w:p>
    <w:p w:rsidR="00D722B8" w:rsidRPr="00920F0D" w:rsidRDefault="00D722B8" w:rsidP="00D722B8">
      <w:pPr>
        <w:pStyle w:val="NormalHanging12a"/>
        <w:jc w:val="center"/>
      </w:pPr>
      <w:r w:rsidRPr="00920F0D">
        <w:t>°</w:t>
      </w:r>
    </w:p>
    <w:p w:rsidR="00D722B8" w:rsidRPr="00920F0D" w:rsidRDefault="00D722B8" w:rsidP="00D722B8">
      <w:pPr>
        <w:pStyle w:val="NormalHanging12a"/>
        <w:jc w:val="center"/>
      </w:pPr>
      <w:r w:rsidRPr="00920F0D">
        <w:t>°</w:t>
      </w:r>
      <w:r w:rsidRPr="00920F0D">
        <w:tab/>
        <w:t>°</w:t>
      </w:r>
    </w:p>
    <w:p w:rsidR="00E365E1" w:rsidRPr="00920F0D" w:rsidRDefault="00D722B8" w:rsidP="00920F0D">
      <w:pPr>
        <w:ind w:left="567" w:hanging="567"/>
      </w:pPr>
      <w:r w:rsidRPr="00920F0D">
        <w:t>18.</w:t>
      </w:r>
      <w:r w:rsidRPr="00920F0D">
        <w:tab/>
        <w:t>naroči svoji predsednici, naj to resolucijo posreduje Svetu in Komisiji.</w:t>
      </w:r>
      <w:bookmarkStart w:id="9" w:name="TextBodyEnd"/>
      <w:bookmarkEnd w:id="9"/>
    </w:p>
    <w:sectPr w:rsidR="00E365E1" w:rsidRPr="00920F0D" w:rsidSect="003177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60F" w:rsidRPr="00317798" w:rsidRDefault="00DA160F">
      <w:r w:rsidRPr="00317798">
        <w:separator/>
      </w:r>
    </w:p>
  </w:endnote>
  <w:endnote w:type="continuationSeparator" w:id="0">
    <w:p w:rsidR="00DA160F" w:rsidRPr="00317798" w:rsidRDefault="00DA160F">
      <w:r w:rsidRPr="003177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7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7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7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60F" w:rsidRPr="00317798" w:rsidRDefault="00DA160F">
      <w:r w:rsidRPr="00317798">
        <w:separator/>
      </w:r>
    </w:p>
  </w:footnote>
  <w:footnote w:type="continuationSeparator" w:id="0">
    <w:p w:rsidR="00DA160F" w:rsidRPr="00317798" w:rsidRDefault="00DA160F">
      <w:r w:rsidRPr="00317798">
        <w:continuationSeparator/>
      </w:r>
    </w:p>
  </w:footnote>
  <w:footnote w:id="1">
    <w:p w:rsidR="00D722B8" w:rsidRPr="00920F0D" w:rsidRDefault="00D722B8" w:rsidP="00317798">
      <w:pPr>
        <w:pStyle w:val="FootnoteText"/>
        <w:ind w:left="567" w:hanging="567"/>
        <w:rPr>
          <w:color w:val="000000" w:themeColor="text1"/>
          <w:sz w:val="24"/>
          <w:u w:val="single" w:color="0000FF"/>
          <w:lang w:val="sl-SI"/>
        </w:rPr>
      </w:pPr>
      <w:r w:rsidRPr="00920F0D">
        <w:rPr>
          <w:rStyle w:val="FootnoteReference"/>
          <w:color w:val="000000" w:themeColor="text1"/>
          <w:sz w:val="24"/>
          <w:lang w:val="sl-SI"/>
        </w:rPr>
        <w:footnoteRef/>
      </w:r>
      <w:r w:rsidR="00317798" w:rsidRPr="00920F0D">
        <w:rPr>
          <w:color w:val="000000" w:themeColor="text1"/>
          <w:sz w:val="24"/>
          <w:lang w:val="sl-SI"/>
        </w:rPr>
        <w:t xml:space="preserve"> </w:t>
      </w:r>
      <w:r w:rsidR="00317798" w:rsidRPr="00920F0D">
        <w:rPr>
          <w:color w:val="000000" w:themeColor="text1"/>
          <w:sz w:val="24"/>
          <w:lang w:val="sl-SI"/>
        </w:rPr>
        <w:tab/>
      </w:r>
      <w:r w:rsidRPr="00920F0D">
        <w:rPr>
          <w:color w:val="000000" w:themeColor="text1"/>
          <w:sz w:val="24"/>
          <w:lang w:val="sl-SI"/>
        </w:rPr>
        <w:t>UL L 156, 5.5.2021,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7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7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7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SL"/>
    <w:docVar w:name="dvnumam" w:val="0"/>
    <w:docVar w:name="dvpe" w:val="750.184"/>
    <w:docVar w:name="dvrapporteur" w:val="Poročevalec: "/>
    <w:docVar w:name="dvtitre" w:val="Resolucija Evropskega parlamenta z dne xx. januarja 2024 o izvajanju programa Državljani, enakost, pravice in vrednote za obdobje 2021–2027 – Udeležba in sodelovanje državljanov(2023/2004(INI))"/>
  </w:docVars>
  <w:rsids>
    <w:rsidRoot w:val="00DA160F"/>
    <w:rsid w:val="00002272"/>
    <w:rsid w:val="00064002"/>
    <w:rsid w:val="000677B9"/>
    <w:rsid w:val="000831BA"/>
    <w:rsid w:val="000A42CC"/>
    <w:rsid w:val="000E7DD9"/>
    <w:rsid w:val="0010095E"/>
    <w:rsid w:val="00125B37"/>
    <w:rsid w:val="00187494"/>
    <w:rsid w:val="001F32AE"/>
    <w:rsid w:val="002767FF"/>
    <w:rsid w:val="002B18FE"/>
    <w:rsid w:val="002B5493"/>
    <w:rsid w:val="002E5FA7"/>
    <w:rsid w:val="0031779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E38"/>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F0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2B8"/>
    <w:rsid w:val="00D834A0"/>
    <w:rsid w:val="00D872DF"/>
    <w:rsid w:val="00D91E21"/>
    <w:rsid w:val="00DA160F"/>
    <w:rsid w:val="00DA7FCD"/>
    <w:rsid w:val="00E365E1"/>
    <w:rsid w:val="00E5748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85558"/>
  <w15:chartTrackingRefBased/>
  <w15:docId w15:val="{71CCD655-0BEA-4CED-8E27-B14E0AF2A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22B8"/>
    <w:pPr>
      <w:spacing w:after="240"/>
      <w:ind w:left="567" w:hanging="567"/>
    </w:pPr>
  </w:style>
  <w:style w:type="paragraph" w:customStyle="1" w:styleId="EPComma">
    <w:name w:val="EPComma"/>
    <w:basedOn w:val="Normal"/>
    <w:rsid w:val="00D722B8"/>
    <w:pPr>
      <w:spacing w:before="480" w:after="240"/>
    </w:pPr>
  </w:style>
  <w:style w:type="character" w:customStyle="1" w:styleId="NormalHanging12aChar">
    <w:name w:val="NormalHanging12a Char"/>
    <w:basedOn w:val="DefaultParagraphFont"/>
    <w:link w:val="NormalHanging12a"/>
    <w:rsid w:val="00D722B8"/>
    <w:rPr>
      <w:sz w:val="24"/>
      <w:lang w:val="sl-SI"/>
    </w:rPr>
  </w:style>
  <w:style w:type="paragraph" w:styleId="BalloonText">
    <w:name w:val="Balloon Text"/>
    <w:basedOn w:val="Normal"/>
    <w:link w:val="BalloonTextChar"/>
    <w:rsid w:val="00E57487"/>
    <w:rPr>
      <w:rFonts w:ascii="Segoe UI" w:hAnsi="Segoe UI" w:cs="Segoe UI"/>
      <w:sz w:val="18"/>
      <w:szCs w:val="18"/>
    </w:rPr>
  </w:style>
  <w:style w:type="character" w:customStyle="1" w:styleId="BalloonTextChar">
    <w:name w:val="Balloon Text Char"/>
    <w:basedOn w:val="DefaultParagraphFont"/>
    <w:link w:val="BalloonText"/>
    <w:rsid w:val="00E57487"/>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845CB-9F11-45C8-97F2-6FC7D085C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2816</Words>
  <Characters>17674</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2024-02-26T07:29:00Z</dcterms:created>
  <dcterms:modified xsi:type="dcterms:W3CDTF">2024-02-26T07:29:00Z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A9-0392/2023</vt:lpwstr>
  </property>
  <property fmtid="{D5CDD505-2E9C-101B-9397-08002B2CF9AE}" pid="4" name="&lt;Type&gt;">
    <vt:lpwstr>RR</vt:lpwstr>
  </property>
</Properties>
</file>