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5E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5EB6" w:rsidRDefault="00F34BA2" w:rsidP="0010095E">
            <w:pPr>
              <w:pStyle w:val="EPName"/>
            </w:pPr>
            <w:r w:rsidRPr="00B75EB6">
              <w:t>Evropský parlament</w:t>
            </w:r>
          </w:p>
          <w:p w:rsidR="00751A4A" w:rsidRPr="00B75EB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5EB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75EB6" w:rsidRDefault="00187494" w:rsidP="0010095E">
            <w:pPr>
              <w:pStyle w:val="EPLogo"/>
            </w:pPr>
            <w:r w:rsidRPr="00B75E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5EB6" w:rsidRDefault="00D058B8" w:rsidP="004C5D52">
      <w:pPr>
        <w:pStyle w:val="LineTop"/>
      </w:pPr>
    </w:p>
    <w:p w:rsidR="00680577" w:rsidRPr="00B75EB6" w:rsidRDefault="00F34BA2" w:rsidP="00680577">
      <w:pPr>
        <w:pStyle w:val="EPBodyTA1"/>
      </w:pPr>
      <w:r w:rsidRPr="00B75EB6">
        <w:t>PŘIJATÉ TEXTY</w:t>
      </w:r>
    </w:p>
    <w:p w:rsidR="00D058B8" w:rsidRPr="00B75EB6" w:rsidRDefault="00D058B8" w:rsidP="00D058B8">
      <w:pPr>
        <w:pStyle w:val="LineBottom"/>
      </w:pPr>
    </w:p>
    <w:p w:rsidR="00F34BA2" w:rsidRPr="00B75EB6" w:rsidRDefault="00F34BA2" w:rsidP="00F34BA2">
      <w:pPr>
        <w:pStyle w:val="ATHeading1"/>
      </w:pPr>
      <w:bookmarkStart w:id="0" w:name="TANumber"/>
      <w:r w:rsidRPr="00B75EB6">
        <w:t>P9_TA(2024)00</w:t>
      </w:r>
      <w:bookmarkEnd w:id="0"/>
      <w:r w:rsidR="005C6119">
        <w:t>10</w:t>
      </w:r>
    </w:p>
    <w:p w:rsidR="00F34BA2" w:rsidRPr="00B75EB6" w:rsidRDefault="00F34BA2" w:rsidP="00F34BA2">
      <w:pPr>
        <w:pStyle w:val="ATHeading2"/>
      </w:pPr>
      <w:bookmarkStart w:id="1" w:name="title"/>
      <w:r w:rsidRPr="00B75EB6">
        <w:t>Provádění územního rozvoje (nařízení o společných ustanoveních, hlava III, kapitola II) a jeho uplatňování v</w:t>
      </w:r>
      <w:r w:rsidR="00BE00C9">
        <w:t xml:space="preserve"> </w:t>
      </w:r>
      <w:r w:rsidRPr="00B75EB6">
        <w:t>Územní agendě Evropské unie 2030</w:t>
      </w:r>
      <w:bookmarkEnd w:id="1"/>
    </w:p>
    <w:p w:rsidR="00F34BA2" w:rsidRPr="00B75EB6" w:rsidRDefault="00F34BA2" w:rsidP="00F34BA2">
      <w:pPr>
        <w:rPr>
          <w:i/>
          <w:vanish/>
        </w:rPr>
      </w:pPr>
      <w:r w:rsidRPr="00B75EB6">
        <w:rPr>
          <w:i/>
        </w:rPr>
        <w:fldChar w:fldCharType="begin"/>
      </w:r>
      <w:r w:rsidRPr="00B75EB6">
        <w:rPr>
          <w:i/>
        </w:rPr>
        <w:instrText xml:space="preserve"> TC"(</w:instrText>
      </w:r>
      <w:bookmarkStart w:id="2" w:name="DocNumber"/>
      <w:r w:rsidRPr="00B75EB6">
        <w:rPr>
          <w:i/>
        </w:rPr>
        <w:instrText>A9-0420/2023</w:instrText>
      </w:r>
      <w:bookmarkEnd w:id="2"/>
      <w:r w:rsidRPr="00B75EB6">
        <w:rPr>
          <w:i/>
        </w:rPr>
        <w:instrText xml:space="preserve"> - Zpravodaj: </w:instrText>
      </w:r>
      <w:proofErr w:type="spellStart"/>
      <w:r w:rsidRPr="00B75EB6">
        <w:rPr>
          <w:i/>
        </w:rPr>
        <w:instrText>Marcos</w:instrText>
      </w:r>
      <w:proofErr w:type="spellEnd"/>
      <w:r w:rsidRPr="00B75EB6">
        <w:rPr>
          <w:i/>
        </w:rPr>
        <w:instrText xml:space="preserve"> Ros </w:instrText>
      </w:r>
      <w:proofErr w:type="spellStart"/>
      <w:r w:rsidRPr="00B75EB6">
        <w:rPr>
          <w:i/>
        </w:rPr>
        <w:instrText>Sempere</w:instrText>
      </w:r>
      <w:proofErr w:type="spellEnd"/>
      <w:r w:rsidRPr="00B75EB6">
        <w:rPr>
          <w:i/>
        </w:rPr>
        <w:instrText xml:space="preserve">)"\l3 \n&gt; \* MERGEFORMAT </w:instrText>
      </w:r>
      <w:r w:rsidRPr="00B75EB6">
        <w:rPr>
          <w:i/>
        </w:rPr>
        <w:fldChar w:fldCharType="end"/>
      </w:r>
    </w:p>
    <w:p w:rsidR="00F34BA2" w:rsidRPr="00B75EB6" w:rsidRDefault="00F34BA2" w:rsidP="00F34BA2">
      <w:pPr>
        <w:rPr>
          <w:vanish/>
        </w:rPr>
      </w:pPr>
      <w:bookmarkStart w:id="3" w:name="Commission"/>
      <w:r w:rsidRPr="00B75EB6">
        <w:rPr>
          <w:vanish/>
        </w:rPr>
        <w:t>Výbor pro regionální rozvoj</w:t>
      </w:r>
      <w:bookmarkEnd w:id="3"/>
    </w:p>
    <w:p w:rsidR="00F34BA2" w:rsidRPr="00B75EB6" w:rsidRDefault="00F34BA2" w:rsidP="00F34BA2">
      <w:pPr>
        <w:rPr>
          <w:vanish/>
        </w:rPr>
      </w:pPr>
      <w:bookmarkStart w:id="4" w:name="PE"/>
      <w:r w:rsidRPr="00B75EB6">
        <w:rPr>
          <w:vanish/>
        </w:rPr>
        <w:t>PE750.084</w:t>
      </w:r>
      <w:bookmarkEnd w:id="4"/>
    </w:p>
    <w:p w:rsidR="00F34BA2" w:rsidRPr="00B75EB6" w:rsidRDefault="00F34BA2" w:rsidP="00F34BA2">
      <w:pPr>
        <w:pStyle w:val="ATHeading3"/>
      </w:pPr>
      <w:bookmarkStart w:id="5" w:name="Sujet"/>
      <w:r w:rsidRPr="00B75EB6">
        <w:t xml:space="preserve">Usnesení </w:t>
      </w:r>
      <w:r w:rsidR="005C6119">
        <w:t>Evropského parlamentu ze dne 16</w:t>
      </w:r>
      <w:r w:rsidR="00BE00C9">
        <w:t>. ledna</w:t>
      </w:r>
      <w:r w:rsidRPr="00B75EB6">
        <w:t xml:space="preserve"> 2024 o provádění územního rozvoje (nařízení o společných ustanoveních, hlava III, kapitola II) a jeho uplatňování v Územní agendě Evropské unie 2030</w:t>
      </w:r>
      <w:bookmarkEnd w:id="5"/>
      <w:r w:rsidRPr="00B75EB6">
        <w:t xml:space="preserve"> </w:t>
      </w:r>
      <w:bookmarkStart w:id="6" w:name="References"/>
      <w:r w:rsidRPr="00B75EB6">
        <w:t>(2023/2048(INI))</w:t>
      </w:r>
      <w:bookmarkEnd w:id="6"/>
    </w:p>
    <w:p w:rsidR="00F34BA2" w:rsidRPr="00B75EB6" w:rsidRDefault="00F34BA2" w:rsidP="00F34BA2"/>
    <w:p w:rsidR="0040028C" w:rsidRPr="00B75EB6" w:rsidRDefault="0040028C" w:rsidP="0040028C">
      <w:pPr>
        <w:widowControl/>
        <w:spacing w:after="240"/>
        <w:ind w:left="567" w:hanging="567"/>
      </w:pPr>
      <w:bookmarkStart w:id="7" w:name="TextBodyBegin"/>
      <w:bookmarkEnd w:id="7"/>
      <w:r w:rsidRPr="00B75EB6">
        <w:rPr>
          <w:i/>
          <w:iCs/>
        </w:rPr>
        <w:t>Evropský parlament,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Smlouvu o fungování Evropské unie, a zejména na její hlavu XVIII,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nařízení Evropského parlamentu a Rady (EU) 2021/1060 ze dne 24. června 2021 o společných ustanoveních pro Evropský fond pro regionální rozvoj, Evropský sociální fond plus, Fond soudržnosti, Fond pro spravedlivou transformaci a Evropský námořní, rybářský a akvakulturní fond a o finančních pravidlech pro tyto fondy a pro Azylový, migrační a integrační fond, Fond pro vnitřní bezpečnost a Nástroj pro finanční podporu správy hranic a vízové politiky</w:t>
      </w:r>
      <w:r w:rsidRPr="00B75EB6">
        <w:rPr>
          <w:snapToGrid w:val="0"/>
          <w:vertAlign w:val="superscript"/>
          <w:lang w:eastAsia="en-US"/>
        </w:rPr>
        <w:footnoteReference w:id="1"/>
      </w:r>
      <w:r w:rsidRPr="00B75EB6">
        <w:rPr>
          <w:snapToGrid w:val="0"/>
        </w:rPr>
        <w:t xml:space="preserve"> (nařízení o společných ustanoveních),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 ohledem na nařízení Evropského parlamentu a Rady (EU) 2021/1058 ze dne 24. června 2021 o Evropském fondu pro regionální rozvoj a o Fondu soudržnosti</w:t>
      </w:r>
      <w:r w:rsidRPr="00B75EB6">
        <w:rPr>
          <w:snapToGrid w:val="0"/>
          <w:vertAlign w:val="superscript"/>
          <w:lang w:eastAsia="en-US"/>
        </w:rPr>
        <w:footnoteReference w:id="2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nařízení Evropského parlamentu a Rady (EU) 2021/1059 ze dne 24. června 2021 o zvláštních ustanoveních týkajících se cíle Evropská územní spolupráce (</w:t>
      </w:r>
      <w:proofErr w:type="spellStart"/>
      <w:r w:rsidRPr="00B75EB6">
        <w:rPr>
          <w:snapToGrid w:val="0"/>
        </w:rPr>
        <w:t>Interreg</w:t>
      </w:r>
      <w:proofErr w:type="spellEnd"/>
      <w:r w:rsidRPr="00B75EB6">
        <w:rPr>
          <w:snapToGrid w:val="0"/>
        </w:rPr>
        <w:t>) podporovaného z Evropského fondu pro regionální rozvoj a nástrojů financování vnější činnosti</w:t>
      </w:r>
      <w:r w:rsidRPr="00B75EB6">
        <w:rPr>
          <w:snapToGrid w:val="0"/>
          <w:vertAlign w:val="superscript"/>
          <w:lang w:eastAsia="en-US"/>
        </w:rPr>
        <w:footnoteReference w:id="3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</w:r>
      <w:r w:rsidRPr="00B75EB6">
        <w:t>s ohledem na nařízení Evropského parlamentu a Rady (EU) 2021/1056 ze dne 24. června 2021, kterým se zřizuje Fond pro spravedlivou transformaci</w:t>
      </w:r>
      <w:r w:rsidRPr="00B75EB6">
        <w:rPr>
          <w:vertAlign w:val="superscript"/>
        </w:rPr>
        <w:footnoteReference w:id="4"/>
      </w:r>
      <w:r w:rsidRPr="00B75EB6">
        <w:t>,</w:t>
      </w:r>
    </w:p>
    <w:p w:rsidR="0040028C" w:rsidRPr="00B75EB6" w:rsidRDefault="0040028C" w:rsidP="0040028C">
      <w:pPr>
        <w:pStyle w:val="NormalBold"/>
        <w:spacing w:after="240"/>
        <w:ind w:left="567" w:hanging="567"/>
        <w:rPr>
          <w:b w:val="0"/>
        </w:rPr>
      </w:pPr>
      <w:r w:rsidRPr="00B75EB6">
        <w:rPr>
          <w:b w:val="0"/>
        </w:rPr>
        <w:t>–</w:t>
      </w:r>
      <w:r w:rsidRPr="00B75EB6">
        <w:rPr>
          <w:b w:val="0"/>
        </w:rPr>
        <w:tab/>
        <w:t xml:space="preserve">s ohledem na nařízení Evropského parlamentu a Rady (EU) 2021/2115 ze dne 2. prosince 2021, kterým se stanoví pravidla podpory pro strategické plány, jež mají být </w:t>
      </w:r>
      <w:r w:rsidRPr="00B75EB6">
        <w:rPr>
          <w:b w:val="0"/>
        </w:rPr>
        <w:lastRenderedPageBreak/>
        <w:t>vypracovány členskými státy v rámci společné zemědělské politiky (strategické plány SZP) a financovány Evropským zemědělským záručním fondem (EZZF) a Evropským zemědělským fondem pro rozvoj venkova (EZFRV), a kterým se zrušují nařízení (EU) č. 1305/2013 a (EU) č. 1307/2013</w:t>
      </w:r>
      <w:r w:rsidRPr="00B75EB6">
        <w:rPr>
          <w:rStyle w:val="FootnoteReference"/>
          <w:b w:val="0"/>
        </w:rPr>
        <w:footnoteReference w:id="5"/>
      </w:r>
      <w:r w:rsidRPr="00B75EB6">
        <w:rPr>
          <w:b w:val="0"/>
        </w:rPr>
        <w:t xml:space="preserve">, </w:t>
      </w:r>
    </w:p>
    <w:p w:rsidR="0040028C" w:rsidRPr="00B75EB6" w:rsidRDefault="0040028C" w:rsidP="0040028C">
      <w:pPr>
        <w:pStyle w:val="NormalHanging12a"/>
      </w:pPr>
      <w:r w:rsidRPr="00B75EB6">
        <w:t>–</w:t>
      </w:r>
      <w:r w:rsidRPr="00B75EB6">
        <w:tab/>
        <w:t>s ohledem na nařízení Evropského parlamentu a Rady (EU) 2020/2220 ze dne 23. prosince 2020, kterým se stanoví určitá přechodná ustanovení o podpoře z Evropského zemědělského fondu pro rozvoj venkova (EZFRV) a z Evropského zemědělského záručního fondu (EZZF) v letech 2021 a 2022 a kterým se mění nařízení (EU) č. 1305/2013, (EU) č. 1306/2013 a (EU) č. 1307/2013, pokud jde o jejich zdroje a použití v letech 2021 a 2022, a kterým se mění nařízení (EU) č. 1308/2013, pokud jde o zdroje a rozdělení takové podpory v letech 2021 a 2022</w:t>
      </w:r>
      <w:r w:rsidRPr="00B75EB6">
        <w:rPr>
          <w:vertAlign w:val="superscript"/>
        </w:rPr>
        <w:footnoteReference w:id="6"/>
      </w:r>
      <w:r w:rsidRPr="00B75EB6"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nařízení Evropského parlamentu a Rady (EU) č. 1303/2013 ze dne 17. prosince 2013 o společných ustanoveních o Evropském fondu pro regionální rozvoj, Evropském sociálním fondu, Fondu soudržnosti, Evropském zemědělském fondu pro rozvoj venkova a Evropském námořním a rybářském fondu, o obecných ustanoveních o Evropském fondu pro regionální rozvoj, Evropském sociálním fondu, Fondu soudržnosti a Evropském námořním a rybářském fondu a o zrušení nařízení Rady (ES) č. 1083/2006</w:t>
      </w:r>
      <w:r w:rsidRPr="00B75EB6">
        <w:rPr>
          <w:snapToGrid w:val="0"/>
          <w:vertAlign w:val="superscript"/>
          <w:lang w:eastAsia="en-US"/>
        </w:rPr>
        <w:footnoteReference w:id="7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dohodu přijatou dne 12. prosince 2015 na 21. konferenci smluvních stran (COP21) Rámcové úmluvy Organizace spojených národů o změně klimatu v Paříži (Pařížská dohoda),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Agendu OSN pro udržitelný rozvoj 2030, zejména na cíl udržitelného rozvoje č. 11 týkající se udržitelných měst a komunit,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 ohledem</w:t>
      </w:r>
      <w:r w:rsidRPr="00B75EB6">
        <w:t xml:space="preserve"> na </w:t>
      </w:r>
      <w:r w:rsidRPr="00B75EB6">
        <w:rPr>
          <w:snapToGrid w:val="0"/>
        </w:rPr>
        <w:t>Územní agendu 2030</w:t>
      </w:r>
      <w:r w:rsidRPr="00B75EB6">
        <w:t xml:space="preserve"> – budoucnost pro všechna místa, </w:t>
      </w:r>
      <w:r w:rsidRPr="00B75EB6">
        <w:rPr>
          <w:snapToGrid w:val="0"/>
        </w:rPr>
        <w:t xml:space="preserve"> která byla schválena</w:t>
      </w:r>
      <w:r w:rsidRPr="00B75EB6">
        <w:t xml:space="preserve"> </w:t>
      </w:r>
      <w:r w:rsidRPr="00B75EB6">
        <w:rPr>
          <w:snapToGrid w:val="0"/>
        </w:rPr>
        <w:t>dne 1. prosince 2020</w:t>
      </w:r>
      <w:r w:rsidRPr="00B75EB6">
        <w:t xml:space="preserve"> na neformálním setkání ministrů EU odpovědných za územní plánování, územní rozvoj a/nebo územní soudržnost,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Amsterodamský pakt, kterým se zavádí městská agenda pro EU a který byl schválen dne 30. května 2016 na neformálním setkání ministrů EU odpovědných za městské záležitosti,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 ohledem na novou Lipskou chartu – transformační sílu měst pro společné blaho, která byla přijata na neformální ministerské schůzi </w:t>
      </w:r>
      <w:r w:rsidRPr="00B75EB6">
        <w:t>o městských záležitostech</w:t>
      </w:r>
      <w:r w:rsidRPr="00B75EB6">
        <w:rPr>
          <w:snapToGrid w:val="0"/>
        </w:rPr>
        <w:t xml:space="preserve"> dne 30. listopadu 2020</w:t>
      </w:r>
      <w:r w:rsidRPr="00B75EB6"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rFonts w:eastAsia="Calibri"/>
          <w:szCs w:val="24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 ohledem na </w:t>
      </w:r>
      <w:r w:rsidRPr="00B75EB6">
        <w:t>Lublaňskou dohodu, která byla přijata dne 26. listopadu 2021 na neformálním setkání ministrů EU odpovědných za městské záležitosti,</w:t>
      </w:r>
    </w:p>
    <w:p w:rsidR="0040028C" w:rsidRPr="00B75EB6" w:rsidRDefault="0040028C" w:rsidP="0040028C">
      <w:pPr>
        <w:widowControl/>
        <w:spacing w:after="240"/>
        <w:ind w:left="567" w:hanging="567"/>
        <w:rPr>
          <w:rFonts w:eastAsia="Calibri"/>
          <w:szCs w:val="24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</w:t>
      </w:r>
      <w:r w:rsidRPr="00B75EB6">
        <w:t>na Novou agendu pro města přijatou Organizací spojených národů dne 20. října 2016,</w:t>
      </w:r>
    </w:p>
    <w:p w:rsidR="0040028C" w:rsidRPr="00B75EB6" w:rsidRDefault="0040028C" w:rsidP="00E7291D">
      <w:pPr>
        <w:widowControl/>
        <w:spacing w:after="240"/>
        <w:ind w:left="567" w:hanging="567"/>
        <w:rPr>
          <w:rFonts w:eastAsia="Calibri"/>
          <w:szCs w:val="24"/>
        </w:rPr>
      </w:pPr>
      <w:r w:rsidRPr="00B75EB6">
        <w:rPr>
          <w:snapToGrid w:val="0"/>
        </w:rPr>
        <w:lastRenderedPageBreak/>
        <w:t>–</w:t>
      </w:r>
      <w:r w:rsidRPr="00B75EB6">
        <w:rPr>
          <w:snapToGrid w:val="0"/>
        </w:rPr>
        <w:tab/>
        <w:t xml:space="preserve">s ohledem na </w:t>
      </w:r>
      <w:r w:rsidRPr="00B75EB6">
        <w:t xml:space="preserve">sdělení </w:t>
      </w:r>
      <w:r w:rsidRPr="00B75EB6">
        <w:rPr>
          <w:shd w:val="clear" w:color="auto" w:fill="FFFFFF"/>
        </w:rPr>
        <w:t>Komise ze dne 17.</w:t>
      </w:r>
      <w:bookmarkStart w:id="8" w:name="_GoBack"/>
      <w:bookmarkEnd w:id="8"/>
      <w:r w:rsidRPr="00B75EB6">
        <w:rPr>
          <w:shd w:val="clear" w:color="auto" w:fill="FFFFFF"/>
        </w:rPr>
        <w:t xml:space="preserve"> ledna 2023 </w:t>
      </w:r>
      <w:r w:rsidRPr="00B75EB6">
        <w:t>nazvané „Využívání talentů v evropských regionech“ (</w:t>
      </w:r>
      <w:proofErr w:type="gramStart"/>
      <w:r w:rsidRPr="00B75EB6">
        <w:t>COM(2023</w:t>
      </w:r>
      <w:proofErr w:type="gramEnd"/>
      <w:r w:rsidRPr="00B75EB6">
        <w:t>)0032),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  <w:szCs w:val="24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 ohledem na </w:t>
      </w:r>
      <w:r w:rsidRPr="00B75EB6">
        <w:rPr>
          <w:shd w:val="clear" w:color="auto" w:fill="FFFFFF"/>
        </w:rPr>
        <w:t>sdělení Komise ze dne 4. února</w:t>
      </w:r>
      <w:r w:rsidRPr="00B75EB6">
        <w:t> </w:t>
      </w:r>
      <w:r w:rsidRPr="00B75EB6">
        <w:rPr>
          <w:shd w:val="clear" w:color="auto" w:fill="FFFFFF"/>
        </w:rPr>
        <w:t>2022 k osmé zprávě o soudržnosti: Soudržnost v Evropě do roku 2050 (</w:t>
      </w:r>
      <w:proofErr w:type="gramStart"/>
      <w:r w:rsidRPr="00B75EB6">
        <w:rPr>
          <w:shd w:val="clear" w:color="auto" w:fill="FFFFFF"/>
        </w:rPr>
        <w:t>COM(2022</w:t>
      </w:r>
      <w:proofErr w:type="gramEnd"/>
      <w:r w:rsidRPr="00B75EB6">
        <w:rPr>
          <w:shd w:val="clear" w:color="auto" w:fill="FFFFFF"/>
        </w:rPr>
        <w:t>)0034),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 ohledem na sdělení Komise ze dne 30. června 2021 nazvané „Dlouhodobá vize pro venkovské oblasti EU – na cestě k posílenému, propojenému, odolnému a prosperujícímu venkovu do roku 2040“ (</w:t>
      </w:r>
      <w:proofErr w:type="gramStart"/>
      <w:r w:rsidRPr="00B75EB6">
        <w:rPr>
          <w:snapToGrid w:val="0"/>
        </w:rPr>
        <w:t>COM(2021</w:t>
      </w:r>
      <w:proofErr w:type="gramEnd"/>
      <w:r w:rsidRPr="00B75EB6">
        <w:rPr>
          <w:snapToGrid w:val="0"/>
        </w:rPr>
        <w:t>)0345),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sdělení Komise ze dne 3. března 2021 nazvané „Unie rovnosti: Strategie práv osob se zdravotním postižením na období 2021–2030“ (</w:t>
      </w:r>
      <w:proofErr w:type="gramStart"/>
      <w:r w:rsidRPr="00B75EB6">
        <w:rPr>
          <w:snapToGrid w:val="0"/>
        </w:rPr>
        <w:t>COM(2021</w:t>
      </w:r>
      <w:proofErr w:type="gramEnd"/>
      <w:r w:rsidRPr="00B75EB6">
        <w:rPr>
          <w:snapToGrid w:val="0"/>
        </w:rPr>
        <w:t>)0101),</w:t>
      </w:r>
    </w:p>
    <w:p w:rsidR="0040028C" w:rsidRPr="00B75EB6" w:rsidRDefault="0040028C" w:rsidP="0040028C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sdělení Komise ze dne 11. prosince 2019 nazvané „Zelená dohoda pro Evropu“ (</w:t>
      </w:r>
      <w:proofErr w:type="gramStart"/>
      <w:r w:rsidRPr="00B75EB6">
        <w:rPr>
          <w:snapToGrid w:val="0"/>
        </w:rPr>
        <w:t>COM(2019</w:t>
      </w:r>
      <w:proofErr w:type="gramEnd"/>
      <w:r w:rsidRPr="00B75EB6">
        <w:rPr>
          <w:snapToGrid w:val="0"/>
        </w:rPr>
        <w:t>)0640),</w:t>
      </w:r>
      <w:r w:rsidRPr="00B75EB6">
        <w:t xml:space="preserve"> 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sdělení Komise ze dne 17. září 2020 nazvané „Z</w:t>
      </w:r>
      <w:r w:rsidRPr="00B75EB6">
        <w:t xml:space="preserve">výšení cílů Evropy v oblasti klimatu do roku 2030 – Investice do klimaticky neutrální budoucnosti ve prospěch našich občanů“ </w:t>
      </w:r>
      <w:r w:rsidRPr="00B75EB6">
        <w:rPr>
          <w:snapToGrid w:val="0"/>
        </w:rPr>
        <w:t>(</w:t>
      </w:r>
      <w:proofErr w:type="gramStart"/>
      <w:r w:rsidRPr="00B75EB6">
        <w:rPr>
          <w:snapToGrid w:val="0"/>
        </w:rPr>
        <w:t>COM(2020</w:t>
      </w:r>
      <w:proofErr w:type="gramEnd"/>
      <w:r w:rsidRPr="00B75EB6">
        <w:rPr>
          <w:snapToGrid w:val="0"/>
        </w:rPr>
        <w:t>)0562),</w:t>
      </w:r>
    </w:p>
    <w:p w:rsidR="0040028C" w:rsidRPr="00B75EB6" w:rsidRDefault="0040028C" w:rsidP="0040028C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 ohledem </w:t>
      </w:r>
      <w:r w:rsidRPr="00B75EB6">
        <w:t xml:space="preserve">na iniciativu Komise nazvanou Nový evropský </w:t>
      </w:r>
      <w:proofErr w:type="spellStart"/>
      <w:r w:rsidRPr="00B75EB6">
        <w:t>Bauhaus</w:t>
      </w:r>
      <w:proofErr w:type="spellEnd"/>
      <w:r w:rsidRPr="00B75EB6">
        <w:t>, která byla zahájena dne 16. září 2020,</w:t>
      </w:r>
    </w:p>
    <w:p w:rsidR="0040028C" w:rsidRPr="00B75EB6" w:rsidRDefault="0040028C" w:rsidP="0040028C">
      <w:pPr>
        <w:spacing w:after="240"/>
        <w:ind w:left="567" w:hanging="567"/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 ohledem </w:t>
      </w:r>
      <w:r w:rsidRPr="00B75EB6">
        <w:t xml:space="preserve">na pracovní dokument útvarů Komise ze dne 17. června 2022 s názvem „Nový finanční nástroj modelu územního rozvoje Nového evropského </w:t>
      </w:r>
      <w:proofErr w:type="spellStart"/>
      <w:r w:rsidRPr="00B75EB6">
        <w:t>Bauhausu</w:t>
      </w:r>
      <w:proofErr w:type="spellEnd"/>
      <w:r w:rsidRPr="00B75EB6">
        <w:t xml:space="preserve"> (NEB TDM)“ (SWD(2022)0172),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 ohledem na své usnesení ze dne 14. září 2022 o Novém evropském </w:t>
      </w:r>
      <w:proofErr w:type="spellStart"/>
      <w:r w:rsidRPr="00B75EB6">
        <w:rPr>
          <w:snapToGrid w:val="0"/>
        </w:rPr>
        <w:t>Bauhausu</w:t>
      </w:r>
      <w:proofErr w:type="spellEnd"/>
      <w:r w:rsidRPr="00B75EB6">
        <w:rPr>
          <w:snapToGrid w:val="0"/>
          <w:vertAlign w:val="superscript"/>
          <w:lang w:eastAsia="en-US"/>
        </w:rPr>
        <w:footnoteReference w:id="8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své usnesení ze dne 13. prosince 2022 o tématu „Dlouhodobá vize pro venkovské oblasti EU</w:t>
      </w:r>
      <w:r w:rsidRPr="00B75EB6">
        <w:rPr>
          <w:shd w:val="clear" w:color="auto" w:fill="FFFFFF"/>
        </w:rPr>
        <w:t> – na cestě k posílenému, propojenému, odolnému a prosperujícímu venkovu do roku 2040“</w:t>
      </w:r>
      <w:r w:rsidRPr="00B75EB6">
        <w:rPr>
          <w:snapToGrid w:val="0"/>
          <w:vertAlign w:val="superscript"/>
          <w:lang w:eastAsia="en-US"/>
        </w:rPr>
        <w:footnoteReference w:id="9"/>
      </w:r>
      <w:r w:rsidRPr="00B75EB6">
        <w:rPr>
          <w:snapToGrid w:val="0"/>
        </w:rPr>
        <w:t xml:space="preserve">, 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své usnesení ze dne 15. září</w:t>
      </w:r>
      <w:r w:rsidRPr="00B75EB6">
        <w:t> </w:t>
      </w:r>
      <w:r w:rsidRPr="00B75EB6">
        <w:rPr>
          <w:snapToGrid w:val="0"/>
        </w:rPr>
        <w:t>2022 o hospodářské, sociální a územní soudržnosti v EU: osmá zpráva o soudržnosti</w:t>
      </w:r>
      <w:r w:rsidRPr="00B75EB6">
        <w:rPr>
          <w:snapToGrid w:val="0"/>
          <w:vertAlign w:val="superscript"/>
          <w:lang w:eastAsia="en-US"/>
        </w:rPr>
        <w:footnoteReference w:id="10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 ohledem na své usnesení ze dne 15. února 2022 o výzvách pro městské oblasti v období po skončení pandemie COVID-19</w:t>
      </w:r>
      <w:r w:rsidRPr="00B75EB6">
        <w:rPr>
          <w:snapToGrid w:val="0"/>
          <w:vertAlign w:val="superscript"/>
          <w:lang w:eastAsia="en-US"/>
        </w:rPr>
        <w:footnoteReference w:id="11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</w:r>
      <w:r w:rsidRPr="00B75EB6">
        <w:t>s ohledem na své usnesení ze dne 20. května 2021 o zvrácení demografických trendů v regionech EU s využitím nástrojů politiky soudržnosti</w:t>
      </w:r>
      <w:r w:rsidRPr="00B75EB6">
        <w:rPr>
          <w:rStyle w:val="FootnoteReference"/>
        </w:rPr>
        <w:footnoteReference w:id="12"/>
      </w:r>
      <w:r w:rsidRPr="00B75EB6">
        <w:t>,</w:t>
      </w:r>
    </w:p>
    <w:p w:rsidR="0040028C" w:rsidRPr="00B75EB6" w:rsidRDefault="0040028C" w:rsidP="0040028C">
      <w:pPr>
        <w:widowControl/>
        <w:spacing w:after="240"/>
        <w:ind w:left="567" w:hanging="567"/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</w:r>
      <w:r w:rsidRPr="00B75EB6">
        <w:t>s ohledem na své usnesení ze dne 25. března 2021 o politice soudržnosti a regionálních strategiích v oblasti životního prostředí v boji proti změně klimatu</w:t>
      </w:r>
      <w:r w:rsidRPr="00B75EB6">
        <w:rPr>
          <w:rStyle w:val="FootnoteReference"/>
        </w:rPr>
        <w:footnoteReference w:id="13"/>
      </w:r>
      <w:r w:rsidRPr="00B75EB6"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lastRenderedPageBreak/>
        <w:t>–</w:t>
      </w:r>
      <w:r w:rsidRPr="00B75EB6">
        <w:rPr>
          <w:snapToGrid w:val="0"/>
        </w:rPr>
        <w:tab/>
        <w:t>s ohledem na své usnesení ze dne 13. března 2018 o úloze regionů a měst v EU při provádění Pařížské dohody o změně klimatu přijaté na 21. konferenci smluvních stran</w:t>
      </w:r>
      <w:r w:rsidRPr="00B75EB6">
        <w:rPr>
          <w:snapToGrid w:val="0"/>
          <w:vertAlign w:val="superscript"/>
          <w:lang w:eastAsia="en-US"/>
        </w:rPr>
        <w:footnoteReference w:id="14"/>
      </w:r>
      <w:r w:rsidRPr="00B75EB6">
        <w:rPr>
          <w:snapToGrid w:val="0"/>
        </w:rPr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</w:t>
      </w:r>
      <w:r w:rsidRPr="00B75EB6">
        <w:t>na stanovisko Evropského hospodářského a sociálního výboru ze dne 18. září 2020 k tématu „Přezkum Územní agendy EU, Lipské charty a městské agendy EU“</w:t>
      </w:r>
      <w:r w:rsidRPr="00B75EB6">
        <w:rPr>
          <w:rStyle w:val="FootnoteReference"/>
          <w:rFonts w:eastAsia="Calibri"/>
          <w:szCs w:val="24"/>
          <w:lang w:eastAsia="en-US"/>
        </w:rPr>
        <w:footnoteReference w:id="15"/>
      </w:r>
      <w:r w:rsidRPr="00B75EB6"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zCs w:val="32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</w:t>
      </w:r>
      <w:r w:rsidRPr="00B75EB6">
        <w:t>na podrobnou analýzu nazvanou „Územní agenda 2030 – přezkum provádění“, kterou dne 7. června 2023 zveřejnilo generální ředitelství pro vnitřní politiky</w:t>
      </w:r>
      <w:r w:rsidRPr="00B75EB6">
        <w:rPr>
          <w:rStyle w:val="FootnoteReference"/>
          <w:szCs w:val="32"/>
        </w:rPr>
        <w:footnoteReference w:id="16"/>
      </w:r>
      <w:r w:rsidRPr="00B75EB6">
        <w:t>,</w:t>
      </w:r>
    </w:p>
    <w:p w:rsidR="0040028C" w:rsidRPr="00B75EB6" w:rsidRDefault="0040028C" w:rsidP="0040028C">
      <w:pPr>
        <w:widowControl/>
        <w:spacing w:after="240"/>
        <w:ind w:left="567" w:hanging="567"/>
        <w:rPr>
          <w:szCs w:val="32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na </w:t>
      </w:r>
      <w:r w:rsidRPr="00B75EB6">
        <w:t>studii vypracovanou pro Generální ředitelství Komise pro regionální a městskou politiku (</w:t>
      </w:r>
      <w:r w:rsidRPr="00B75EB6">
        <w:rPr>
          <w:snapToGrid w:val="0"/>
        </w:rPr>
        <w:t>DG REGIO</w:t>
      </w:r>
      <w:r w:rsidRPr="00B75EB6">
        <w:t>) nazvanou „Integrované územní a městské strategie: jak ESIF přidávají hodnotu v období 2014–2020“, která byla zveřejněna v prosinci 2017</w:t>
      </w:r>
      <w:r w:rsidRPr="00B75EB6">
        <w:rPr>
          <w:rFonts w:eastAsia="Calibri"/>
          <w:szCs w:val="24"/>
          <w:vertAlign w:val="superscript"/>
          <w:lang w:eastAsia="en-US"/>
        </w:rPr>
        <w:footnoteReference w:id="17"/>
      </w:r>
      <w:r w:rsidRPr="00B75EB6">
        <w:t>,</w:t>
      </w:r>
    </w:p>
    <w:p w:rsidR="0040028C" w:rsidRPr="00B75EB6" w:rsidRDefault="0040028C" w:rsidP="00BE00C9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</w:t>
      </w:r>
      <w:r w:rsidRPr="00B75EB6">
        <w:t xml:space="preserve">na </w:t>
      </w:r>
      <w:r w:rsidRPr="00B75EB6">
        <w:rPr>
          <w:snapToGrid w:val="0"/>
        </w:rPr>
        <w:t>„STRAT-</w:t>
      </w:r>
      <w:proofErr w:type="spellStart"/>
      <w:r w:rsidRPr="00B75EB6">
        <w:rPr>
          <w:snapToGrid w:val="0"/>
        </w:rPr>
        <w:t>Board</w:t>
      </w:r>
      <w:proofErr w:type="spellEnd"/>
      <w:r w:rsidRPr="00B75EB6">
        <w:rPr>
          <w:snapToGrid w:val="0"/>
        </w:rPr>
        <w:t>“, interaktivní nástroj vyvinutý Společným výzkumným střediskem Evropské komise a GŘ REGIO, který ukazuje, jak evropské strukturální a investiční fondy (fondy ESI) podporují integrovaný přístup k městskému a územnímu rozvoji</w:t>
      </w:r>
      <w:r w:rsidRPr="00B75EB6">
        <w:rPr>
          <w:rStyle w:val="FootnoteReference"/>
          <w:snapToGrid w:val="0"/>
          <w:lang w:eastAsia="en-US"/>
        </w:rPr>
        <w:footnoteReference w:id="18"/>
      </w:r>
      <w:r w:rsidRPr="00B75EB6">
        <w:rPr>
          <w:snapToGrid w:val="0"/>
        </w:rPr>
        <w:t>,</w:t>
      </w:r>
    </w:p>
    <w:p w:rsidR="0040028C" w:rsidRPr="00B75EB6" w:rsidRDefault="0040028C" w:rsidP="00BE00C9">
      <w:pPr>
        <w:widowControl/>
        <w:spacing w:after="240"/>
        <w:ind w:left="567" w:hanging="567"/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na </w:t>
      </w:r>
      <w:r w:rsidRPr="00B75EB6">
        <w:t>Příručku strategií územního a místního rozvoje</w:t>
      </w:r>
      <w:r w:rsidR="00AD2AC2">
        <w:rPr>
          <w:rStyle w:val="FootnoteReference"/>
        </w:rPr>
        <w:footnoteReference w:id="19"/>
      </w:r>
      <w:r w:rsidRPr="00B75EB6">
        <w:t xml:space="preserve"> a Příručku strategií udržitelného rozvoje měst</w:t>
      </w:r>
      <w:r w:rsidR="00AD2AC2">
        <w:rPr>
          <w:rStyle w:val="FootnoteReference"/>
        </w:rPr>
        <w:footnoteReference w:id="20"/>
      </w:r>
      <w:r w:rsidRPr="00B75EB6">
        <w:t>, které vydalo Společné výzkumné středisko,</w:t>
      </w:r>
    </w:p>
    <w:p w:rsidR="0040028C" w:rsidRPr="00B75EB6" w:rsidRDefault="0040028C" w:rsidP="00BE00C9">
      <w:pPr>
        <w:pStyle w:val="NormalBold"/>
        <w:spacing w:after="240"/>
        <w:ind w:left="567" w:hanging="567"/>
      </w:pPr>
      <w:r w:rsidRPr="00B75EB6">
        <w:rPr>
          <w:b w:val="0"/>
        </w:rPr>
        <w:t>–</w:t>
      </w:r>
      <w:r w:rsidRPr="00B75EB6">
        <w:rPr>
          <w:b w:val="0"/>
        </w:rPr>
        <w:tab/>
        <w:t>s ohledem na pracovní dokument GŘ REGIO nazvaný „Geografie nespokojenosti v EU a past regionálního rozvoje“, který byl zveřejněn v březnu 2023,</w:t>
      </w:r>
    </w:p>
    <w:p w:rsidR="0040028C" w:rsidRPr="00B75EB6" w:rsidRDefault="0040028C" w:rsidP="00BE00C9">
      <w:pPr>
        <w:pStyle w:val="NormalBold"/>
        <w:spacing w:after="240"/>
        <w:ind w:left="567" w:hanging="567"/>
        <w:rPr>
          <w:b w:val="0"/>
        </w:rPr>
      </w:pPr>
      <w:r w:rsidRPr="00B75EB6">
        <w:rPr>
          <w:b w:val="0"/>
        </w:rPr>
        <w:t>–</w:t>
      </w:r>
      <w:r w:rsidRPr="00B75EB6">
        <w:rPr>
          <w:b w:val="0"/>
        </w:rPr>
        <w:tab/>
        <w:t>s ohledem na studii, kterou provedla Rada evropských obcí a regionů, nazvanou „Integrované územní investice a komunitně vedený místní rozvoj – využívání integrovaných územních nástrojů v politice soudržnosti“, zveřejněnou v prosinci 2022,</w:t>
      </w:r>
    </w:p>
    <w:p w:rsidR="0040028C" w:rsidRPr="00B75EB6" w:rsidRDefault="0040028C" w:rsidP="00BE00C9">
      <w:pPr>
        <w:pStyle w:val="NormalBold"/>
        <w:spacing w:after="240"/>
        <w:ind w:left="567" w:hanging="567"/>
        <w:rPr>
          <w:b w:val="0"/>
        </w:rPr>
      </w:pPr>
      <w:r w:rsidRPr="00B75EB6">
        <w:rPr>
          <w:b w:val="0"/>
        </w:rPr>
        <w:t>–</w:t>
      </w:r>
      <w:r w:rsidRPr="00B75EB6">
        <w:rPr>
          <w:b w:val="0"/>
        </w:rPr>
        <w:tab/>
        <w:t>s ohledem na Lipskou chartu o udržitelných evropských městech z roku 2007 a na novou Lipskou chartu – transformační sílu měst pro společné blaho ze dne 30. listopadu 2020,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>s ohledem na článek 54 jednacího řádu a čl. 1 odst. 1 písm. e) a přílohu 3 rozhodnutí Konference předsedů ze dne 12. prosince 2002 o postupu udělování svolení k vypracování zpráv z vlastního podnětu,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t>–</w:t>
      </w:r>
      <w:r w:rsidRPr="00B75EB6">
        <w:rPr>
          <w:snapToGrid w:val="0"/>
        </w:rPr>
        <w:tab/>
        <w:t xml:space="preserve">s ohledem na </w:t>
      </w:r>
      <w:r w:rsidRPr="00B75EB6">
        <w:t>stanovisko Výboru pro zemědělství a rozvoj venkova,</w:t>
      </w:r>
    </w:p>
    <w:p w:rsidR="0040028C" w:rsidRPr="00B75EB6" w:rsidRDefault="0040028C" w:rsidP="0040028C">
      <w:pPr>
        <w:widowControl/>
        <w:spacing w:after="240"/>
        <w:ind w:left="567" w:hanging="567"/>
        <w:rPr>
          <w:snapToGrid w:val="0"/>
        </w:rPr>
      </w:pPr>
      <w:r w:rsidRPr="00B75EB6">
        <w:rPr>
          <w:snapToGrid w:val="0"/>
        </w:rPr>
        <w:lastRenderedPageBreak/>
        <w:t>–</w:t>
      </w:r>
      <w:r w:rsidRPr="00B75EB6">
        <w:rPr>
          <w:snapToGrid w:val="0"/>
        </w:rPr>
        <w:tab/>
        <w:t xml:space="preserve">s ohledem na </w:t>
      </w:r>
      <w:r w:rsidRPr="00B75EB6">
        <w:t>zprávu Výboru pro regionální rozvoj (A9-0420/2023),</w:t>
      </w:r>
    </w:p>
    <w:p w:rsidR="0040028C" w:rsidRPr="00B75EB6" w:rsidRDefault="0040028C" w:rsidP="0040028C">
      <w:pPr>
        <w:pStyle w:val="NormalHanging12a"/>
        <w:ind w:hanging="709"/>
      </w:pPr>
      <w:r w:rsidRPr="00B75EB6">
        <w:t>A.</w:t>
      </w:r>
      <w:r w:rsidRPr="00B75EB6">
        <w:tab/>
        <w:t>vzhledem k tomu, že politika soudržnosti zůstává a měla by zůstat hlavní investiční politikou pro regiony a města EU a jejím záměrem není trvale sloužit jako finanční pomoc první volby při řešení nepředvídaných událostí, které otřásají naším socioekonomickým životem; vzhledem k tomu, že Územní agenda je hlavním nástrojem územní politiky EU, jak se odráží v jejích národních programech a projektech, a je vodítkem pro strategické územní plánování a regionální rozvoj, vyzývá k posílení územního rozměru odvětvových politik na všech úrovních správy a usiluje o podporu inkluzivní a udržitelné budoucnosti pro všechny lokality a o pomoc při dosahování cílů udržitelného rozvoje v Evropě;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B.</w:t>
      </w:r>
      <w:r w:rsidRPr="00B75EB6">
        <w:tab/>
        <w:t>vzhledem k tomu, že výzvy, kterým regiony EU čelí, jsou zjišťovány a řízeny na územní úrovni;</w:t>
      </w:r>
    </w:p>
    <w:p w:rsidR="0040028C" w:rsidRPr="00B75EB6" w:rsidRDefault="0040028C" w:rsidP="00032A4C">
      <w:pPr>
        <w:pStyle w:val="NormalHanging12a"/>
      </w:pPr>
      <w:r w:rsidRPr="00B75EB6">
        <w:t>C.</w:t>
      </w:r>
      <w:r w:rsidRPr="00B75EB6">
        <w:tab/>
        <w:t xml:space="preserve">vzhledem k tomu, že předchozí a stávající nařízení o společných ustanoveních se konkrétně nezmiňují o Územní agendě 2020 nebo 2030; vzhledem k tomu, že hlava III, kapitola II </w:t>
      </w:r>
      <w:proofErr w:type="gramStart"/>
      <w:r w:rsidRPr="00B75EB6">
        <w:t>současného</w:t>
      </w:r>
      <w:proofErr w:type="gramEnd"/>
      <w:r w:rsidRPr="00B75EB6">
        <w:t xml:space="preserve"> nařízení o společných ustanoveních stanovuje základ pro čerpání fondů politiky soudržnosti prostřednictvím strategií územního rozvoje; vzhledem k tomu, že článek 7 nařízení (EU) č. 1301/</w:t>
      </w:r>
      <w:r w:rsidR="00032A4C">
        <w:t>2013</w:t>
      </w:r>
      <w:r w:rsidRPr="00B75EB6">
        <w:rPr>
          <w:rStyle w:val="FootnoteReference"/>
        </w:rPr>
        <w:footnoteReference w:id="21"/>
      </w:r>
      <w:r w:rsidRPr="00B75EB6">
        <w:t xml:space="preserve"> uvádí jako rámec pro výběr jednotlivých operací udržitelný rozvoj měst založený na integrovaných udržitelných městských strategiích;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D.</w:t>
      </w:r>
      <w:r w:rsidRPr="00B75EB6">
        <w:tab/>
        <w:t>vzhledem k tomu, že místně orientovaný přístup k tvorbě politik založený na integrovaném územním rozvoji má za cíl uvolnit jedinečný potenciál související s územními zdroji, znalostmi a prostředky, přičemž uznává potřebu řešení přizpůsobených potřebám různých typů území;</w:t>
      </w:r>
    </w:p>
    <w:p w:rsidR="0040028C" w:rsidRPr="00B75EB6" w:rsidRDefault="0040028C" w:rsidP="0040028C">
      <w:pPr>
        <w:pStyle w:val="NormalHanging12a"/>
        <w:ind w:hanging="640"/>
      </w:pPr>
      <w:r w:rsidRPr="00B75EB6">
        <w:t>E.</w:t>
      </w:r>
      <w:r w:rsidRPr="00B75EB6">
        <w:tab/>
        <w:t xml:space="preserve">vzhledem k tomu, že se zdá, že hlavními obtížemi, s nimiž se místní a regionální orgány a občanská společnost setkávaly v období 2014–2020, byla kromě pomalého čerpání finančních prostředků nedostatečná technická a administrativní podpora a nadměrné byrokratické překážky, nedostatek dovedností a odborné přípravy, znalostí a budování kapacit a špatná spolupráce mezi různými úrovněmi správy; 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F.</w:t>
      </w:r>
      <w:r w:rsidRPr="00B75EB6">
        <w:tab/>
        <w:t>vzhledem k tomu, že se zdá, že v regionech a správních jednotkách, kde je prováděna iniciativa LEADER, přispívá povinný manažer místní akční skupiny ke zlepšení výkonnosti a absorpci regionálního financování;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G.</w:t>
      </w:r>
      <w:r w:rsidRPr="00B75EB6">
        <w:tab/>
        <w:t>vzhledem k tomu, že bohatost územní rozmanitosti Evropy by měla být vnímána jako dynamický a složitý systém, v němž se každý region potýká s problémy v oblasti rozvoje v závislosti na svých specifických charakteristikách; vzhledem k tomu, že rostoucí nerovnosti mezi jednotlivými místy a mezi lidmi dosáhly kritické úrovně a že k zajištění pozitivních perspektiv do budoucnosti pro všechny občany i oblasti v celé EU je zapotřebí společného postupu na všech zeměpisných a správních úrovních;</w:t>
      </w:r>
    </w:p>
    <w:p w:rsidR="0040028C" w:rsidRPr="00B75EB6" w:rsidRDefault="0040028C" w:rsidP="0040028C">
      <w:pPr>
        <w:pStyle w:val="NormalHanging12a"/>
        <w:ind w:left="570" w:hanging="570"/>
      </w:pPr>
      <w:r w:rsidRPr="00B75EB6">
        <w:t>H.</w:t>
      </w:r>
      <w:r w:rsidRPr="00B75EB6">
        <w:tab/>
        <w:t xml:space="preserve">vzhledem k tomu, že Příručka strategií územního a místního rozvoje nabízí metodickou </w:t>
      </w:r>
      <w:r w:rsidRPr="00B75EB6">
        <w:lastRenderedPageBreak/>
        <w:t>podporu na všech úrovních;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I.</w:t>
      </w:r>
      <w:r w:rsidRPr="00B75EB6">
        <w:tab/>
        <w:t xml:space="preserve">vzhledem k tomu, že </w:t>
      </w:r>
      <w:proofErr w:type="spellStart"/>
      <w:r w:rsidRPr="00B75EB6">
        <w:t>mikrosoudržnost</w:t>
      </w:r>
      <w:proofErr w:type="spellEnd"/>
      <w:r w:rsidRPr="00B75EB6">
        <w:t xml:space="preserve"> je formou rovnováhy méně rozvinutých oblastí v rámci rozvinutějších regionů; vzhledem k tomu, že Územní agenda 2030, která se výslovně zaměřuje na „oblasti a občany“, je průkopníkem „myšlenky mezilidské soudržnosti“ spolu s územní soudržností, přičemž bere v úvahu, že tyto rozdíly lze řešit pouze tím, že bude věnována větší pozornost rozmanitosti a potenciálu území a že budou navrhovány místně orientované politiky a strategie s cílem lépe začlenit územní rozměr do všech fondů EU;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J.</w:t>
      </w:r>
      <w:r w:rsidRPr="00B75EB6">
        <w:tab/>
        <w:t>vzhledem k tomu, že článek 28 nařízení o společných ustanoveních vymezuje integrované územní investice a komunitně vedený místní rozvoj jako nástroje pro provádění strategií územního rozvoje a vyzývá k zajištění soudržnosti a koordinace mezi dotčenými fondy, pokud se jich na jednu strategii regionálního nebo místního rozvoje použije několik; vzhledem k tomu, že cílem těchto nástrojů je územní rozvoj zdola nahoru a posílení aktivní účasti místních zúčastněných stran;</w:t>
      </w:r>
    </w:p>
    <w:p w:rsidR="0040028C" w:rsidRPr="00B75EB6" w:rsidRDefault="0040028C" w:rsidP="0040028C">
      <w:pPr>
        <w:pStyle w:val="NormalHanging12a"/>
        <w:ind w:left="570" w:hanging="570"/>
      </w:pPr>
      <w:r w:rsidRPr="00B75EB6">
        <w:t>K.</w:t>
      </w:r>
      <w:r w:rsidRPr="00B75EB6">
        <w:tab/>
        <w:t>vzhledem k tomu, že v období 2014–2020 bylo v rámci tehdejších 28 členských států naplánováno 1 975 strategií financovaných 19 miliardami EUR z Evropského fondu pro regionální rozvoj (EFRR), z nichž 13,8 miliardy EUR bylo přiděleno na integrované územní investice v devíti členských státech;</w:t>
      </w:r>
    </w:p>
    <w:p w:rsidR="0040028C" w:rsidRPr="00B75EB6" w:rsidRDefault="0040028C" w:rsidP="0040028C">
      <w:pPr>
        <w:pStyle w:val="NormalHanging12a"/>
      </w:pPr>
      <w:r w:rsidRPr="00B75EB6">
        <w:t>L.</w:t>
      </w:r>
      <w:r w:rsidRPr="00B75EB6">
        <w:tab/>
        <w:t>vzhledem k tomu, že komunitně vedený místní rozvoj byl v období 2014–2020 druhým nejpoužívanějším nástrojem členských států pro rozvoj územních nebo místních strategií a že tento nástroj zaručuje, aby místní a regionální správní orgány a zúčastněné strany byly úzce zapojeny do přípravy, provádění a monitorování finančních prostředků EU, které dostávají; vzhledem k tomu, že na využívání komunitně vedeného místního rozvoje nejsou v programovém období 2021–2027 vyčleněny žádné prostředky;</w:t>
      </w:r>
    </w:p>
    <w:p w:rsidR="0040028C" w:rsidRPr="00B75EB6" w:rsidRDefault="0040028C" w:rsidP="0040028C">
      <w:pPr>
        <w:pStyle w:val="NormalHanging12a"/>
      </w:pPr>
      <w:r w:rsidRPr="00B75EB6">
        <w:t>M.</w:t>
      </w:r>
      <w:r w:rsidRPr="00B75EB6">
        <w:tab/>
        <w:t xml:space="preserve">vzhledem k tomu, že provádění integrovaných územních investic a komunitně vedeného místního rozvoje zůstává v EU nerovnoměrné a zdá se, že několik členských států a správních orgánů není příliš odhodláno je provádět; vzhledem k tomu, že výklad a provádění cíle politiky 5 „Evropa bližší občanům“ se v jednotlivých členských státech liší, což vede k nízkému provádění integrovaných územních investic a komunitně vedeného místního rozvoje; vzhledem k tomu, že </w:t>
      </w:r>
      <w:proofErr w:type="spellStart"/>
      <w:r w:rsidRPr="00B75EB6">
        <w:t>spolunormotvůrci</w:t>
      </w:r>
      <w:proofErr w:type="spellEnd"/>
      <w:r w:rsidRPr="00B75EB6">
        <w:t xml:space="preserve"> by měli v budoucnu zvážit pružnější provádění cíle politiky 5 bez přísných požadavků týkajících se strategií a správy, což by pomohlo otevřít jej všem druhům iniciativ přispívajících k regionálnímu a místnímu rozvoji;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N.</w:t>
      </w:r>
      <w:r w:rsidRPr="00B75EB6">
        <w:tab/>
        <w:t>vzhledem k tomu, že cílem integrovaných územních investic a komunitně vedeného místního rozvoje by mělo být nejen umožnit přístup zdola nahoru k územnímu rozvoji zapojením místních a regionálních správních orgánů od samého počátku, ale rovněž usnadnit dialog mezi různými zúčastněnými stranami a zvýšit spolupráci mezi veřejným a soukromým sektorem, jakož i podporu spolupráce a předávání informací mezi všemi úrovněmi veřejné správy;</w:t>
      </w:r>
    </w:p>
    <w:p w:rsidR="0040028C" w:rsidRPr="00B75EB6" w:rsidRDefault="0040028C" w:rsidP="0040028C">
      <w:pPr>
        <w:pStyle w:val="NormalHanging12a"/>
      </w:pPr>
      <w:r w:rsidRPr="00B75EB6">
        <w:t>O.</w:t>
      </w:r>
      <w:r w:rsidRPr="00B75EB6">
        <w:tab/>
        <w:t>vzhledem k tomu, že Územní agenda 2030 vyzývá Parlament a jeho Výbor pro regionální rozvoj jako výbor příslušný pro ekonomickou, sociální a územní soudržnost, aby zohlednily její cíle tím, že budou prosazovat její priority v legislativních procesech EU;</w:t>
      </w:r>
    </w:p>
    <w:p w:rsidR="0040028C" w:rsidRPr="00B75EB6" w:rsidRDefault="0040028C" w:rsidP="0040028C">
      <w:pPr>
        <w:pStyle w:val="NormalHanging12a"/>
      </w:pPr>
      <w:r w:rsidRPr="00B75EB6">
        <w:lastRenderedPageBreak/>
        <w:t>P.</w:t>
      </w:r>
      <w:r w:rsidRPr="00B75EB6">
        <w:tab/>
        <w:t>vzhledem k tomu, že integrovaný územní rozvoj a místně orientované politiky jsou nezbytnými podmínkami pro dosažení strategických cílů EU, jako je ekologická a digitální transformace; vzhledem k tomu, že místně orientované politiky mohou pomoci územím předejít dlouhodobému hospodářskému poklesu a tzv. pasti regionálního rozvoje, která se vyznačuje tím, že region není schopen udržet svou hospodářskou dynamiku, pokud jde o příjmy, produktivitu a zaměstnanost;</w:t>
      </w:r>
    </w:p>
    <w:p w:rsidR="0040028C" w:rsidRPr="00B75EB6" w:rsidRDefault="0040028C" w:rsidP="0040028C">
      <w:pPr>
        <w:pStyle w:val="NormalHanging12a"/>
      </w:pPr>
      <w:r w:rsidRPr="00B75EB6">
        <w:t>Q.</w:t>
      </w:r>
      <w:r w:rsidRPr="00B75EB6">
        <w:tab/>
        <w:t>vzhledem k tomu, že Územní agenda 2030 stanovuje dva zastřešující cíle, spravedlivá Evropa a zelená Evropa, které mají šest priorit (vyvážená Evropa, funkční regiony, integrace za hranicemi, zdravé životní prostředí, oběhové hospodářství a udržitelná propojenost) pro rozvoj evropského území jako celku i všech jeho lokalit; vzhledem k tomu, že Územní agenda 2030 dále slaďuje cíle EU v oblasti územního rozvoje s Agendou OSN pro udržitelný rozvoj 2030 a Zelenou dohodou pro Evropu; vzhledem k tomu, že městská agenda EU podporuje prostřednictvím Lipské charty cíle Územní agendy 2030;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R.</w:t>
      </w:r>
      <w:r w:rsidRPr="00B75EB6">
        <w:tab/>
        <w:t>vzhledem k tomu, že silný společný územní rozvoj prostřednictvím nařízení o společných ustanoveních a provádění Územní agendy 2030 může být hnací silou pro posílení solidarity a demokratických procesů a pro spravedlivou a zelenou EU; vzhledem k tomu, že přidaná hodnota územních přístupů spočívá v tom, že uplatňují strategické, prostorové hledisko, které zahrnuje specifické kombinace sociálních, institucionálních, hospodářských a environmentálních výzev a příležitostí, které ovlivňují rozvoj všech typů území;</w:t>
      </w:r>
    </w:p>
    <w:p w:rsidR="0040028C" w:rsidRPr="00B75EB6" w:rsidRDefault="0040028C" w:rsidP="0040028C">
      <w:pPr>
        <w:pStyle w:val="NormalHanging12a"/>
      </w:pPr>
      <w:r w:rsidRPr="00B75EB6">
        <w:t>S.</w:t>
      </w:r>
      <w:r w:rsidRPr="00B75EB6">
        <w:tab/>
        <w:t>vzhledem k tomu, že provádění priorit Územní agendy 2030 zůstává v EU nerovnoměrné, zejména s ohledem na územní rozdíly, jako je ostrovní charakter; vzhledem k tomu, že závěry Územní agendy 2030 poukazují na rostoucí nerovnosti v EU, které prohlubují rozdíly mezi lidmi a mezi územími;</w:t>
      </w:r>
    </w:p>
    <w:p w:rsidR="0040028C" w:rsidRPr="00B75EB6" w:rsidRDefault="0040028C" w:rsidP="0040028C">
      <w:pPr>
        <w:pStyle w:val="NormalHanging12a"/>
      </w:pPr>
      <w:r w:rsidRPr="00B75EB6">
        <w:t>T.</w:t>
      </w:r>
      <w:r w:rsidRPr="00B75EB6">
        <w:tab/>
        <w:t>vzhledem k tomu, že Územní agenda EU 2030 vyzývá k posílení územního rozměru odvětvových politik na všech úrovních správy; vzhledem k tomu, že hlavní zásady Územní agendy 2030 jsou zahrnuty do dvou priorit „Lidé a lokality se vzdalují“ a „Udržitelný rozvoj a změna klimatu“;</w:t>
      </w:r>
    </w:p>
    <w:p w:rsidR="0040028C" w:rsidRPr="00B75EB6" w:rsidRDefault="0040028C" w:rsidP="0040028C">
      <w:pPr>
        <w:pStyle w:val="NormalHanging12a"/>
      </w:pPr>
      <w:r w:rsidRPr="00B75EB6">
        <w:t>U.</w:t>
      </w:r>
      <w:r w:rsidRPr="00B75EB6">
        <w:tab/>
        <w:t xml:space="preserve">vzhledem k tomu, že spolu s přijetím Územní agendy 2030 bylo zahájeno sedm pilotních akcí, které slouží jako příklad uplatňování jejích cílů v praxi na místní a regionální úrovni a inspirují společné akce v Evropě:  „Budoucnost pro zaostávající oblasti“, „Porozumět tomu, jak odvětvové politiky vedou k územní (ne)rovnováze“, „Malé lokality jsou důležité“, „Přeshraniční územní plánování“, „Opatření v oblasti klimatu v alpských městech“, „Přizpůsobení se změně klimatu a odolnost vůči ní prostřednictvím transformace krajiny“ a „Omezení </w:t>
      </w:r>
      <w:proofErr w:type="spellStart"/>
      <w:r w:rsidRPr="00B75EB6">
        <w:t>artificializace</w:t>
      </w:r>
      <w:proofErr w:type="spellEnd"/>
      <w:r w:rsidRPr="00B75EB6">
        <w:t xml:space="preserve"> půdy, rozrůstání měst a zakrývání půdy v různě velkých městech a funkčních městských oblastech“;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V.</w:t>
      </w:r>
      <w:r w:rsidRPr="00B75EB6">
        <w:tab/>
        <w:t>vzhledem k tomu, že s ohledem na omezenou geografickou rovnováhu při vývoji těchto pilotních akcí a administrativní obtíže, s nimiž se potýkají pilotní akce v případech financování z několika programů, je třeba zlepšit shromažďování údajů a provést ucelenou revizi Územní agendy 2030;</w:t>
      </w:r>
    </w:p>
    <w:p w:rsidR="0040028C" w:rsidRPr="00B75EB6" w:rsidRDefault="0040028C" w:rsidP="0040028C">
      <w:pPr>
        <w:pStyle w:val="NormalHanging12a"/>
      </w:pPr>
      <w:r w:rsidRPr="00B75EB6">
        <w:t>1.</w:t>
      </w:r>
      <w:r w:rsidRPr="00B75EB6">
        <w:tab/>
        <w:t xml:space="preserve">zdůrazňuje, že v období let 2014–2020 bylo pouze 28 % strategií pro udržitelný rozvoj měst prováděno prostřednictvím integrovaných územních investic; vyzývá Komisi, aby přijala opatření na podporu využívání těchto nástrojů k rozvoji Územní agendy 2030, </w:t>
      </w:r>
      <w:r w:rsidRPr="00B75EB6">
        <w:lastRenderedPageBreak/>
        <w:t>zejména prostřednictvím intenzivnějších komunikačních činností;</w:t>
      </w:r>
    </w:p>
    <w:p w:rsidR="0040028C" w:rsidRPr="00B75EB6" w:rsidRDefault="0040028C" w:rsidP="0040028C">
      <w:pPr>
        <w:pStyle w:val="NormalHanging12a"/>
      </w:pPr>
      <w:r w:rsidRPr="00B75EB6">
        <w:t>2.</w:t>
      </w:r>
      <w:r w:rsidRPr="00B75EB6">
        <w:tab/>
        <w:t xml:space="preserve">zdůrazňuje cenný přínos činností prováděných prostřednictvím komunitně vedeného místního rozvoje, jako jsou činnosti v rámci iniciativy LEADER, k územnímu rozvoji; vyzývá Komisi a členské státy, aby </w:t>
      </w:r>
      <w:proofErr w:type="gramStart"/>
      <w:r w:rsidRPr="00B75EB6">
        <w:t>posílily</w:t>
      </w:r>
      <w:proofErr w:type="gramEnd"/>
      <w:r w:rsidRPr="00B75EB6">
        <w:t xml:space="preserve"> iniciativu </w:t>
      </w:r>
      <w:proofErr w:type="gramStart"/>
      <w:r w:rsidRPr="00B75EB6">
        <w:t>LEADER</w:t>
      </w:r>
      <w:proofErr w:type="gramEnd"/>
      <w:r w:rsidRPr="00B75EB6">
        <w:t xml:space="preserve"> tím, že navýší její rozpočtové krytí, zaručí vysokou míru autonomie místních akčních skupin, pokud jde o jejich zřízení a rozhodování, a sníží administrativní zátěž;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3.</w:t>
      </w:r>
      <w:r w:rsidRPr="00B75EB6">
        <w:tab/>
        <w:t>vyzývá Komisi, aby využila výsledky nadcházející hodnotící zprávy z roku 2024 na programové období 2014–2020, jakož i výsledky činností prováděných prostřednictvím komunitně vedeného místního rozvoje, jako jsou činnosti v rámci iniciativy LEADER, na podporu programů na období 2021–2027; poukazuje na význam kvalitativní analýzy nástrojů územního rozvoje; vyjadřuje v této souvislosti politování nad závěry zvláštní zprávy Evropského účetního dvora o iniciativě LEADER a komunitně vedeném místním rozvoji uvádějícími, že jejich přínosy nejsou dostatečně prokázány;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4.</w:t>
      </w:r>
      <w:r w:rsidRPr="00B75EB6">
        <w:tab/>
        <w:t>vítá vydání Příručky strategií územního a místního rozvoje a Příručky strategií udržitelného rozvoje měst coby průvodců navrhováním, prováděním a sledováním strategií územního a místního rozvoje, včetně městského, na všech správních úrovních; domnívá se, že by se mělo podporovat šíření osvědčených postupů s cílem zajistit, aby projekty byly účinné a udržitelné; vyjadřuje však politování nad opožděnou publikací těchto příruček a vybízí Komisi, aby včas vypracovala pokyny ke zjednodušení procesu vypracovávání programů; zdůrazňuje, že je třeba poskytnout členským státům podrobnější pokyny a větší flexibilitu, pokud jde o provádění cíle politiky 5 „Evropa bližší občanům“ a opatření k jejímu dosažení, a sladit je s opatřeními stanovenými v Územní agendě 2030 a vytvořit pobídky k přidělování většího množství finančních prostředků na cíl politiky 5;</w:t>
      </w:r>
    </w:p>
    <w:p w:rsidR="0040028C" w:rsidRPr="00B75EB6" w:rsidRDefault="0040028C" w:rsidP="0040028C">
      <w:pPr>
        <w:pStyle w:val="NormalHanging12a"/>
      </w:pPr>
      <w:r w:rsidRPr="00B75EB6">
        <w:t>5.</w:t>
      </w:r>
      <w:r w:rsidRPr="00B75EB6">
        <w:tab/>
        <w:t>vyzývá členské státy, aby podporovaly strategické územní plánování, které bere v úvahu území jako celek nad rámec metropolitních, městských a funkčních městských oblastí; dále vyzývá členské státy, aby posílily vazby mezi venkovem a městem jako jeden ze způsobů, jak dosáhnout vyváženějšího územního rozvoje v celé Unii, a aby zvážily přeshraniční plánování a provádění prostřednictvím přístupů zdola nahoru, jako jsou komunitně vedený místní rozvoj nebo integrované územní investice;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6.</w:t>
      </w:r>
      <w:r w:rsidRPr="00B75EB6">
        <w:tab/>
        <w:t>vyzývá Komisi a Radu, aby vyčlenily finanční prostředky pro venkovské oblasti a regiony, které jsou závažně a trvale znevýhodněny přírodními nebo demografickými podmínkami, stejným způsobem, jako je 8 % prostředků politiky soudržnosti účelově vázáno na rozvoj programů v rámci městské agendy; konstatuje, že tyto prostředky by měly být využívány převážně prostřednictvím nástrojů integrovaného územního rozvoje;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7.</w:t>
      </w:r>
      <w:r w:rsidRPr="00B75EB6">
        <w:tab/>
        <w:t xml:space="preserve">bere v úvahu kapacity místních a regionálních orgánů při provádění a řízení územních nástrojů a považuje za nezbytné změnit paradigma zapojení místních a regionálních orgánů do plánování, provádění a řízení územních nástrojů; vyzývá k účinnému uplatňování zásady partnerství a k důkladné konzultaci s místními a regionálními orgány a dalšími zúčastněnými stranami před stanovením opatření v rámci integrovaných územních investic a komunitně vedeného místního rozvoje; zdůrazňuje význam přístupu zdola nahoru v rámci územního rozvoje, který posiluje odpovědnost občanů za rozvoj svých území;  </w:t>
      </w:r>
    </w:p>
    <w:p w:rsidR="0040028C" w:rsidRPr="00B75EB6" w:rsidRDefault="0040028C" w:rsidP="0040028C">
      <w:pPr>
        <w:pStyle w:val="NormalHanging12a"/>
      </w:pPr>
      <w:r w:rsidRPr="00B75EB6">
        <w:lastRenderedPageBreak/>
        <w:t>8.</w:t>
      </w:r>
      <w:r w:rsidRPr="00B75EB6">
        <w:tab/>
        <w:t>vyzývá ke sloučení strategií územního nebo místního rozvoje financovaných z více než jednoho programu do jedné linie v souladu s článkem 28 nařízení o společných ustanoveních a v případě potřeby s podporou Komise, aby se předešlo zpožděním a administrativním překážkám; vítá možnost, která byla zavedena v programovém období 2021–2027, určit hlavní fond pro strategie financované z více než jednoho fondu;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9.</w:t>
      </w:r>
      <w:r w:rsidRPr="00B75EB6">
        <w:tab/>
        <w:t>konstatuje, že územní nástroje, jako je např. komunitně vedený místní rozvoj nebo integrované územní investice, jsou osvědčeným způsobem, jak přiblížit Evropu občanům; konstatuje, že údaje uvedené ve STRAT-</w:t>
      </w:r>
      <w:proofErr w:type="spellStart"/>
      <w:r w:rsidRPr="00B75EB6">
        <w:t>Board</w:t>
      </w:r>
      <w:proofErr w:type="spellEnd"/>
      <w:r w:rsidRPr="00B75EB6">
        <w:t xml:space="preserve"> za období 2014–2020 ukazují, že komunitně vedený místní rozvoj hrál významnou úlohu při rozvoji územních strategií, přičemž zdůrazňuje velký zájem místní úrovně o aktivní účast na rozvoji těchto strategií; vyzývá členské státy a Komisi, aby zjednodušily administrativní proces správy fondů, zejména v případech, kdy komunitně vedený místní rozvoj čerpá z více než jednoho fondu; zdůrazňuje, že integrované územní investice jsou hlavním nástrojem, který využívají členské státy s větším přídělem prostředků z EFRR, neboť mohou rychle absorbovat částky a jsou schopny pokrýt několik hlavních os, které jsou přítomny v jednom nebo několika programech;</w:t>
      </w:r>
    </w:p>
    <w:p w:rsidR="0040028C" w:rsidRPr="00B75EB6" w:rsidRDefault="0040028C" w:rsidP="0040028C">
      <w:pPr>
        <w:pStyle w:val="NormalHanging12a"/>
      </w:pPr>
      <w:r w:rsidRPr="00B75EB6">
        <w:t>10.</w:t>
      </w:r>
      <w:r w:rsidRPr="00B75EB6">
        <w:tab/>
        <w:t>zdůrazňuje, že existuje zřejmý rozdíl mezi členskými státy, které se rozhodly rozvíjet integrované územní investice a komunitně vedený místní rozvoj, a těmi, které se tak nerozhodly; vyzývá Komisi, aby tuto diferenciaci vyjasnila, aby se zabránilo geografickým rozdílům, a aby poskytla technickou podporu přizpůsobenou členským státům, které tyto územní nástroje nevyužily; vybízí všechny členské státy, aby více využívaly nástroje integrovaného územního rozvoje ve smyslu článku 28 nařízení o společných ustanoveních a zajistily dodržování partnerství ve smyslu článku 8 nařízení o společných ustanoveních; zastává názor, že by nástroje integrovaného územního rozvoje a komunitně vedený místní rozvoj měly být pro členské státy povinné;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11.</w:t>
      </w:r>
      <w:r w:rsidRPr="00B75EB6">
        <w:tab/>
        <w:t xml:space="preserve">vítá technická zjednodušení územního rozvoje zavedená v programovém období 2021–2027; vyzývá však Komisi a členské státy, aby omezily nezbytné dodatečné správní předpisy na nezbytné minimum a aby se více zaměřily na proporcionalitu, neboť malé projekty mají v současné době poměrně vyšší administrativní zátěž (pro příjemce) a administrativní náklady (pro programové orgány) než větší projekty; </w:t>
      </w:r>
    </w:p>
    <w:p w:rsidR="0040028C" w:rsidRPr="00B75EB6" w:rsidRDefault="0040028C" w:rsidP="0040028C">
      <w:pPr>
        <w:pStyle w:val="NormalHanging12a"/>
      </w:pPr>
      <w:r w:rsidRPr="00B75EB6">
        <w:t>12.</w:t>
      </w:r>
      <w:r w:rsidRPr="00B75EB6">
        <w:tab/>
        <w:t>domnívá se, že Územní agenda 2030 je skutečným a vhodným nástrojem, jehož cílem je omezit prostorový rozměr nerovností a zajistit soudržnost EU prostřednictvím řízení každého z jejích regionů a jejich zvláštností; domnívá se proto, že by se společnosti a území měly více zapojit do uznání významu této agendy; vyzývá Evropskou komisi, aby změnily úlohu Územní agendy 2030 nad rámec příručky pro územní plánování;</w:t>
      </w:r>
    </w:p>
    <w:p w:rsidR="0040028C" w:rsidRPr="00B75EB6" w:rsidRDefault="0040028C" w:rsidP="0040028C">
      <w:pPr>
        <w:pStyle w:val="NormalHanging12a"/>
      </w:pPr>
      <w:r w:rsidRPr="00B75EB6">
        <w:t>13.</w:t>
      </w:r>
      <w:r w:rsidRPr="00B75EB6">
        <w:tab/>
        <w:t>konstatuje, že Územní agenda 2030 nejen podporuje místně orientované politické reakce na územní výzvy, ale poskytuje také vizi a ambice, pokud jde o cíl územní soudržnosti, prostřednictvím lepšího zapojení místních a regionálních orgánů a občanů;</w:t>
      </w:r>
    </w:p>
    <w:p w:rsidR="0040028C" w:rsidRPr="00B75EB6" w:rsidRDefault="0040028C" w:rsidP="00BE00C9">
      <w:pPr>
        <w:pStyle w:val="NormalHanging12a"/>
      </w:pPr>
      <w:r w:rsidRPr="00B75EB6">
        <w:t>14.</w:t>
      </w:r>
      <w:r w:rsidRPr="00B75EB6">
        <w:tab/>
        <w:t xml:space="preserve">zdůrazňuje, že ačkoli je financování z více zdrojů jedním z hlavních účelů integrovaných územních nástrojů, ze současných zjištění vyplývá, že využívání vícenásobného financování může v některých zemích stále být obtížné, zejména proto, že v současném období již není EZFRV (rozvoj venkova) zahrnut do nařízení o společných ustanoveních, a proto by byla zapotřebí dodatečná a konkrétní opatření ke sladění pravidel EZFRV a dalších fondů politiky soudržnosti (tj. využití různých fondů </w:t>
      </w:r>
      <w:r w:rsidRPr="00B75EB6">
        <w:lastRenderedPageBreak/>
        <w:t>EU pro integrované projekty na místní úrovni, které se zabývají několika politickými cíli);</w:t>
      </w:r>
    </w:p>
    <w:p w:rsidR="0040028C" w:rsidRPr="00B75EB6" w:rsidRDefault="0040028C" w:rsidP="00BE00C9">
      <w:pPr>
        <w:pStyle w:val="NormalHanging12a"/>
      </w:pPr>
      <w:r w:rsidRPr="00B75EB6">
        <w:t>15.</w:t>
      </w:r>
      <w:r w:rsidRPr="00B75EB6">
        <w:tab/>
        <w:t>vyzývá členské státy, aby aktivně prosazovaly začleňování hlediska rovnosti žen a mužů při přípravě a provádění pilotních projektů Územní agendy 2030 v praxi;</w:t>
      </w:r>
    </w:p>
    <w:p w:rsidR="0040028C" w:rsidRPr="00B75EB6" w:rsidRDefault="0040028C" w:rsidP="00BE00C9">
      <w:pPr>
        <w:widowControl/>
        <w:spacing w:after="240"/>
        <w:ind w:left="567" w:hanging="567"/>
      </w:pPr>
      <w:r w:rsidRPr="00B75EB6">
        <w:t>16.</w:t>
      </w:r>
      <w:r w:rsidRPr="00B75EB6">
        <w:tab/>
        <w:t>zdůrazňuje, že spravedlivý a důstojný příjem a kvalita života občanů a jejich rodin ve venkovských oblastech mají zásadní význam pro zajištění sociálního pokroku a úspěšného územního a místního rozvoje; trvá na tom, že je třeba zajistit důstojné pracovní a životní podmínky a sociální ochranu pro všechny;</w:t>
      </w:r>
    </w:p>
    <w:p w:rsidR="0040028C" w:rsidRPr="00B75EB6" w:rsidRDefault="0040028C" w:rsidP="00BE00C9">
      <w:pPr>
        <w:widowControl/>
        <w:spacing w:after="240"/>
        <w:ind w:left="567" w:hanging="567"/>
      </w:pPr>
      <w:r w:rsidRPr="00B75EB6">
        <w:t>17.</w:t>
      </w:r>
      <w:r w:rsidRPr="00B75EB6">
        <w:tab/>
        <w:t>zdůrazňuje, že je důležité zlepšit soudržnost politik a provádět ověřování dopadu budoucích integrovaných iniciativ EU v oblasti územního rozvoje a jiných relevantních iniciativ na venkovské oblasti s cílem posoudit soudržnost a doplňkovost politik EU a jejich možný dopad na venkovské oblasti, a tak účinně předcházet vylidňování venkova a usnadnit generační obměnu, rovný přístup k vysoce kvalitním základním službám a vytváření pracovních míst ve venkovských oblastech; zdůrazňuje důležitost mechanismu ověřování dopadu na venkovské oblasti, a to i v případě, že členské státy posuzují dopady navrhovaných právních předpisů na venkovské oblasti; zdůrazňuje, že je důležité zapojit místní a regionální orgány do definování a provádění mechanismů ověřování dopadu na venkovské oblasti, jakož i do jejich správy na úrovni EU i na vnitrostátní úrovni s cílem bojovat proti sociálnímu vyloučení souvisejícímu s dopravou a zlepšit územní dostupnost dotčených oblastí tak, aby se zlepšila přeshraniční spolupráce a spolupráce mezi venkovem a městy, přístup k širokopásmovému internetu a odpovídajícím službám, zejména ve zdravotnictví a školství, jakož i diverzifikace venkovské ekonomiky a oživení venkovských oblastí, zvýšení přitažlivosti těchto oblastí a zajištění udržitelné budoucnosti těchto komunit;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18.</w:t>
      </w:r>
      <w:r w:rsidRPr="00B75EB6">
        <w:tab/>
        <w:t>zdůrazňuje, že opatření v rámci Územní agendy 2030 by měla hrát ústřední úlohu v dohodách o partnerství a programech; zdůrazňuje, že opatření Územní agendy 2030 by měla být při přidělování finančních prostředků rozhodnější a že je třeba podporovat začlenění Územní agendy 2030 do politik EU se zaměřením na co nejnižší úrovně správy; domnívá se, že by Územní agenda 2030 měla mít v budoucím víceletém finančním rámci zajištěno odpovídající financování a metodiku přidělování;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19.</w:t>
      </w:r>
      <w:r w:rsidRPr="00B75EB6">
        <w:tab/>
        <w:t>vyzdvihuje, že je nezbytné zahrnout priority a cíle Územní agendy 2030 do legislativních nástrojů a programů fondů politiky soudržnosti, které by měly být přizpůsobeny každému území; vítá pilotní akce Územní agendy 2030, které byly vyvinuty, a vyzývá členské státy a Komisi, aby do těchto opatření nadále investovaly, zlepšily jejich zeměpisnou rovnováhu a lépe je koordinovaly s principy Územní agendy 2030;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20.</w:t>
      </w:r>
      <w:r w:rsidRPr="00B75EB6">
        <w:tab/>
        <w:t xml:space="preserve">zdůrazňuje, že je třeba zapojit Parlament, zejména jeho příslušný Výbor pro regionální rozvoj, do pilotních akcí, aby bylo zajištěno, že budou v souladu se stávajícími prioritami EU, a podpořit výsledky pilotních akcí a informovat o nich na úrovni EU a integrovat je a koordinovat s iniciativami, jako je politika soudržnosti, zejména EFRR a </w:t>
      </w:r>
      <w:proofErr w:type="spellStart"/>
      <w:r w:rsidRPr="00B75EB6">
        <w:t>Interreg</w:t>
      </w:r>
      <w:proofErr w:type="spellEnd"/>
      <w:r w:rsidRPr="00B75EB6">
        <w:t>;</w:t>
      </w:r>
    </w:p>
    <w:p w:rsidR="0040028C" w:rsidRPr="00B75EB6" w:rsidRDefault="0040028C" w:rsidP="0040028C">
      <w:pPr>
        <w:pStyle w:val="NormalHanging12a"/>
      </w:pPr>
      <w:r w:rsidRPr="00B75EB6">
        <w:t>21.</w:t>
      </w:r>
      <w:r w:rsidRPr="00B75EB6">
        <w:tab/>
        <w:t xml:space="preserve">vyzývá k vypracování strategie pro usnadnění součinnosti mezi různými fondy EU pro projekty prováděné prostřednictvím územních nástrojů a k administrativnímu zjednodušení pilotních akcí financovaných z více než jednoho fondu s cílem snížit </w:t>
      </w:r>
      <w:r w:rsidRPr="00B75EB6">
        <w:lastRenderedPageBreak/>
        <w:t>administrativní překážky a usnadnit podávání žádostí o tyto projekty;</w:t>
      </w:r>
    </w:p>
    <w:p w:rsidR="0040028C" w:rsidRPr="00B75EB6" w:rsidRDefault="0040028C" w:rsidP="0040028C">
      <w:pPr>
        <w:pStyle w:val="NormalHanging12a"/>
      </w:pPr>
      <w:r w:rsidRPr="00B75EB6">
        <w:t>22.</w:t>
      </w:r>
      <w:r w:rsidRPr="00B75EB6">
        <w:tab/>
        <w:t>domnívá se, že podniky by mohly hrát zásadní úlohu ve strategiích územního rozvoje; vyzývá Komisi, aby podporovala ujednání o spolupráci mezi podniky a místními a regionálními orgány s cílem rozvíjet projekty územního rozvoje, které podporují vytváření pracovních míst a hospodářský růst;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23.</w:t>
      </w:r>
      <w:r w:rsidRPr="00B75EB6">
        <w:tab/>
        <w:t xml:space="preserve">poukazuje na obrovský potenciál Územní agendy 2030 a jejích současných a budoucích pilotních projektů pro řešení velmi rozmanitých potřeb </w:t>
      </w:r>
      <w:proofErr w:type="spellStart"/>
      <w:r w:rsidRPr="00B75EB6">
        <w:t>neměstských</w:t>
      </w:r>
      <w:proofErr w:type="spellEnd"/>
      <w:r w:rsidRPr="00B75EB6">
        <w:t xml:space="preserve"> oblastí, včetně venkovských oblastí, horských oblastí, ostrovů a pobřežních oblastí, odlehlých a řídce osídlených oblastí a mnoha dalších typů území, kde vedle sebe existují různé městské a venkovské prvky; zdůrazňuje zejména skutečnost, že venkovské oblasti se často potýkají s demografickými problémy, nízkou hustotou obyvatelstva a omezeným přístupem ke službám obecného zájmu a jejich kvalitou, přičemž nejsou vždy schopny navrhovat a zavádět inovativní řešení a mohou tak mít velký prospěch z výměny osvědčených postupů;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24.</w:t>
      </w:r>
      <w:r w:rsidRPr="00B75EB6">
        <w:tab/>
        <w:t>zdůrazňuje, že je třeba více šířit činnosti a úspěchy pilotních projektů jako příklady provádění evropských fondů; je nakloněn myšlence pořádat jednou za dva roky konferenci s cílem prezentovat tyto pilotní akce místním a regionálním orgánům a příslušným aktérům na vnitrostátní úrovni a na úrovni EU a propojit je s dalšími akcemi, jako jsou akce v rámci Paktu pro venkov nebo Fóra měst;</w:t>
      </w:r>
    </w:p>
    <w:p w:rsidR="0040028C" w:rsidRPr="00B75EB6" w:rsidRDefault="0040028C" w:rsidP="0040028C">
      <w:pPr>
        <w:pStyle w:val="NormalHanging12a"/>
      </w:pPr>
      <w:r w:rsidRPr="00B75EB6">
        <w:t>25.</w:t>
      </w:r>
      <w:r w:rsidRPr="00B75EB6">
        <w:tab/>
        <w:t>vyzývá členské státy, aby rozvíjely své územní agendy v souladu s Územní agendou 2030, která bude představovat základ pro plánování územních strategií, brát v úvahu zvláštnosti a velmi různorodé potřeby každého z jejich regionů, sloužit jako pobídka a podněcovat rozhodovací proces a navrhování územních a městských politik; dále vyzývá členské státy, aby umožnily různé územní strategie všem regionům EU, včetně venkovských oblastí, oblastí postižených průmyslovou transformací a regionů, které jsou závažně a trvale znevýhodněny přírodními nebo demografickými podmínkami, jako jsou například nejsevernější regiony s velmi nízkou hustotou obyvatelstva a ostrovní, přeshraniční a horské regiony.</w:t>
      </w:r>
    </w:p>
    <w:p w:rsidR="0040028C" w:rsidRPr="00B75EB6" w:rsidRDefault="0040028C" w:rsidP="0040028C">
      <w:pPr>
        <w:pStyle w:val="NormalHanging12a"/>
      </w:pPr>
      <w:r w:rsidRPr="00B75EB6">
        <w:t>26.</w:t>
      </w:r>
      <w:r w:rsidRPr="00B75EB6">
        <w:tab/>
        <w:t>zdůrazňuje, že dobré fungování správních struktur může určovat optimální kombinaci investičních priorit s cílem dosáhnout nezbytné víceúrovňové vertikální a horizontální koordinace při navrhování a realizaci integrovaných rozvojových strategií;</w:t>
      </w:r>
    </w:p>
    <w:p w:rsidR="0040028C" w:rsidRPr="00B75EB6" w:rsidRDefault="0040028C" w:rsidP="0040028C">
      <w:pPr>
        <w:pStyle w:val="NormalHanging12a"/>
      </w:pPr>
      <w:r w:rsidRPr="00B75EB6">
        <w:t>27.</w:t>
      </w:r>
      <w:r w:rsidRPr="00B75EB6">
        <w:tab/>
        <w:t>vyzývá členské státy a Komisi, aby podporovaly provádění Územní agendy 2030 nad rámec pilotních akcí a učinily z tohoto nástroje referenční rámec pro činnost, který poskytne konkrétní a upravené pokyny ke zlepšení výkonnosti území EU; vyzdvihuje příležitost propojit regionální financování s dosažením priorit Územní agendy 2030 a vyzývá Komisi, aby vypracovala monitorovací ukazatele propojující Územní agendu 2030 a využívání fondů politiky soudržnosti, zejména EFRR;</w:t>
      </w:r>
    </w:p>
    <w:p w:rsidR="0040028C" w:rsidRPr="00B75EB6" w:rsidRDefault="0040028C" w:rsidP="0040028C">
      <w:pPr>
        <w:pStyle w:val="NormalHanging12a"/>
      </w:pPr>
      <w:r w:rsidRPr="00B75EB6">
        <w:t>28.</w:t>
      </w:r>
      <w:r w:rsidRPr="00B75EB6">
        <w:tab/>
        <w:t xml:space="preserve">znovu opakuje, že je naléhavě nutné posílit politiku EU v oblasti zmírňování změny klimatu a přizpůsobování se této změně, a to i s ohledem na rostoucí trend extrémních povětrnostních jevů v posledních letech a měsících v EU; vyzývá proto orgány veřejné správy, aby pokračovaly v boji proti změně klimatu; v této souvislosti zdůrazňuje, že je třeba zvýšit ambice a kvalitu pilotních projektů v rámci cíle „zelená Evropa“ a jeho první priority „zdravé životní prostředí“; zdůrazňuje, že územní rozvoj je klíčem k budování odolných regionů a zajištění udržitelného provádění financování politiky </w:t>
      </w:r>
      <w:r w:rsidRPr="00B75EB6">
        <w:lastRenderedPageBreak/>
        <w:t>soudržnosti;</w:t>
      </w:r>
    </w:p>
    <w:p w:rsidR="0040028C" w:rsidRPr="00B75EB6" w:rsidRDefault="0040028C" w:rsidP="0040028C">
      <w:pPr>
        <w:pStyle w:val="NormalHanging12a"/>
        <w:ind w:hanging="425"/>
      </w:pPr>
      <w:r w:rsidRPr="00B75EB6">
        <w:t>29.</w:t>
      </w:r>
      <w:r w:rsidRPr="00B75EB6">
        <w:tab/>
        <w:t>vítá návrh Evropského hospodářského a sociálního výboru na podporu celoevropské charty práv a povinností ve venkovských a městských oblastech; je rovněž přesvědčen, že je zapotřebí větší spolupráce s městskými oblastmi, aby se zajistilo, že žádná oblast ani občan nebudou „opomíjeni“ při spravedlivém přechodu na klimaticky neutrální, udržitelnou a prosperující Evropskou unii, která bude usilovat o splnění závazku venkova a měst ke spravedlivému přístupu a prokáže přidanou hodnotu spolupráce venkovských a městských organizací;</w:t>
      </w:r>
    </w:p>
    <w:p w:rsidR="0040028C" w:rsidRPr="00B75EB6" w:rsidRDefault="0040028C" w:rsidP="0040028C">
      <w:pPr>
        <w:pStyle w:val="NormalHanging12a"/>
      </w:pPr>
      <w:r w:rsidRPr="00B75EB6">
        <w:t>30.</w:t>
      </w:r>
      <w:r w:rsidRPr="00B75EB6">
        <w:tab/>
        <w:t>zdůrazňuje, že je nezbytné zajistit vyváženější rozvoj regionů EU zaručením lepšího rozdělování finančních prostředků EU, včetně podpory společné zemědělské politiky v rámci členských států a mezi nimi; zdůrazňuje, že je nemožné dosáhnout udržitelného a dlouhodobého územního rozvoje, pokud bude podpora poskytována různým regionům na základě historických údajů;</w:t>
      </w:r>
    </w:p>
    <w:p w:rsidR="0040028C" w:rsidRPr="00B75EB6" w:rsidRDefault="0040028C" w:rsidP="0040028C">
      <w:pPr>
        <w:pStyle w:val="NormalHanging12a"/>
      </w:pPr>
      <w:r w:rsidRPr="00B75EB6">
        <w:t>31.</w:t>
      </w:r>
      <w:r w:rsidRPr="00B75EB6">
        <w:tab/>
        <w:t>konstatuje, že stále více lidí se rozhoduje žít ve městech a pracovat ve venkovských oblastech; vyzývá Komisi, aby navrhla programy, které zohledňují všechna území, včetně metropolitních, městských a funkčních oblastí; vybízí Komisi, aby iniciativu LEADER navrhla tak, aby ji mohla využívat i malá města;</w:t>
      </w:r>
    </w:p>
    <w:p w:rsidR="0040028C" w:rsidRPr="00B75EB6" w:rsidRDefault="0040028C" w:rsidP="0040028C">
      <w:pPr>
        <w:pStyle w:val="NormalHanging12a"/>
      </w:pPr>
      <w:r w:rsidRPr="00B75EB6">
        <w:t>32.</w:t>
      </w:r>
      <w:r w:rsidRPr="00B75EB6">
        <w:tab/>
        <w:t>vyzývá Komisi, aby v zájmu účinnějšího překonání územní nerovnováhy a funkčního nesouladu propojila zkušenosti získané při provádění Územní agendy 2030 s budoucí politikou soudržnosti a doporučeními skupiny na vysoké úrovni pro budoucnost politiky soudržnosti; podtrhuje příležitost, kterou nabízí Územní agenda 2030 coby nástroj pro hodnocení dopadu politiky soudržnosti s ohledem na cíl územní soudržnosti;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33.</w:t>
      </w:r>
      <w:r w:rsidRPr="00B75EB6">
        <w:tab/>
        <w:t>vyzývá Komisi a členské státy, aby do konce roku 2024 provedly soudržný přezkum Územní agendy 2030, včetně důkladného přezkumu jejího systému správy, pokroku dosaženého při provádění a relevantnosti jejích priorit, jak je uvedeno v Územní agendě 2030;</w:t>
      </w:r>
    </w:p>
    <w:p w:rsidR="0040028C" w:rsidRPr="00B75EB6" w:rsidRDefault="0040028C" w:rsidP="0040028C">
      <w:pPr>
        <w:pStyle w:val="NormalHanging12a"/>
      </w:pPr>
      <w:r w:rsidRPr="00B75EB6">
        <w:t>34.</w:t>
      </w:r>
      <w:r w:rsidRPr="00B75EB6">
        <w:tab/>
        <w:t>vítá závaznou povahu metodiky popsané v Příručce strategií územního a místního rozvoje, která přikládá územním politikám stejný význam jako městským politikám;</w:t>
      </w:r>
    </w:p>
    <w:p w:rsidR="0040028C" w:rsidRPr="00B75EB6" w:rsidRDefault="0040028C" w:rsidP="0040028C">
      <w:pPr>
        <w:pStyle w:val="NormalHanging12a"/>
      </w:pPr>
      <w:r w:rsidRPr="00B75EB6">
        <w:t>35.</w:t>
      </w:r>
      <w:r w:rsidRPr="00B75EB6">
        <w:tab/>
        <w:t>vyzývá k vytvoření jednotného rámce pro strategie zaměřené jak na městský, tak na širší územní rozvoj, přičemž územní požadavky budou posuzovány jako celek; vyzdvihuje, že to by mohlo výrazně snížit byrokratické překážky při získávání finančních prostředků;</w:t>
      </w:r>
    </w:p>
    <w:p w:rsidR="0040028C" w:rsidRPr="00B75EB6" w:rsidRDefault="0040028C" w:rsidP="0040028C">
      <w:pPr>
        <w:pStyle w:val="NormalHanging12a"/>
      </w:pPr>
      <w:r w:rsidRPr="00B75EB6">
        <w:t>36.</w:t>
      </w:r>
      <w:r w:rsidRPr="00B75EB6">
        <w:tab/>
        <w:t>vyzývá Komisi, aby zajistila řádné čerpání finančních prostředků a uplatňování územních nástrojů a upřednostňovala účinné řízení bez nepřiměřené byrokracie; zdůrazňuje, že je třeba zjednodušit přístup k finančním prostředkům, které určí jednotná kontaktní místa pro potenciální příjemce prostředků z fondů soudržnosti EU a projektů integrovaných územních investic nebo komunitně vedeného místního rozvoje, zejména pokud jde o přístup k informacím o typu financování, administrativních požadavcích a způsobilosti;</w:t>
      </w:r>
    </w:p>
    <w:p w:rsidR="0040028C" w:rsidRPr="00B75EB6" w:rsidRDefault="0040028C" w:rsidP="0040028C">
      <w:pPr>
        <w:pStyle w:val="NormalHanging12a"/>
      </w:pPr>
      <w:r w:rsidRPr="00B75EB6">
        <w:t>37.</w:t>
      </w:r>
      <w:r w:rsidRPr="00B75EB6">
        <w:tab/>
        <w:t xml:space="preserve">oceňuje práci Evropské rady v její úloze při rozvoji územních činností členských států; vyzývá členské státy, aby zajistily dostatečné lidské zdroje jak pro řídicí orgány, tak pro prováděcí orgány odpovědné za integrované územní investice nebo komunitně vedený </w:t>
      </w:r>
      <w:r w:rsidRPr="00B75EB6">
        <w:lastRenderedPageBreak/>
        <w:t>místní rozvoj, s cílem zajistit technickou podporu a poradenské služby konkrétně pro místní akční skupiny a partnery integrované územní investice a umožnit dodržování předpisů;</w:t>
      </w:r>
    </w:p>
    <w:p w:rsidR="0040028C" w:rsidRPr="00B75EB6" w:rsidRDefault="0040028C" w:rsidP="0040028C">
      <w:pPr>
        <w:pStyle w:val="NormalHanging12a"/>
      </w:pPr>
      <w:r w:rsidRPr="00B75EB6">
        <w:t>38.</w:t>
      </w:r>
      <w:r w:rsidRPr="00B75EB6">
        <w:tab/>
        <w:t>vyzývá Komisi, aby zvýšila své zapojení do územní politiky prostřednictvím politiky soudržnosti a posílila správu regionů s cílem podporovat soudržnost a </w:t>
      </w:r>
      <w:proofErr w:type="spellStart"/>
      <w:r w:rsidRPr="00B75EB6">
        <w:t>mikrosoudržnost</w:t>
      </w:r>
      <w:proofErr w:type="spellEnd"/>
      <w:r w:rsidRPr="00B75EB6">
        <w:t xml:space="preserve"> tím, že pokryje zvláštnosti každého regionu, zlepší rozhodování na místní a regionální úrovni a bude uplatňovat stávající nástroje, aby se zlepšilo řízení legislativních nástrojů; dále vyzývá Komisi a členské státy, aby i nadále podporovaly fondy politiky soudržnosti s cílem zvýšit odolnost územního rozvoje, zejména aby bylo možné zmírnit dopady neočekávaných událostí, chránit regiony před jejich následky a dodržovat zásadu nepoškozování soudržnosti;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39.</w:t>
      </w:r>
      <w:r w:rsidRPr="00B75EB6">
        <w:tab/>
        <w:t xml:space="preserve">je si vědom vlivu rozhodnutí v rámci semestru EU na územní soudržnost, a tudíž i na schopnost rozvíjet územní programy; zdůrazňuje proto opět, že je třeba posílit územní rozměr evropského semestru a zlepšit vzájemný vztah mezi politikou soudržnosti a evropskou správou ekonomických záležitostí a zapojit místní a regionální orgány do všech fází postupů spojených s evropským semestrem a jeho doporučeními pro jednotlivé země; 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40.</w:t>
      </w:r>
      <w:r w:rsidRPr="00B75EB6">
        <w:tab/>
        <w:t>vyzývá Evropský výbor regionů a Evropský hospodářský a sociální výbor, aby hrály aktivnější úlohu při kontrole a dalším rozvoji Územní agendy 2030; vyzývá Komisi, aby vypracovala studii o schopnosti každého regionu zmírnit budoucí globální výzvy, které mají dopad na územní soudržnost; konstatuje, že to by poskytlo nástroj rychlé reakce, který by umožnil flexibilitu při přidělování nebo posílení zdrojů v závislosti na situaci v regionech EU v reálném čase;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41.</w:t>
      </w:r>
      <w:r w:rsidRPr="00B75EB6">
        <w:tab/>
        <w:t>zdůrazňuje význam územních nástrojů z hlediska zvýšené a inkluzivní účasti občanské společnosti a místních a regionálních samospráv; vyzývá Komisi, aby prozkoumala nové způsoby dalšího zvyšování povědomí o jejich důvodech a podstatného zvýšení využívání integrovaných územních investic a komunitně vedeného místního rozvoje, a to i případným vyčleněním procentního podílu, který by měl být použit v rámci politiky soudržnosti po roce 2027;</w:t>
      </w:r>
    </w:p>
    <w:p w:rsidR="0040028C" w:rsidRPr="00B75EB6" w:rsidRDefault="0040028C" w:rsidP="0040028C">
      <w:pPr>
        <w:pStyle w:val="NormalHanging12a"/>
        <w:rPr>
          <w:szCs w:val="24"/>
        </w:rPr>
      </w:pPr>
      <w:r w:rsidRPr="00B75EB6">
        <w:t>42.</w:t>
      </w:r>
      <w:r w:rsidRPr="00B75EB6">
        <w:tab/>
        <w:t xml:space="preserve">vyzývá Evropskou investiční banku, aby navýšila finanční prostředky určené na fondy politiky soudržnosti zaměřené na zajištění rovnováhy a řádného fungování regionů; </w:t>
      </w:r>
    </w:p>
    <w:p w:rsidR="0040028C" w:rsidRPr="00B75EB6" w:rsidRDefault="0040028C" w:rsidP="0040028C">
      <w:pPr>
        <w:pStyle w:val="NormalHanging12a"/>
      </w:pPr>
      <w:r w:rsidRPr="00B75EB6">
        <w:t>43.</w:t>
      </w:r>
      <w:r w:rsidRPr="00B75EB6">
        <w:tab/>
        <w:t xml:space="preserve">pověřuje svou předsedkyni, aby předala toto usnesení Radě, Komisi a vnitrostátním a regionálním parlamentům členských států. </w:t>
      </w:r>
    </w:p>
    <w:p w:rsidR="0040028C" w:rsidRPr="00B75EB6" w:rsidRDefault="0040028C" w:rsidP="0040028C"/>
    <w:sectPr w:rsidR="0040028C" w:rsidRPr="00B75EB6" w:rsidSect="00B75E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BA2" w:rsidRPr="00B75EB6" w:rsidRDefault="00F34BA2">
      <w:r w:rsidRPr="00B75EB6">
        <w:separator/>
      </w:r>
    </w:p>
  </w:endnote>
  <w:endnote w:type="continuationSeparator" w:id="0">
    <w:p w:rsidR="00F34BA2" w:rsidRPr="00B75EB6" w:rsidRDefault="00F34BA2">
      <w:r w:rsidRPr="00B75E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5E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5E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5E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BA2" w:rsidRPr="00B75EB6" w:rsidRDefault="00F34BA2">
      <w:r w:rsidRPr="00B75EB6">
        <w:separator/>
      </w:r>
    </w:p>
  </w:footnote>
  <w:footnote w:type="continuationSeparator" w:id="0">
    <w:p w:rsidR="00F34BA2" w:rsidRPr="00B75EB6" w:rsidRDefault="00F34BA2">
      <w:r w:rsidRPr="00B75EB6">
        <w:continuationSeparator/>
      </w:r>
    </w:p>
  </w:footnote>
  <w:footnote w:id="1">
    <w:p w:rsidR="0040028C" w:rsidRPr="00BE00C9" w:rsidRDefault="0040028C" w:rsidP="00B75EB6">
      <w:pPr>
        <w:pStyle w:val="FootnoteText1"/>
        <w:ind w:left="567" w:hanging="567"/>
        <w:jc w:val="left"/>
        <w:rPr>
          <w:sz w:val="24"/>
          <w:szCs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hyperlink r:id="rId1" w:history="1">
        <w:proofErr w:type="spellStart"/>
        <w:r w:rsidRPr="00BE00C9">
          <w:rPr>
            <w:sz w:val="24"/>
            <w:szCs w:val="24"/>
            <w:lang w:val="cs-CZ" w:eastAsia="fr-FR"/>
          </w:rPr>
          <w:t>Úř</w:t>
        </w:r>
        <w:proofErr w:type="spellEnd"/>
        <w:r w:rsidRPr="00BE00C9">
          <w:rPr>
            <w:sz w:val="24"/>
            <w:szCs w:val="24"/>
            <w:lang w:val="cs-CZ" w:eastAsia="fr-FR"/>
          </w:rPr>
          <w:t>. </w:t>
        </w:r>
        <w:proofErr w:type="spellStart"/>
        <w:proofErr w:type="gramStart"/>
        <w:r w:rsidRPr="00BE00C9">
          <w:rPr>
            <w:sz w:val="24"/>
            <w:szCs w:val="24"/>
            <w:lang w:val="cs-CZ" w:eastAsia="fr-FR"/>
          </w:rPr>
          <w:t>věst</w:t>
        </w:r>
        <w:proofErr w:type="spellEnd"/>
        <w:proofErr w:type="gramEnd"/>
        <w:r w:rsidRPr="00BE00C9">
          <w:rPr>
            <w:sz w:val="24"/>
            <w:szCs w:val="24"/>
            <w:lang w:val="cs-CZ" w:eastAsia="fr-FR"/>
          </w:rPr>
          <w:t>.</w:t>
        </w:r>
      </w:hyperlink>
      <w:r w:rsidRPr="00BE00C9">
        <w:rPr>
          <w:sz w:val="24"/>
          <w:szCs w:val="24"/>
          <w:lang w:val="cs-CZ"/>
        </w:rPr>
        <w:t xml:space="preserve"> L 231, </w:t>
      </w:r>
      <w:proofErr w:type="gramStart"/>
      <w:r w:rsidRPr="00BE00C9">
        <w:rPr>
          <w:sz w:val="24"/>
          <w:szCs w:val="24"/>
          <w:lang w:val="cs-CZ"/>
        </w:rPr>
        <w:t>30.6.2021</w:t>
      </w:r>
      <w:proofErr w:type="gramEnd"/>
      <w:r w:rsidRPr="00BE00C9">
        <w:rPr>
          <w:sz w:val="24"/>
          <w:szCs w:val="24"/>
          <w:lang w:val="cs-CZ"/>
        </w:rPr>
        <w:t>, s. 159.</w:t>
      </w:r>
    </w:p>
  </w:footnote>
  <w:footnote w:id="2">
    <w:p w:rsidR="0040028C" w:rsidRPr="00BE00C9" w:rsidRDefault="0040028C" w:rsidP="00B75EB6">
      <w:pPr>
        <w:pStyle w:val="FootnoteText1"/>
        <w:ind w:left="567" w:hanging="567"/>
        <w:jc w:val="left"/>
        <w:rPr>
          <w:sz w:val="24"/>
          <w:szCs w:val="24"/>
          <w:lang w:val="cs-CZ"/>
        </w:rPr>
      </w:pPr>
      <w:r w:rsidRPr="00BE00C9">
        <w:rPr>
          <w:rStyle w:val="FootnoteReference"/>
          <w:sz w:val="24"/>
          <w:szCs w:val="24"/>
          <w:lang w:val="cs-CZ"/>
        </w:rPr>
        <w:footnoteRef/>
      </w:r>
      <w:r w:rsidR="00B75EB6" w:rsidRPr="00BE00C9">
        <w:rPr>
          <w:sz w:val="24"/>
          <w:szCs w:val="24"/>
          <w:lang w:val="cs-CZ"/>
        </w:rPr>
        <w:t xml:space="preserve"> </w:t>
      </w:r>
      <w:r w:rsidR="00B75EB6" w:rsidRPr="00BE00C9">
        <w:rPr>
          <w:sz w:val="24"/>
          <w:szCs w:val="24"/>
          <w:lang w:val="cs-CZ"/>
        </w:rPr>
        <w:tab/>
      </w:r>
      <w:hyperlink r:id="rId2" w:history="1">
        <w:proofErr w:type="spellStart"/>
        <w:r w:rsidRPr="00BE00C9">
          <w:rPr>
            <w:sz w:val="24"/>
            <w:szCs w:val="24"/>
            <w:lang w:val="cs-CZ" w:eastAsia="fr-FR"/>
          </w:rPr>
          <w:t>Úř</w:t>
        </w:r>
        <w:proofErr w:type="spellEnd"/>
        <w:r w:rsidRPr="00BE00C9">
          <w:rPr>
            <w:sz w:val="24"/>
            <w:szCs w:val="24"/>
            <w:lang w:val="cs-CZ" w:eastAsia="fr-FR"/>
          </w:rPr>
          <w:t xml:space="preserve">. </w:t>
        </w:r>
        <w:proofErr w:type="spellStart"/>
        <w:proofErr w:type="gramStart"/>
        <w:r w:rsidRPr="00BE00C9">
          <w:rPr>
            <w:sz w:val="24"/>
            <w:szCs w:val="24"/>
            <w:lang w:val="cs-CZ" w:eastAsia="fr-FR"/>
          </w:rPr>
          <w:t>věst</w:t>
        </w:r>
        <w:proofErr w:type="spellEnd"/>
        <w:proofErr w:type="gramEnd"/>
        <w:r w:rsidRPr="00BE00C9">
          <w:rPr>
            <w:sz w:val="24"/>
            <w:szCs w:val="24"/>
            <w:lang w:val="cs-CZ" w:eastAsia="fr-FR"/>
          </w:rPr>
          <w:t>.</w:t>
        </w:r>
      </w:hyperlink>
      <w:r w:rsidRPr="00BE00C9">
        <w:rPr>
          <w:sz w:val="24"/>
          <w:szCs w:val="24"/>
          <w:lang w:val="cs-CZ"/>
        </w:rPr>
        <w:t xml:space="preserve"> L 231, </w:t>
      </w:r>
      <w:proofErr w:type="gramStart"/>
      <w:r w:rsidRPr="00BE00C9">
        <w:rPr>
          <w:sz w:val="24"/>
          <w:szCs w:val="24"/>
          <w:lang w:val="cs-CZ"/>
        </w:rPr>
        <w:t>30.6.2021</w:t>
      </w:r>
      <w:proofErr w:type="gramEnd"/>
      <w:r w:rsidRPr="00BE00C9">
        <w:rPr>
          <w:sz w:val="24"/>
          <w:szCs w:val="24"/>
          <w:lang w:val="cs-CZ"/>
        </w:rPr>
        <w:t>, s. 60.</w:t>
      </w:r>
    </w:p>
  </w:footnote>
  <w:footnote w:id="3">
    <w:p w:rsidR="0040028C" w:rsidRPr="00BE00C9" w:rsidRDefault="0040028C" w:rsidP="00B75EB6">
      <w:pPr>
        <w:pStyle w:val="FootnoteText1"/>
        <w:ind w:left="567" w:hanging="567"/>
        <w:jc w:val="left"/>
        <w:rPr>
          <w:sz w:val="24"/>
          <w:szCs w:val="24"/>
          <w:lang w:val="cs-CZ"/>
        </w:rPr>
      </w:pPr>
      <w:r w:rsidRPr="00BE00C9">
        <w:rPr>
          <w:rStyle w:val="FootnoteReference"/>
          <w:sz w:val="24"/>
          <w:szCs w:val="24"/>
          <w:lang w:val="cs-CZ"/>
        </w:rPr>
        <w:footnoteRef/>
      </w:r>
      <w:r w:rsidR="00B75EB6" w:rsidRPr="00BE00C9">
        <w:rPr>
          <w:sz w:val="24"/>
          <w:szCs w:val="24"/>
          <w:lang w:val="cs-CZ"/>
        </w:rPr>
        <w:t xml:space="preserve"> </w:t>
      </w:r>
      <w:r w:rsidR="00B75EB6" w:rsidRPr="00BE00C9">
        <w:rPr>
          <w:sz w:val="24"/>
          <w:szCs w:val="24"/>
          <w:lang w:val="cs-CZ"/>
        </w:rPr>
        <w:tab/>
      </w:r>
      <w:hyperlink r:id="rId3" w:history="1">
        <w:proofErr w:type="spellStart"/>
        <w:r w:rsidRPr="00BE00C9">
          <w:rPr>
            <w:sz w:val="24"/>
            <w:szCs w:val="24"/>
            <w:lang w:val="cs-CZ" w:eastAsia="fr-FR"/>
          </w:rPr>
          <w:t>Úř</w:t>
        </w:r>
        <w:proofErr w:type="spellEnd"/>
        <w:r w:rsidRPr="00BE00C9">
          <w:rPr>
            <w:sz w:val="24"/>
            <w:szCs w:val="24"/>
            <w:lang w:val="cs-CZ" w:eastAsia="fr-FR"/>
          </w:rPr>
          <w:t xml:space="preserve">. </w:t>
        </w:r>
        <w:proofErr w:type="spellStart"/>
        <w:proofErr w:type="gramStart"/>
        <w:r w:rsidRPr="00BE00C9">
          <w:rPr>
            <w:sz w:val="24"/>
            <w:szCs w:val="24"/>
            <w:lang w:val="cs-CZ" w:eastAsia="fr-FR"/>
          </w:rPr>
          <w:t>věst</w:t>
        </w:r>
        <w:proofErr w:type="spellEnd"/>
        <w:proofErr w:type="gramEnd"/>
        <w:r w:rsidRPr="00BE00C9">
          <w:rPr>
            <w:sz w:val="24"/>
            <w:szCs w:val="24"/>
            <w:lang w:val="cs-CZ" w:eastAsia="fr-FR"/>
          </w:rPr>
          <w:t>.</w:t>
        </w:r>
      </w:hyperlink>
      <w:r w:rsidRPr="00BE00C9">
        <w:rPr>
          <w:sz w:val="24"/>
          <w:szCs w:val="24"/>
          <w:lang w:val="cs-CZ"/>
        </w:rPr>
        <w:t xml:space="preserve"> L 231, </w:t>
      </w:r>
      <w:proofErr w:type="gramStart"/>
      <w:r w:rsidRPr="00BE00C9">
        <w:rPr>
          <w:sz w:val="24"/>
          <w:szCs w:val="24"/>
          <w:lang w:val="cs-CZ"/>
        </w:rPr>
        <w:t>30.6.2021</w:t>
      </w:r>
      <w:proofErr w:type="gramEnd"/>
      <w:r w:rsidRPr="00BE00C9">
        <w:rPr>
          <w:sz w:val="24"/>
          <w:szCs w:val="24"/>
          <w:lang w:val="cs-CZ"/>
        </w:rPr>
        <w:t>, s. 94.</w:t>
      </w:r>
    </w:p>
  </w:footnote>
  <w:footnote w:id="4">
    <w:p w:rsidR="0040028C" w:rsidRPr="00BE00C9" w:rsidRDefault="0040028C" w:rsidP="00B75EB6">
      <w:pPr>
        <w:pStyle w:val="FootnoteText"/>
        <w:ind w:left="567" w:hanging="567"/>
        <w:rPr>
          <w:sz w:val="24"/>
          <w:szCs w:val="24"/>
          <w:lang w:val="cs-CZ"/>
        </w:rPr>
      </w:pPr>
      <w:r w:rsidRPr="00BE00C9">
        <w:rPr>
          <w:rStyle w:val="FootnoteReference"/>
          <w:sz w:val="24"/>
          <w:szCs w:val="24"/>
          <w:lang w:val="cs-CZ"/>
        </w:rPr>
        <w:footnoteRef/>
      </w:r>
      <w:r w:rsidR="00B75EB6" w:rsidRPr="00BE00C9">
        <w:rPr>
          <w:sz w:val="24"/>
          <w:szCs w:val="24"/>
          <w:lang w:val="cs-CZ"/>
        </w:rPr>
        <w:t xml:space="preserve"> </w:t>
      </w:r>
      <w:r w:rsidR="00B75EB6" w:rsidRPr="00BE00C9">
        <w:rPr>
          <w:sz w:val="24"/>
          <w:szCs w:val="24"/>
          <w:lang w:val="cs-CZ"/>
        </w:rPr>
        <w:tab/>
      </w:r>
      <w:proofErr w:type="spellStart"/>
      <w:r w:rsidRPr="00BE00C9">
        <w:rPr>
          <w:sz w:val="24"/>
          <w:szCs w:val="24"/>
          <w:lang w:val="cs-CZ"/>
        </w:rPr>
        <w:t>Úř</w:t>
      </w:r>
      <w:proofErr w:type="spellEnd"/>
      <w:r w:rsidRPr="00BE00C9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E00C9">
        <w:rPr>
          <w:sz w:val="24"/>
          <w:szCs w:val="24"/>
          <w:lang w:val="cs-CZ"/>
        </w:rPr>
        <w:t>věst</w:t>
      </w:r>
      <w:proofErr w:type="spellEnd"/>
      <w:proofErr w:type="gramEnd"/>
      <w:r w:rsidRPr="00BE00C9">
        <w:rPr>
          <w:sz w:val="24"/>
          <w:szCs w:val="24"/>
          <w:lang w:val="cs-CZ"/>
        </w:rPr>
        <w:t xml:space="preserve">. L 231, </w:t>
      </w:r>
      <w:proofErr w:type="gramStart"/>
      <w:r w:rsidRPr="00BE00C9">
        <w:rPr>
          <w:sz w:val="24"/>
          <w:szCs w:val="24"/>
          <w:lang w:val="cs-CZ"/>
        </w:rPr>
        <w:t>30.6.2021</w:t>
      </w:r>
      <w:proofErr w:type="gramEnd"/>
      <w:r w:rsidRPr="00BE00C9">
        <w:rPr>
          <w:sz w:val="24"/>
          <w:szCs w:val="24"/>
          <w:lang w:val="cs-CZ"/>
        </w:rPr>
        <w:t>, s. 1.</w:t>
      </w:r>
    </w:p>
  </w:footnote>
  <w:footnote w:id="5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L 435, </w:t>
      </w:r>
      <w:proofErr w:type="gramStart"/>
      <w:r w:rsidRPr="00B75EB6">
        <w:rPr>
          <w:sz w:val="24"/>
          <w:lang w:val="cs-CZ"/>
        </w:rPr>
        <w:t>6.12.2021</w:t>
      </w:r>
      <w:proofErr w:type="gramEnd"/>
      <w:r w:rsidRPr="00B75EB6">
        <w:rPr>
          <w:sz w:val="24"/>
          <w:lang w:val="cs-CZ"/>
        </w:rPr>
        <w:t>, s. 1.</w:t>
      </w:r>
    </w:p>
  </w:footnote>
  <w:footnote w:id="6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L 437, </w:t>
      </w:r>
      <w:proofErr w:type="gramStart"/>
      <w:r w:rsidRPr="00B75EB6">
        <w:rPr>
          <w:sz w:val="24"/>
          <w:lang w:val="cs-CZ"/>
        </w:rPr>
        <w:t>28.12.2020</w:t>
      </w:r>
      <w:proofErr w:type="gramEnd"/>
      <w:r w:rsidRPr="00B75EB6">
        <w:rPr>
          <w:sz w:val="24"/>
          <w:lang w:val="cs-CZ"/>
        </w:rPr>
        <w:t>, s. 1.</w:t>
      </w:r>
    </w:p>
  </w:footnote>
  <w:footnote w:id="7">
    <w:p w:rsidR="0040028C" w:rsidRPr="00B75EB6" w:rsidRDefault="0040028C" w:rsidP="00B75EB6">
      <w:pPr>
        <w:pStyle w:val="FootnoteText1"/>
        <w:ind w:left="567" w:hanging="567"/>
        <w:jc w:val="left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>. 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L 347, </w:t>
      </w:r>
      <w:proofErr w:type="gramStart"/>
      <w:r w:rsidRPr="00B75EB6">
        <w:rPr>
          <w:sz w:val="24"/>
          <w:lang w:val="cs-CZ"/>
        </w:rPr>
        <w:t>20.12.2013</w:t>
      </w:r>
      <w:proofErr w:type="gramEnd"/>
      <w:r w:rsidRPr="00B75EB6">
        <w:rPr>
          <w:sz w:val="24"/>
          <w:lang w:val="cs-CZ"/>
        </w:rPr>
        <w:t>, s. 320.</w:t>
      </w:r>
    </w:p>
  </w:footnote>
  <w:footnote w:id="8">
    <w:p w:rsidR="0040028C" w:rsidRPr="00B75EB6" w:rsidRDefault="0040028C" w:rsidP="00B75EB6">
      <w:pPr>
        <w:pStyle w:val="FootnoteText1"/>
        <w:ind w:left="567" w:hanging="567"/>
        <w:jc w:val="left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 125, </w:t>
      </w:r>
      <w:proofErr w:type="gramStart"/>
      <w:r w:rsidRPr="00B75EB6">
        <w:rPr>
          <w:sz w:val="24"/>
          <w:lang w:val="cs-CZ"/>
        </w:rPr>
        <w:t>5.4.2023</w:t>
      </w:r>
      <w:proofErr w:type="gramEnd"/>
      <w:r w:rsidRPr="00B75EB6">
        <w:rPr>
          <w:sz w:val="24"/>
          <w:lang w:val="cs-CZ"/>
        </w:rPr>
        <w:t>, s. 56.</w:t>
      </w:r>
    </w:p>
  </w:footnote>
  <w:footnote w:id="9">
    <w:p w:rsidR="0040028C" w:rsidRPr="00B75EB6" w:rsidRDefault="0040028C" w:rsidP="00B75EB6">
      <w:pPr>
        <w:pStyle w:val="FootnoteText1"/>
        <w:ind w:left="567" w:hanging="567"/>
        <w:jc w:val="left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 177, </w:t>
      </w:r>
      <w:proofErr w:type="gramStart"/>
      <w:r w:rsidRPr="00B75EB6">
        <w:rPr>
          <w:sz w:val="24"/>
          <w:lang w:val="cs-CZ"/>
        </w:rPr>
        <w:t>17.5.2023</w:t>
      </w:r>
      <w:proofErr w:type="gramEnd"/>
      <w:r w:rsidRPr="00B75EB6">
        <w:rPr>
          <w:sz w:val="24"/>
          <w:lang w:val="cs-CZ"/>
        </w:rPr>
        <w:t>, s. 35.</w:t>
      </w:r>
    </w:p>
  </w:footnote>
  <w:footnote w:id="10">
    <w:p w:rsidR="0040028C" w:rsidRPr="00B75EB6" w:rsidRDefault="0040028C" w:rsidP="00B75EB6">
      <w:pPr>
        <w:pStyle w:val="FootnoteText1"/>
        <w:ind w:left="567" w:hanging="567"/>
        <w:jc w:val="left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 125, </w:t>
      </w:r>
      <w:proofErr w:type="gramStart"/>
      <w:r w:rsidRPr="00B75EB6">
        <w:rPr>
          <w:sz w:val="24"/>
          <w:lang w:val="cs-CZ"/>
        </w:rPr>
        <w:t>5.4.2023</w:t>
      </w:r>
      <w:proofErr w:type="gramEnd"/>
      <w:r w:rsidRPr="00B75EB6">
        <w:rPr>
          <w:sz w:val="24"/>
          <w:lang w:val="cs-CZ"/>
        </w:rPr>
        <w:t>, s. 100.</w:t>
      </w:r>
    </w:p>
  </w:footnote>
  <w:footnote w:id="11">
    <w:p w:rsidR="0040028C" w:rsidRPr="00B75EB6" w:rsidRDefault="0040028C" w:rsidP="00B75EB6">
      <w:pPr>
        <w:pStyle w:val="FootnoteText1"/>
        <w:ind w:left="567" w:hanging="567"/>
        <w:jc w:val="left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 342, </w:t>
      </w:r>
      <w:proofErr w:type="gramStart"/>
      <w:r w:rsidRPr="00B75EB6">
        <w:rPr>
          <w:sz w:val="24"/>
          <w:lang w:val="cs-CZ"/>
        </w:rPr>
        <w:t>6.9.2022</w:t>
      </w:r>
      <w:proofErr w:type="gramEnd"/>
      <w:r w:rsidRPr="00B75EB6">
        <w:rPr>
          <w:sz w:val="24"/>
          <w:lang w:val="cs-CZ"/>
        </w:rPr>
        <w:t>, s. 2.</w:t>
      </w:r>
    </w:p>
  </w:footnote>
  <w:footnote w:id="12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 15, </w:t>
      </w:r>
      <w:proofErr w:type="gramStart"/>
      <w:r w:rsidRPr="00B75EB6">
        <w:rPr>
          <w:sz w:val="24"/>
          <w:lang w:val="cs-CZ"/>
        </w:rPr>
        <w:t>12.1.2022</w:t>
      </w:r>
      <w:proofErr w:type="gramEnd"/>
      <w:r w:rsidRPr="00B75EB6">
        <w:rPr>
          <w:sz w:val="24"/>
          <w:lang w:val="cs-CZ"/>
        </w:rPr>
        <w:t>, s. 125.</w:t>
      </w:r>
    </w:p>
  </w:footnote>
  <w:footnote w:id="13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>. 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 494, </w:t>
      </w:r>
      <w:proofErr w:type="gramStart"/>
      <w:r w:rsidRPr="00B75EB6">
        <w:rPr>
          <w:sz w:val="24"/>
          <w:lang w:val="cs-CZ"/>
        </w:rPr>
        <w:t>8.12.2021</w:t>
      </w:r>
      <w:proofErr w:type="gramEnd"/>
      <w:r w:rsidRPr="00B75EB6">
        <w:rPr>
          <w:sz w:val="24"/>
          <w:lang w:val="cs-CZ"/>
        </w:rPr>
        <w:t>, s. 26.</w:t>
      </w:r>
    </w:p>
  </w:footnote>
  <w:footnote w:id="14">
    <w:p w:rsidR="0040028C" w:rsidRPr="00B75EB6" w:rsidRDefault="0040028C" w:rsidP="00B75EB6">
      <w:pPr>
        <w:pStyle w:val="FootnoteText1"/>
        <w:ind w:left="567" w:hanging="567"/>
        <w:jc w:val="left"/>
        <w:rPr>
          <w:sz w:val="24"/>
          <w:szCs w:val="16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hyperlink r:id="rId4" w:history="1">
        <w:proofErr w:type="spellStart"/>
        <w:r w:rsidRPr="00BE00C9">
          <w:rPr>
            <w:lang w:val="cs-CZ" w:eastAsia="fr-FR"/>
          </w:rPr>
          <w:t>Úř</w:t>
        </w:r>
        <w:proofErr w:type="spellEnd"/>
        <w:r w:rsidRPr="00BE00C9">
          <w:rPr>
            <w:lang w:val="cs-CZ" w:eastAsia="fr-FR"/>
          </w:rPr>
          <w:t xml:space="preserve">. </w:t>
        </w:r>
        <w:proofErr w:type="spellStart"/>
        <w:proofErr w:type="gramStart"/>
        <w:r w:rsidRPr="00BE00C9">
          <w:rPr>
            <w:lang w:val="cs-CZ" w:eastAsia="fr-FR"/>
          </w:rPr>
          <w:t>věst</w:t>
        </w:r>
        <w:proofErr w:type="spellEnd"/>
        <w:proofErr w:type="gramEnd"/>
        <w:r w:rsidRPr="00BE00C9">
          <w:rPr>
            <w:lang w:val="cs-CZ" w:eastAsia="fr-FR"/>
          </w:rPr>
          <w:t>.</w:t>
        </w:r>
      </w:hyperlink>
      <w:r w:rsidRPr="00B75EB6">
        <w:rPr>
          <w:sz w:val="24"/>
          <w:lang w:val="cs-CZ" w:eastAsia="fr-FR"/>
        </w:rPr>
        <w:t xml:space="preserve"> C</w:t>
      </w:r>
      <w:r w:rsidRPr="00B75EB6">
        <w:rPr>
          <w:sz w:val="24"/>
          <w:lang w:val="cs-CZ"/>
        </w:rPr>
        <w:t xml:space="preserve"> 162, </w:t>
      </w:r>
      <w:proofErr w:type="gramStart"/>
      <w:r w:rsidRPr="00B75EB6">
        <w:rPr>
          <w:sz w:val="24"/>
          <w:lang w:val="cs-CZ"/>
        </w:rPr>
        <w:t>10.5.2019</w:t>
      </w:r>
      <w:proofErr w:type="gramEnd"/>
      <w:r w:rsidRPr="00B75EB6">
        <w:rPr>
          <w:sz w:val="24"/>
          <w:lang w:val="cs-CZ"/>
        </w:rPr>
        <w:t>, s. 31.</w:t>
      </w:r>
    </w:p>
  </w:footnote>
  <w:footnote w:id="15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 xml:space="preserve">. 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C 429, </w:t>
      </w:r>
      <w:proofErr w:type="gramStart"/>
      <w:r w:rsidRPr="00B75EB6">
        <w:rPr>
          <w:sz w:val="24"/>
          <w:lang w:val="cs-CZ"/>
        </w:rPr>
        <w:t>11.12.2020</w:t>
      </w:r>
      <w:proofErr w:type="gramEnd"/>
      <w:r w:rsidRPr="00B75EB6">
        <w:rPr>
          <w:sz w:val="24"/>
          <w:lang w:val="cs-CZ"/>
        </w:rPr>
        <w:t>, s. 145.</w:t>
      </w:r>
    </w:p>
  </w:footnote>
  <w:footnote w:id="16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r w:rsidRPr="00B75EB6">
        <w:rPr>
          <w:sz w:val="24"/>
          <w:lang w:val="cs-CZ"/>
        </w:rPr>
        <w:t>Podrobná analýza „Územní agenda 2030 – přezkum provádění“, Evropský parlament, generální ředitelství pro vnitřní politiky, Tematická sekce B – Strukturální politika a politika soudržnosti, 7. června 2023.</w:t>
      </w:r>
    </w:p>
  </w:footnote>
  <w:footnote w:id="17">
    <w:p w:rsidR="0040028C" w:rsidRPr="00BE00C9" w:rsidRDefault="0040028C" w:rsidP="00B75EB6">
      <w:pPr>
        <w:pStyle w:val="FootnoteText1"/>
        <w:ind w:left="567" w:hanging="567"/>
        <w:jc w:val="left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r w:rsidRPr="00B75EB6">
        <w:rPr>
          <w:sz w:val="24"/>
          <w:lang w:val="cs-CZ"/>
        </w:rPr>
        <w:t>Evropská komise, „</w:t>
      </w:r>
      <w:proofErr w:type="spellStart"/>
      <w:r w:rsidR="00AD2AC2">
        <w:fldChar w:fldCharType="begin"/>
      </w:r>
      <w:r w:rsidR="00AD2AC2">
        <w:instrText xml:space="preserve"> HYPERLINK "https://ec.europa.eu/regional_policy/sources/studies/integrated_strategies/integrated_strategies_en.pdf" </w:instrText>
      </w:r>
      <w:r w:rsidR="00AD2AC2">
        <w:fldChar w:fldCharType="separate"/>
      </w:r>
      <w:r w:rsidRPr="00BE00C9">
        <w:rPr>
          <w:rStyle w:val="Hyperlink"/>
          <w:sz w:val="24"/>
          <w:u w:val="none"/>
          <w:lang w:val="cs-CZ"/>
        </w:rPr>
        <w:t>Integrated</w:t>
      </w:r>
      <w:proofErr w:type="spellEnd"/>
      <w:r w:rsidRPr="00BE00C9">
        <w:rPr>
          <w:rStyle w:val="Hyperlink"/>
          <w:sz w:val="24"/>
          <w:u w:val="none"/>
          <w:lang w:val="cs-CZ"/>
        </w:rPr>
        <w:t xml:space="preserve"> </w:t>
      </w:r>
      <w:proofErr w:type="spellStart"/>
      <w:r w:rsidRPr="00BE00C9">
        <w:rPr>
          <w:rStyle w:val="Hyperlink"/>
          <w:sz w:val="24"/>
          <w:u w:val="none"/>
          <w:lang w:val="cs-CZ"/>
        </w:rPr>
        <w:t>territorial</w:t>
      </w:r>
      <w:proofErr w:type="spellEnd"/>
      <w:r w:rsidRPr="00BE00C9">
        <w:rPr>
          <w:rStyle w:val="Hyperlink"/>
          <w:sz w:val="24"/>
          <w:u w:val="none"/>
          <w:lang w:val="cs-CZ"/>
        </w:rPr>
        <w:t xml:space="preserve"> and </w:t>
      </w:r>
      <w:proofErr w:type="spellStart"/>
      <w:r w:rsidRPr="00BE00C9">
        <w:rPr>
          <w:rStyle w:val="Hyperlink"/>
          <w:sz w:val="24"/>
          <w:u w:val="none"/>
          <w:lang w:val="cs-CZ"/>
        </w:rPr>
        <w:t>urban</w:t>
      </w:r>
      <w:proofErr w:type="spellEnd"/>
      <w:r w:rsidRPr="00BE00C9">
        <w:rPr>
          <w:rStyle w:val="Hyperlink"/>
          <w:sz w:val="24"/>
          <w:u w:val="none"/>
          <w:lang w:val="cs-CZ"/>
        </w:rPr>
        <w:t xml:space="preserve"> </w:t>
      </w:r>
      <w:proofErr w:type="spellStart"/>
      <w:r w:rsidRPr="00BE00C9">
        <w:rPr>
          <w:rStyle w:val="Hyperlink"/>
          <w:sz w:val="24"/>
          <w:u w:val="none"/>
          <w:lang w:val="cs-CZ"/>
        </w:rPr>
        <w:t>strategies</w:t>
      </w:r>
      <w:proofErr w:type="spellEnd"/>
      <w:r w:rsidRPr="00BE00C9">
        <w:rPr>
          <w:rStyle w:val="Hyperlink"/>
          <w:sz w:val="24"/>
          <w:u w:val="none"/>
          <w:lang w:val="cs-CZ"/>
        </w:rPr>
        <w:t>:</w:t>
      </w:r>
      <w:r w:rsidR="00AD2AC2">
        <w:rPr>
          <w:rStyle w:val="Hyperlink"/>
          <w:sz w:val="24"/>
          <w:u w:val="none"/>
          <w:lang w:val="cs-CZ"/>
        </w:rPr>
        <w:fldChar w:fldCharType="end"/>
      </w:r>
      <w:hyperlink r:id="rId5" w:history="1">
        <w:r w:rsidRPr="00BE00C9">
          <w:rPr>
            <w:rStyle w:val="Hyperlink"/>
            <w:sz w:val="24"/>
            <w:u w:val="none"/>
            <w:lang w:val="cs-CZ"/>
          </w:rPr>
          <w:t xml:space="preserve">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how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 xml:space="preserve"> are ESIF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adding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 xml:space="preserve">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value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 xml:space="preserve"> in 2014-2020?</w:t>
        </w:r>
      </w:hyperlink>
      <w:hyperlink r:id="rId6" w:history="1">
        <w:r w:rsidRPr="00BE00C9">
          <w:rPr>
            <w:rStyle w:val="Hyperlink"/>
            <w:sz w:val="24"/>
            <w:u w:val="none"/>
            <w:lang w:val="cs-CZ"/>
          </w:rPr>
          <w:t xml:space="preserve"> – závěrečná zpráva</w:t>
        </w:r>
      </w:hyperlink>
      <w:r w:rsidRPr="00BE00C9">
        <w:rPr>
          <w:sz w:val="24"/>
          <w:lang w:val="cs-CZ"/>
        </w:rPr>
        <w:t xml:space="preserve">“, prosinec 2017. </w:t>
      </w:r>
    </w:p>
  </w:footnote>
  <w:footnote w:id="18">
    <w:p w:rsidR="0040028C" w:rsidRPr="00BE00C9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E00C9">
        <w:rPr>
          <w:rStyle w:val="FootnoteReference"/>
          <w:sz w:val="24"/>
          <w:lang w:val="cs-CZ"/>
        </w:rPr>
        <w:footnoteRef/>
      </w:r>
      <w:r w:rsidR="00B75EB6" w:rsidRPr="00BE00C9">
        <w:rPr>
          <w:sz w:val="24"/>
          <w:lang w:val="cs-CZ"/>
        </w:rPr>
        <w:t xml:space="preserve"> </w:t>
      </w:r>
      <w:r w:rsidR="00B75EB6" w:rsidRPr="00BE00C9">
        <w:rPr>
          <w:sz w:val="24"/>
          <w:lang w:val="cs-CZ"/>
        </w:rPr>
        <w:tab/>
      </w:r>
      <w:r w:rsidRPr="00BE00C9">
        <w:rPr>
          <w:sz w:val="24"/>
          <w:lang w:val="cs-CZ"/>
        </w:rPr>
        <w:t>Evropská komise, „</w:t>
      </w:r>
      <w:hyperlink r:id="rId7" w:history="1">
        <w:r w:rsidRPr="00BE00C9">
          <w:rPr>
            <w:rStyle w:val="Hyperlink"/>
            <w:sz w:val="24"/>
            <w:u w:val="none"/>
            <w:lang w:val="cs-CZ"/>
          </w:rPr>
          <w:t>STRAT-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Board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>“</w:t>
        </w:r>
      </w:hyperlink>
      <w:r w:rsidRPr="00BE00C9">
        <w:rPr>
          <w:rStyle w:val="Hyperlink"/>
          <w:sz w:val="24"/>
          <w:u w:val="none"/>
          <w:lang w:val="cs-CZ"/>
        </w:rPr>
        <w:t>.</w:t>
      </w:r>
    </w:p>
  </w:footnote>
  <w:footnote w:id="19">
    <w:p w:rsidR="00AD2AC2" w:rsidRPr="005C6119" w:rsidRDefault="00AD2AC2" w:rsidP="00AD2AC2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5C6119">
        <w:rPr>
          <w:lang w:val="cs-CZ"/>
        </w:rPr>
        <w:t xml:space="preserve"> </w:t>
      </w:r>
      <w:r w:rsidRPr="005C6119">
        <w:rPr>
          <w:lang w:val="cs-CZ"/>
        </w:rPr>
        <w:tab/>
      </w:r>
      <w:r w:rsidRPr="00BE00C9">
        <w:rPr>
          <w:sz w:val="24"/>
          <w:lang w:val="cs-CZ"/>
        </w:rPr>
        <w:t>Evropská komise, „</w:t>
      </w:r>
      <w:hyperlink r:id="rId8" w:history="1">
        <w:r w:rsidRPr="00BE00C9">
          <w:rPr>
            <w:rStyle w:val="Hyperlink"/>
            <w:sz w:val="24"/>
            <w:u w:val="none"/>
            <w:lang w:val="cs-CZ"/>
          </w:rPr>
          <w:t xml:space="preserve">Handbook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of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 xml:space="preserve">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Sustainable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 xml:space="preserve"> Urban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Development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 xml:space="preserve"> </w:t>
        </w:r>
        <w:proofErr w:type="spellStart"/>
        <w:r w:rsidRPr="00BE00C9">
          <w:rPr>
            <w:rStyle w:val="Hyperlink"/>
            <w:sz w:val="24"/>
            <w:u w:val="none"/>
            <w:lang w:val="cs-CZ"/>
          </w:rPr>
          <w:t>Strategies</w:t>
        </w:r>
        <w:proofErr w:type="spellEnd"/>
        <w:r w:rsidRPr="00BE00C9">
          <w:rPr>
            <w:rStyle w:val="Hyperlink"/>
            <w:sz w:val="24"/>
            <w:u w:val="none"/>
            <w:lang w:val="cs-CZ"/>
          </w:rPr>
          <w:t>“</w:t>
        </w:r>
      </w:hyperlink>
    </w:p>
  </w:footnote>
  <w:footnote w:id="20">
    <w:p w:rsidR="00AD2AC2" w:rsidRPr="00AD2AC2" w:rsidRDefault="00AD2AC2" w:rsidP="00AD2AC2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AD2AC2">
        <w:rPr>
          <w:lang w:val="cs-CZ"/>
        </w:rPr>
        <w:t xml:space="preserve"> </w:t>
      </w:r>
      <w:r>
        <w:rPr>
          <w:lang w:val="cs-CZ"/>
        </w:rPr>
        <w:tab/>
      </w:r>
      <w:r w:rsidRPr="00AD2AC2">
        <w:rPr>
          <w:lang w:val="cs-CZ"/>
        </w:rPr>
        <w:t xml:space="preserve">Evropská komise, „Handbook </w:t>
      </w:r>
      <w:proofErr w:type="spellStart"/>
      <w:r w:rsidRPr="00AD2AC2">
        <w:rPr>
          <w:lang w:val="cs-CZ"/>
        </w:rPr>
        <w:t>of</w:t>
      </w:r>
      <w:proofErr w:type="spellEnd"/>
      <w:r w:rsidRPr="00AD2AC2">
        <w:rPr>
          <w:lang w:val="cs-CZ"/>
        </w:rPr>
        <w:t xml:space="preserve"> </w:t>
      </w:r>
      <w:proofErr w:type="spellStart"/>
      <w:r w:rsidRPr="00AD2AC2">
        <w:rPr>
          <w:lang w:val="cs-CZ"/>
        </w:rPr>
        <w:t>Sustainable</w:t>
      </w:r>
      <w:proofErr w:type="spellEnd"/>
      <w:r w:rsidRPr="00AD2AC2">
        <w:rPr>
          <w:lang w:val="cs-CZ"/>
        </w:rPr>
        <w:t xml:space="preserve"> Urban </w:t>
      </w:r>
      <w:proofErr w:type="spellStart"/>
      <w:r w:rsidRPr="00AD2AC2">
        <w:rPr>
          <w:lang w:val="cs-CZ"/>
        </w:rPr>
        <w:t>Development</w:t>
      </w:r>
      <w:proofErr w:type="spellEnd"/>
      <w:r w:rsidRPr="00AD2AC2">
        <w:rPr>
          <w:lang w:val="cs-CZ"/>
        </w:rPr>
        <w:t xml:space="preserve"> </w:t>
      </w:r>
      <w:proofErr w:type="spellStart"/>
      <w:r w:rsidRPr="00AD2AC2">
        <w:rPr>
          <w:lang w:val="cs-CZ"/>
        </w:rPr>
        <w:t>Strategies</w:t>
      </w:r>
      <w:proofErr w:type="spellEnd"/>
      <w:r w:rsidRPr="00AD2AC2">
        <w:rPr>
          <w:lang w:val="cs-CZ"/>
        </w:rPr>
        <w:t>“</w:t>
      </w:r>
    </w:p>
  </w:footnote>
  <w:footnote w:id="21">
    <w:p w:rsidR="0040028C" w:rsidRPr="00B75EB6" w:rsidRDefault="0040028C" w:rsidP="00B75EB6">
      <w:pPr>
        <w:pStyle w:val="FootnoteText"/>
        <w:ind w:left="567" w:hanging="567"/>
        <w:rPr>
          <w:sz w:val="24"/>
          <w:lang w:val="cs-CZ"/>
        </w:rPr>
      </w:pPr>
      <w:r w:rsidRPr="00B75EB6">
        <w:rPr>
          <w:rStyle w:val="FootnoteReference"/>
          <w:sz w:val="24"/>
          <w:lang w:val="cs-CZ"/>
        </w:rPr>
        <w:footnoteRef/>
      </w:r>
      <w:r w:rsidR="00B75EB6" w:rsidRPr="00B75EB6">
        <w:rPr>
          <w:sz w:val="24"/>
          <w:lang w:val="cs-CZ"/>
        </w:rPr>
        <w:t xml:space="preserve"> </w:t>
      </w:r>
      <w:r w:rsidR="00B75EB6" w:rsidRPr="00B75EB6">
        <w:rPr>
          <w:sz w:val="24"/>
          <w:lang w:val="cs-CZ"/>
        </w:rPr>
        <w:tab/>
      </w:r>
      <w:r w:rsidRPr="00B75EB6">
        <w:rPr>
          <w:sz w:val="24"/>
          <w:lang w:val="cs-CZ"/>
        </w:rPr>
        <w:t>Nařízení Evropského parlamentu a Rady (EU) č. 1301/2013 ze dne 17. prosince 2013 o Evropském fondu pro regionální rozvoj, o zvláštních ustanoveních týkajících se cíle Investice pro růst a zaměstnanost a o zruš</w:t>
      </w:r>
      <w:r w:rsidR="00BE00C9">
        <w:rPr>
          <w:sz w:val="24"/>
          <w:lang w:val="cs-CZ"/>
        </w:rPr>
        <w:t>ení nařízení (ES) č. 1080/2006 (</w:t>
      </w:r>
      <w:proofErr w:type="spellStart"/>
      <w:r w:rsidRPr="00B75EB6">
        <w:rPr>
          <w:sz w:val="24"/>
          <w:lang w:val="cs-CZ"/>
        </w:rPr>
        <w:t>Úř</w:t>
      </w:r>
      <w:proofErr w:type="spellEnd"/>
      <w:r w:rsidRPr="00B75EB6">
        <w:rPr>
          <w:sz w:val="24"/>
          <w:lang w:val="cs-CZ"/>
        </w:rPr>
        <w:t>. </w:t>
      </w:r>
      <w:proofErr w:type="spellStart"/>
      <w:proofErr w:type="gramStart"/>
      <w:r w:rsidRPr="00B75EB6">
        <w:rPr>
          <w:sz w:val="24"/>
          <w:lang w:val="cs-CZ"/>
        </w:rPr>
        <w:t>věst</w:t>
      </w:r>
      <w:proofErr w:type="spellEnd"/>
      <w:proofErr w:type="gramEnd"/>
      <w:r w:rsidRPr="00B75EB6">
        <w:rPr>
          <w:sz w:val="24"/>
          <w:lang w:val="cs-CZ"/>
        </w:rPr>
        <w:t xml:space="preserve">. L 347, </w:t>
      </w:r>
      <w:proofErr w:type="gramStart"/>
      <w:r w:rsidRPr="00B75EB6">
        <w:rPr>
          <w:sz w:val="24"/>
          <w:lang w:val="cs-CZ"/>
        </w:rPr>
        <w:t>20.12.2013</w:t>
      </w:r>
      <w:proofErr w:type="gramEnd"/>
      <w:r w:rsidRPr="00B75EB6">
        <w:rPr>
          <w:sz w:val="24"/>
          <w:lang w:val="cs-CZ"/>
        </w:rPr>
        <w:t>, s. 289</w:t>
      </w:r>
      <w:r w:rsidR="00BE00C9">
        <w:rPr>
          <w:sz w:val="24"/>
          <w:lang w:val="cs-CZ"/>
        </w:rPr>
        <w:t>)</w:t>
      </w:r>
      <w:r w:rsidRPr="00B75EB6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5E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5E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5E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0/2023"/>
    <w:docVar w:name="dvlangue" w:val="CS"/>
    <w:docVar w:name="dvnumam" w:val="0"/>
    <w:docVar w:name="dvpe" w:val="750.084"/>
    <w:docVar w:name="dvrapporteur" w:val="Zpravodaj: "/>
    <w:docVar w:name="dvtitre" w:val="Usnesení Evropského parlamentu ze dne.... 2024 o provádění územního rozvoje (nařízení o společných ustanoveních, hlava III, kapitola II) a jeho uplatňování v Územní agendě Evropské unie 2030(2023/2048(INI))"/>
  </w:docVars>
  <w:rsids>
    <w:rsidRoot w:val="00F34BA2"/>
    <w:rsid w:val="00002272"/>
    <w:rsid w:val="00032A4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28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1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AC2"/>
    <w:rsid w:val="00AE0928"/>
    <w:rsid w:val="00AF3B82"/>
    <w:rsid w:val="00B12E95"/>
    <w:rsid w:val="00B22876"/>
    <w:rsid w:val="00B558F0"/>
    <w:rsid w:val="00B75EB6"/>
    <w:rsid w:val="00BD48FE"/>
    <w:rsid w:val="00BD7BD8"/>
    <w:rsid w:val="00BE00C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91D"/>
    <w:rsid w:val="00E820A4"/>
    <w:rsid w:val="00EB006A"/>
    <w:rsid w:val="00EB4772"/>
    <w:rsid w:val="00ED169E"/>
    <w:rsid w:val="00ED4235"/>
    <w:rsid w:val="00F04346"/>
    <w:rsid w:val="00F075DC"/>
    <w:rsid w:val="00F149E9"/>
    <w:rsid w:val="00F34BA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7A5E2"/>
  <w15:chartTrackingRefBased/>
  <w15:docId w15:val="{0AC9DBE1-B589-4292-AE29-444E3A23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0028C"/>
    <w:rPr>
      <w:b/>
    </w:rPr>
  </w:style>
  <w:style w:type="paragraph" w:customStyle="1" w:styleId="NormalHanging12a">
    <w:name w:val="NormalHanging12a"/>
    <w:basedOn w:val="Normal"/>
    <w:link w:val="NormalHanging12aChar"/>
    <w:rsid w:val="0040028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0028C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semiHidden/>
    <w:rsid w:val="0040028C"/>
    <w:pPr>
      <w:widowControl/>
      <w:jc w:val="both"/>
    </w:pPr>
    <w:rPr>
      <w:sz w:val="20"/>
      <w:lang w:val="en-GB"/>
    </w:rPr>
  </w:style>
  <w:style w:type="character" w:customStyle="1" w:styleId="FootnoteTextChar1">
    <w:name w:val="Footnote Text Char1"/>
    <w:basedOn w:val="DefaultParagraphFont"/>
    <w:locked/>
    <w:rsid w:val="0040028C"/>
    <w:rPr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40028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urban.jrc.ec.europa.eu/urbanstrategies/" TargetMode="External"/><Relationship Id="rId3" Type="http://schemas.openxmlformats.org/officeDocument/2006/relationships/hyperlink" Target="https://eur-lex.europa.eu/legal-content/CS/ALL/?uri=CELEX:32021R1059" TargetMode="External"/><Relationship Id="rId7" Type="http://schemas.openxmlformats.org/officeDocument/2006/relationships/hyperlink" Target="https://urban.jrc.ec.europa.eu/strat-board/?lng=cs" TargetMode="External"/><Relationship Id="rId2" Type="http://schemas.openxmlformats.org/officeDocument/2006/relationships/hyperlink" Target="https://eur-lex.europa.eu/legal-content/CS/ALL/?uri=CELEX:32021R1058" TargetMode="External"/><Relationship Id="rId1" Type="http://schemas.openxmlformats.org/officeDocument/2006/relationships/hyperlink" Target="https://eur-lex.europa.eu/legal-content/CS/TXT/?uri=CELEX:32021R1060" TargetMode="External"/><Relationship Id="rId6" Type="http://schemas.openxmlformats.org/officeDocument/2006/relationships/hyperlink" Target="https://ec.europa.eu/regional_policy/sources/studies/integrated_strategies/integrated_strategies_en.pdf" TargetMode="External"/><Relationship Id="rId5" Type="http://schemas.openxmlformats.org/officeDocument/2006/relationships/hyperlink" Target="https://ec.europa.eu/regional_policy/sources/studies/integrated_strategies/integrated_strategies_en.pdf" TargetMode="External"/><Relationship Id="rId4" Type="http://schemas.openxmlformats.org/officeDocument/2006/relationships/hyperlink" Target="https://www.europarl.europa.eu/doceo/document/TA-8-2018-0068_C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6AECA-A536-4EB5-A55D-21CE30DE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5329</Words>
  <Characters>31726</Characters>
  <Application>Microsoft Office Word</Application>
  <DocSecurity>0</DocSecurity>
  <Lines>264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2024-02-24T09:50:00Z</dcterms:created>
  <dcterms:modified xsi:type="dcterms:W3CDTF">2024-02-24T09:50:00Z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A9-0420/2023</vt:lpwstr>
  </property>
  <property fmtid="{D5CDD505-2E9C-101B-9397-08002B2CF9AE}" pid="4" name="&lt;Type&gt;">
    <vt:lpwstr>RR</vt:lpwstr>
  </property>
</Properties>
</file>