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67D8" w:rsidTr="0010095E">
        <w:trPr>
          <w:trHeight w:hRule="exact" w:val="1418"/>
        </w:trPr>
        <w:tc>
          <w:tcPr>
            <w:tcW w:w="6804" w:type="dxa"/>
            <w:shd w:val="clear" w:color="auto" w:fill="auto"/>
            <w:vAlign w:val="center"/>
          </w:tcPr>
          <w:p w:rsidR="00751A4A" w:rsidRPr="00E467D8" w:rsidRDefault="003F361E" w:rsidP="0010095E">
            <w:pPr>
              <w:pStyle w:val="EPName"/>
            </w:pPr>
            <w:r w:rsidRPr="00E467D8">
              <w:t>Ευρωπαϊκό Κοινοβούλιο</w:t>
            </w:r>
          </w:p>
          <w:p w:rsidR="00751A4A" w:rsidRPr="00E467D8" w:rsidRDefault="00817416" w:rsidP="00756632">
            <w:pPr>
              <w:pStyle w:val="EPTerm"/>
              <w:rPr>
                <w:rStyle w:val="HideTWBExt"/>
                <w:noProof w:val="0"/>
                <w:vanish w:val="0"/>
                <w:color w:val="auto"/>
              </w:rPr>
            </w:pPr>
            <w:r w:rsidRPr="00E467D8">
              <w:t>2019-2024</w:t>
            </w:r>
          </w:p>
        </w:tc>
        <w:tc>
          <w:tcPr>
            <w:tcW w:w="2268" w:type="dxa"/>
            <w:shd w:val="clear" w:color="auto" w:fill="auto"/>
          </w:tcPr>
          <w:p w:rsidR="00751A4A" w:rsidRPr="00E467D8" w:rsidRDefault="00187494" w:rsidP="0010095E">
            <w:pPr>
              <w:pStyle w:val="EPLogo"/>
            </w:pPr>
            <w:r w:rsidRPr="00E467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67D8" w:rsidRDefault="00D058B8" w:rsidP="004C5D52">
      <w:pPr>
        <w:pStyle w:val="LineTop"/>
      </w:pPr>
    </w:p>
    <w:p w:rsidR="00680577" w:rsidRPr="00E467D8" w:rsidRDefault="003F361E" w:rsidP="00680577">
      <w:pPr>
        <w:pStyle w:val="EPBodyTA1"/>
      </w:pPr>
      <w:r w:rsidRPr="00E467D8">
        <w:t>ΚΕΙΜΕΝΑ ΠΟΥ ΕΓΚΡΙΘΗΚΑΝ</w:t>
      </w:r>
    </w:p>
    <w:p w:rsidR="00D058B8" w:rsidRPr="00E467D8" w:rsidRDefault="00D058B8" w:rsidP="00D058B8">
      <w:pPr>
        <w:pStyle w:val="LineBottom"/>
      </w:pPr>
    </w:p>
    <w:p w:rsidR="003F361E" w:rsidRPr="00E467D8" w:rsidRDefault="003F361E" w:rsidP="003F361E">
      <w:pPr>
        <w:pStyle w:val="ATHeading1"/>
      </w:pPr>
      <w:bookmarkStart w:id="0" w:name="TANumber"/>
      <w:r w:rsidRPr="00E467D8">
        <w:t>P9_TA(2024)00</w:t>
      </w:r>
      <w:r w:rsidR="00D96661" w:rsidRPr="00FF0E23">
        <w:t>10</w:t>
      </w:r>
      <w:bookmarkEnd w:id="0"/>
    </w:p>
    <w:p w:rsidR="003F361E" w:rsidRPr="00E467D8" w:rsidRDefault="003F361E" w:rsidP="003F361E">
      <w:pPr>
        <w:pStyle w:val="ATHeading2"/>
      </w:pPr>
      <w:bookmarkStart w:id="1" w:name="title"/>
      <w:r w:rsidRPr="00E467D8">
        <w:t>Η υλοποίηση της εδαφικής ανάπτυξης (ΚΚΔ, Τίτλος III, Κεφάλαιο II) και η εφαρμογή της στην Εδαφική Ατζέντα της Ευρωπαϊκής Ένωσης 2030</w:t>
      </w:r>
      <w:bookmarkEnd w:id="1"/>
    </w:p>
    <w:p w:rsidR="003F361E" w:rsidRPr="00E467D8" w:rsidRDefault="003F361E" w:rsidP="003F361E">
      <w:pPr>
        <w:rPr>
          <w:i/>
          <w:vanish/>
        </w:rPr>
      </w:pPr>
      <w:r w:rsidRPr="00E467D8">
        <w:rPr>
          <w:i/>
        </w:rPr>
        <w:fldChar w:fldCharType="begin"/>
      </w:r>
      <w:r w:rsidRPr="00E467D8">
        <w:rPr>
          <w:i/>
        </w:rPr>
        <w:instrText xml:space="preserve"> TC"(</w:instrText>
      </w:r>
      <w:bookmarkStart w:id="2" w:name="DocNumber"/>
      <w:r w:rsidRPr="00E467D8">
        <w:rPr>
          <w:i/>
        </w:rPr>
        <w:instrText>A9-0420/2023</w:instrText>
      </w:r>
      <w:bookmarkEnd w:id="2"/>
      <w:r w:rsidRPr="00E467D8">
        <w:rPr>
          <w:i/>
        </w:rPr>
        <w:instrText xml:space="preserve"> - Εισηγητής: Marcos Ros Sempere)"\l3 \n&gt; \* MERGEFORMAT </w:instrText>
      </w:r>
      <w:r w:rsidRPr="00E467D8">
        <w:rPr>
          <w:i/>
        </w:rPr>
        <w:fldChar w:fldCharType="end"/>
      </w:r>
    </w:p>
    <w:p w:rsidR="003F361E" w:rsidRPr="00E467D8" w:rsidRDefault="003F361E" w:rsidP="003F361E">
      <w:pPr>
        <w:rPr>
          <w:vanish/>
        </w:rPr>
      </w:pPr>
      <w:bookmarkStart w:id="3" w:name="Commission"/>
      <w:r w:rsidRPr="00E467D8">
        <w:rPr>
          <w:vanish/>
        </w:rPr>
        <w:t>Επιτροπή Περιφερειακής Ανάπτυξης</w:t>
      </w:r>
      <w:bookmarkEnd w:id="3"/>
    </w:p>
    <w:p w:rsidR="003F361E" w:rsidRPr="00E467D8" w:rsidRDefault="003F361E" w:rsidP="003F361E">
      <w:pPr>
        <w:rPr>
          <w:vanish/>
        </w:rPr>
      </w:pPr>
      <w:bookmarkStart w:id="4" w:name="PE"/>
      <w:r w:rsidRPr="00E467D8">
        <w:rPr>
          <w:vanish/>
        </w:rPr>
        <w:t>PE750.084</w:t>
      </w:r>
      <w:bookmarkEnd w:id="4"/>
    </w:p>
    <w:p w:rsidR="003F361E" w:rsidRPr="00E467D8" w:rsidRDefault="003F361E" w:rsidP="003F361E">
      <w:pPr>
        <w:pStyle w:val="ATHeading3"/>
      </w:pPr>
      <w:bookmarkStart w:id="5" w:name="Sujet"/>
      <w:r w:rsidRPr="00E467D8">
        <w:t xml:space="preserve">Ψήφισμα του Ευρωπαϊκού Κοινοβουλίου </w:t>
      </w:r>
      <w:r w:rsidR="00236004">
        <w:t xml:space="preserve">της </w:t>
      </w:r>
      <w:r w:rsidR="005523D7">
        <w:t>16ης</w:t>
      </w:r>
      <w:r w:rsidR="00236004">
        <w:t xml:space="preserve"> Ιανουαρίου 2024 </w:t>
      </w:r>
      <w:r w:rsidRPr="00E467D8">
        <w:t>σχετικά με την υλοποίηση της εδαφικής ανάπτυξης (ΚΚΔ, Τίτλος III, Κεφάλαιο II) και την εφαρμογή της στην Εδαφική Ατζέντα της Ευρωπαϊκής Ένωσης 2030</w:t>
      </w:r>
      <w:bookmarkEnd w:id="5"/>
      <w:r w:rsidRPr="00E467D8">
        <w:t xml:space="preserve"> </w:t>
      </w:r>
      <w:bookmarkStart w:id="6" w:name="References"/>
      <w:r w:rsidRPr="00E467D8">
        <w:t>(2023/2048(INI))</w:t>
      </w:r>
      <w:bookmarkEnd w:id="6"/>
    </w:p>
    <w:p w:rsidR="00BF0EC5" w:rsidRPr="00E467D8" w:rsidRDefault="00BF0EC5" w:rsidP="00236004">
      <w:pPr>
        <w:widowControl/>
        <w:spacing w:before="480" w:after="240"/>
        <w:ind w:left="567" w:hanging="567"/>
      </w:pPr>
      <w:bookmarkStart w:id="7" w:name="TextBodyBegin"/>
      <w:bookmarkEnd w:id="7"/>
      <w:r w:rsidRPr="00E467D8">
        <w:rPr>
          <w:i/>
        </w:rPr>
        <w:t>Το Ευρωπαϊκό Κοινοβούλιο</w:t>
      </w:r>
      <w:r w:rsidRPr="00E467D8">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έχοντας υπόψη τη Συνθήκη για τη λειτουργία της Ευρωπαϊκής Ένωσης, και ιδίως τον τίτλο XVIII αυτής,</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E467D8">
        <w:rPr>
          <w:snapToGrid w:val="0"/>
          <w:vertAlign w:val="superscript"/>
          <w:lang w:eastAsia="en-US"/>
        </w:rPr>
        <w:footnoteReference w:id="1"/>
      </w:r>
      <w:r w:rsidRPr="00E467D8">
        <w:rPr>
          <w:snapToGrid w:val="0"/>
        </w:rPr>
        <w:t xml:space="preserve"> («κανονισμός περί κοινών διατάξεων» – ΚΚΔ),</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έχοντας υπόψη τον κανονισμό (ΕΕ) 2021/1058 του Ευρωπαϊκού Κοινοβουλίου και του Συμβουλίου, της 24ης Ιουνίου 2021, για το Ευρωπαϊκό Ταμείο Περιφερειακής Ανάπτυξης και το Ταμείο Συνοχής</w:t>
      </w:r>
      <w:r w:rsidRPr="00E467D8">
        <w:rPr>
          <w:snapToGrid w:val="0"/>
          <w:vertAlign w:val="superscript"/>
          <w:lang w:eastAsia="en-US"/>
        </w:rPr>
        <w:footnoteReference w:id="2"/>
      </w:r>
      <w:r w:rsidRPr="00E467D8">
        <w:rPr>
          <w:snapToGrid w:val="0"/>
        </w:rPr>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έχοντας υπόψη τον κανονισμό (ΕΕ) 2021/1059 του Ευρωπαϊκού Κοινοβουλίου και του Συμβουλίου, της 24ης Ιουνίου 2021, για τις ειδικές διατάξεις που διέπουν τον στόχο «Ευρωπαϊκή εδαφική συνεργασία» (Interreg) ο οποίος υποστηρίζεται από το Ευρωπαϊκό Ταμείο Περιφερειακής Ανάπτυξης και τους μηχανισμούς εξωτερικής χρηματοδότησης</w:t>
      </w:r>
      <w:r w:rsidRPr="00E467D8">
        <w:rPr>
          <w:snapToGrid w:val="0"/>
          <w:vertAlign w:val="superscript"/>
          <w:lang w:eastAsia="en-US"/>
        </w:rPr>
        <w:footnoteReference w:id="3"/>
      </w:r>
      <w:r w:rsidRPr="00E467D8">
        <w:rPr>
          <w:snapToGrid w:val="0"/>
        </w:rPr>
        <w:t>,</w:t>
      </w:r>
    </w:p>
    <w:p w:rsidR="00BF0EC5" w:rsidRPr="00E467D8" w:rsidRDefault="00BF0EC5" w:rsidP="00BF0EC5">
      <w:pPr>
        <w:widowControl/>
        <w:spacing w:after="240"/>
        <w:ind w:left="567" w:hanging="567"/>
      </w:pPr>
      <w:r w:rsidRPr="00E467D8">
        <w:rPr>
          <w:snapToGrid w:val="0"/>
        </w:rPr>
        <w:t>–</w:t>
      </w:r>
      <w:r w:rsidRPr="00E467D8">
        <w:rPr>
          <w:snapToGrid w:val="0"/>
        </w:rPr>
        <w:tab/>
      </w:r>
      <w:r w:rsidRPr="00E467D8">
        <w:t>έχοντας υπόψη τον κανονισμό (ΕΕ) 2021/1056 του Ευρωπαϊκού Κοινοβουλίου και του Συμβουλίου, της 24ης Ιουνίου 2021, για τη θέσπιση του Ταμείου Δίκαιης Μετάβασης</w:t>
      </w:r>
      <w:r w:rsidRPr="00E467D8">
        <w:rPr>
          <w:vertAlign w:val="superscript"/>
        </w:rPr>
        <w:footnoteReference w:id="4"/>
      </w:r>
      <w:r w:rsidRPr="00E467D8">
        <w:t>,</w:t>
      </w:r>
    </w:p>
    <w:p w:rsidR="00BF0EC5" w:rsidRPr="00E467D8" w:rsidRDefault="00BF0EC5" w:rsidP="00BF0EC5">
      <w:pPr>
        <w:pStyle w:val="NormalBold"/>
        <w:spacing w:after="240"/>
        <w:ind w:left="567" w:hanging="567"/>
        <w:rPr>
          <w:b w:val="0"/>
        </w:rPr>
      </w:pPr>
      <w:r w:rsidRPr="00E467D8">
        <w:rPr>
          <w:b w:val="0"/>
        </w:rPr>
        <w:t>–</w:t>
      </w:r>
      <w:r w:rsidRPr="00E467D8">
        <w:rPr>
          <w:b w:val="0"/>
        </w:rPr>
        <w:tab/>
        <w:t xml:space="preserve">έχοντας υπόψη τον κανονισμό (ΕΕ) 2021/2115 του Ευρωπαϊκού Κοινοβουλίου και του Συμβουλίου, της 2ας Δεκεμβρίου 2021, σχετικά με τη θέσπιση κανόνων για τη στήριξη </w:t>
      </w:r>
      <w:r w:rsidRPr="00E467D8">
        <w:rPr>
          <w:b w:val="0"/>
        </w:rPr>
        <w:lastRenderedPageBreak/>
        <w:t>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E467D8">
        <w:rPr>
          <w:rStyle w:val="FootnoteReference"/>
          <w:b w:val="0"/>
        </w:rPr>
        <w:footnoteReference w:id="5"/>
      </w:r>
      <w:r w:rsidRPr="00E467D8">
        <w:rPr>
          <w:b w:val="0"/>
        </w:rPr>
        <w:t xml:space="preserve">, </w:t>
      </w:r>
    </w:p>
    <w:p w:rsidR="00BF0EC5" w:rsidRPr="00E467D8" w:rsidRDefault="00BF0EC5" w:rsidP="00BF0EC5">
      <w:pPr>
        <w:pStyle w:val="NormalHanging12a"/>
      </w:pPr>
      <w:r w:rsidRPr="00E467D8">
        <w:t>–</w:t>
      </w:r>
      <w:r w:rsidRPr="00E467D8">
        <w:tab/>
        <w:t>έχοντας υπόψη τον κανονισμό (ΕΕ) 2020/2220 του Ευρωπαϊκού Κοινοβουλίου και του Συμβουλίου, της 23ης Δεκεμβρίου 2020, σχετικά με τη θέσπιση ορισμένων μεταβατικών διατάξεων για τη στήριξη από το Ευρωπαϊκό Γεωργικό Ταμείο Αγροτικής Ανάπτυξης (ΕΓΤΑΑ) και από το Ευρωπαϊκό Γεωργικό Ταμείο Εγγυήσεων (ΕΓΤΕ) τα έτη 2021 και 2022 και για την τροποποίηση των κανονισμών (ΕΕ) αριθ. 1305/2013, (ΕΕ) αριθ. 1306/2013 και (ΕΕ) αριθ. 1307/2013 όσον αφορά τους πόρους και την εφαρμογή τους τα έτη 2021 και 2022 και του κανονισμού (EE) αριθ. 1308/2013 όσον αφορά τους πόρους και την κατανομή αυτής της στήριξης τα έτη 2021 και 2022</w:t>
      </w:r>
      <w:r w:rsidRPr="00E467D8">
        <w:rPr>
          <w:vertAlign w:val="superscript"/>
        </w:rPr>
        <w:footnoteReference w:id="6"/>
      </w:r>
      <w:r w:rsidRPr="00E467D8">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έχοντας υπόψη τον κανονισμό (ΕΕ) αριθ. 1303/2013 του Ευρωπαϊκού Κοινοβουλίου και του Συμβουλίου, της 17ης Δεκεμβρίου 2013, περί καθορισμού κοινών διατάξεων για το Ευρωπαϊκό Ταμείο Περιφερειακής Ανάπτυξης, το Ευρωπαϊκό Κοινωνικό Ταμείο, το Ταμείο Συνοχής, το Ευρωπαϊκό Γεωργικό Ταμείο Αγροτικής Ανάπτυξης και το Ευρωπαϊκό Ταμείο Θάλασσας και Αλιείας και περί καθορισμού γενικών διατάξεων για το Ευρωπαϊκό Ταμείο Περιφερειακής Ανάπτυξης, το Ευρωπαϊκό Κοινωνικό Ταμείο, το Ταμείο Συνοχής και το Ευρωπαϊκό Ταμείο Θάλασσας και Αλιείας και για την κατάργηση του κανονισμού (ΕΚ) αριθ. 1083/2006 του Συμβουλίου</w:t>
      </w:r>
      <w:r w:rsidRPr="00E467D8">
        <w:rPr>
          <w:snapToGrid w:val="0"/>
          <w:vertAlign w:val="superscript"/>
          <w:lang w:eastAsia="en-US"/>
        </w:rPr>
        <w:footnoteReference w:id="7"/>
      </w:r>
      <w:r w:rsidRPr="00E467D8">
        <w:rPr>
          <w:snapToGrid w:val="0"/>
        </w:rPr>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έχοντας υπόψη τη Συμφωνία που συνήφθη κατά την 21η Διάσκεψη των μερών της σύμβασης-πλαισίου των Ηνωμένων Εθνών για την κλιματική αλλαγή (COP21) στο Παρίσι, στις 12 Δεκεμβρίου 2015 (Συμφωνία του Παρισιού),</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έχοντας υπόψη την ατζέντα των Ηνωμένων Εθνών για τη βιώσιμη ανάπτυξη με ορίζοντα το 2030, ιδίως δε τον στόχο βιώσιμης ανάπτυξης (ΣΒΑ) 11 σχετικά με βιώσιμες πόλεις και κοινότητες,</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r>
      <w:r w:rsidRPr="00E467D8">
        <w:t>έχοντας υπόψη την Εδαφική Ατζέντα 2030 – Ένα μέλλον για όλες τις περιοχές, η οποία εγκρίθηκε κατά την άτυπη σύνοδο των υπουργών που είναι αρμόδιοι για τον χωροταξικό σχεδιασμό, την εδαφική ανάπτυξη και/ή την εδαφική συνοχή την 1η Δεκεμβρίου 2020,</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έχοντας υπόψη το Σύμφωνο του Άμστερνταμ που καθορίζει το αστικό θεματολόγιο για την ΕΕ, το οποίο συμφωνήθηκε κατά την άτυπη σύνοδο των υπουργών της ΕΕ που είναι αρμόδιοι για αστικά θέματα στις 30 Μαΐου 2016,</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r>
      <w:r w:rsidRPr="00E467D8">
        <w:t>έχοντας υπόψη τον νέο «Χάρτη της Λειψίας – Η μετασχηματιστική ισχύς των πόλεων για το κοινό καλό» που εγκρίθηκε κατά την άτυπη υπουργική σύνοδο για αστικά θέματα στις 30 Νοεμβρίου 2020,</w:t>
      </w:r>
    </w:p>
    <w:p w:rsidR="00BF0EC5" w:rsidRPr="00E467D8" w:rsidRDefault="00BF0EC5" w:rsidP="00BF0EC5">
      <w:pPr>
        <w:widowControl/>
        <w:spacing w:after="240"/>
        <w:ind w:left="567" w:hanging="567"/>
        <w:rPr>
          <w:rFonts w:eastAsia="Calibri"/>
          <w:szCs w:val="24"/>
        </w:rPr>
      </w:pPr>
      <w:r w:rsidRPr="00E467D8">
        <w:rPr>
          <w:snapToGrid w:val="0"/>
        </w:rPr>
        <w:t>–</w:t>
      </w:r>
      <w:r w:rsidRPr="00E467D8">
        <w:rPr>
          <w:snapToGrid w:val="0"/>
        </w:rPr>
        <w:tab/>
      </w:r>
      <w:r w:rsidRPr="00E467D8">
        <w:t>έχοντας υπόψη τη συμφωνία της Λιουμπλιάνας, η οποία εγκρίθηκε κατά την άτυπη σύνοδο των υπουργών που είναι αρμόδιοι για αστικά θέματα στις 26 Νοεμβρίου 2021,</w:t>
      </w:r>
    </w:p>
    <w:p w:rsidR="00BF0EC5" w:rsidRPr="00E467D8" w:rsidRDefault="00BF0EC5" w:rsidP="00BF0EC5">
      <w:pPr>
        <w:widowControl/>
        <w:spacing w:after="240"/>
        <w:ind w:left="567" w:hanging="567"/>
        <w:rPr>
          <w:rFonts w:eastAsia="Calibri"/>
          <w:szCs w:val="24"/>
        </w:rPr>
      </w:pPr>
      <w:r w:rsidRPr="00E467D8">
        <w:rPr>
          <w:snapToGrid w:val="0"/>
        </w:rPr>
        <w:lastRenderedPageBreak/>
        <w:t>–</w:t>
      </w:r>
      <w:r w:rsidRPr="00E467D8">
        <w:rPr>
          <w:snapToGrid w:val="0"/>
        </w:rPr>
        <w:tab/>
      </w:r>
      <w:r w:rsidRPr="00E467D8">
        <w:t>έχοντας υπόψη το νέο αστικό θεματολόγιο που εγκρίθηκε από τα Ηνωμένα Έθνη στις 20 Οκτωβρίου 2016,</w:t>
      </w:r>
    </w:p>
    <w:p w:rsidR="00BF0EC5" w:rsidRPr="00E467D8" w:rsidRDefault="00BF0EC5" w:rsidP="00BF0EC5">
      <w:pPr>
        <w:widowControl/>
        <w:spacing w:after="240"/>
        <w:ind w:left="567" w:hanging="567"/>
        <w:rPr>
          <w:rFonts w:eastAsia="Calibri"/>
          <w:szCs w:val="24"/>
        </w:rPr>
      </w:pPr>
      <w:r w:rsidRPr="00E467D8">
        <w:rPr>
          <w:snapToGrid w:val="0"/>
        </w:rPr>
        <w:t>–</w:t>
      </w:r>
      <w:r w:rsidRPr="00E467D8">
        <w:rPr>
          <w:snapToGrid w:val="0"/>
        </w:rPr>
        <w:tab/>
      </w:r>
      <w:r w:rsidRPr="00E467D8">
        <w:t xml:space="preserve">έχοντας υπόψη την ανακοίνωση της Επιτροπής, της 17ης Ιανουαρίου 2023, με τίτλο «Αξιοποίηση ταλέντων στις περιφέρειες της Ευρώπης» </w:t>
      </w:r>
      <w:r w:rsidR="00236004" w:rsidRPr="00D96661">
        <w:t>(</w:t>
      </w:r>
      <w:r w:rsidRPr="00E467D8">
        <w:t>COM(2023)0032</w:t>
      </w:r>
      <w:r w:rsidR="00236004" w:rsidRPr="00D96661">
        <w:t>)</w:t>
      </w:r>
      <w:r w:rsidRPr="00E467D8">
        <w:t>,</w:t>
      </w:r>
    </w:p>
    <w:p w:rsidR="00BF0EC5" w:rsidRPr="00E467D8" w:rsidRDefault="00BF0EC5" w:rsidP="00BF0EC5">
      <w:pPr>
        <w:widowControl/>
        <w:spacing w:after="240"/>
        <w:ind w:left="567" w:hanging="567"/>
        <w:rPr>
          <w:snapToGrid w:val="0"/>
          <w:szCs w:val="24"/>
        </w:rPr>
      </w:pPr>
      <w:r w:rsidRPr="00E467D8">
        <w:rPr>
          <w:snapToGrid w:val="0"/>
        </w:rPr>
        <w:t>–</w:t>
      </w:r>
      <w:r w:rsidRPr="00E467D8">
        <w:rPr>
          <w:snapToGrid w:val="0"/>
        </w:rPr>
        <w:tab/>
      </w:r>
      <w:r w:rsidRPr="00E467D8">
        <w:t>έχοντας υπόψη την ανακοίνωση της Επιτροπής, της 4ης Φεβρουαρίου 2022, σχετικά με την 8η έκθεση για τη συνοχή:</w:t>
      </w:r>
      <w:r w:rsidRPr="00E467D8">
        <w:rPr>
          <w:shd w:val="clear" w:color="auto" w:fill="FFFFFF"/>
        </w:rPr>
        <w:t xml:space="preserve"> συνοχή στην Ευρώπη με ορίζοντα το 2050 </w:t>
      </w:r>
      <w:r w:rsidR="00236004" w:rsidRPr="00D96661">
        <w:rPr>
          <w:shd w:val="clear" w:color="auto" w:fill="FFFFFF"/>
        </w:rPr>
        <w:t>(</w:t>
      </w:r>
      <w:r w:rsidRPr="00E467D8">
        <w:rPr>
          <w:shd w:val="clear" w:color="auto" w:fill="FFFFFF"/>
        </w:rPr>
        <w:t>COM(2022)0034</w:t>
      </w:r>
      <w:r w:rsidR="00236004" w:rsidRPr="00D96661">
        <w:rPr>
          <w:shd w:val="clear" w:color="auto" w:fill="FFFFFF"/>
        </w:rPr>
        <w:t>)</w:t>
      </w:r>
      <w:r w:rsidRPr="00E467D8">
        <w:rPr>
          <w:shd w:val="clear" w:color="auto" w:fill="FFFFFF"/>
        </w:rPr>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 xml:space="preserve">έχοντας υπόψη την ανακοίνωση της Επιτροπής, της 30ής Ιουνίου 2021, με τίτλο «Ένα μακρόπνοο όραμα για τις αγροτικές περιοχές της ΕΕ – Προς ισχυρότερες, συνδεδεμένες, ανθεκτικές και ευημερούσες αγροτικές περιοχές με ορίζοντα το 2040» </w:t>
      </w:r>
      <w:r w:rsidR="00236004" w:rsidRPr="00D96661">
        <w:rPr>
          <w:snapToGrid w:val="0"/>
        </w:rPr>
        <w:t>(</w:t>
      </w:r>
      <w:r w:rsidRPr="00E467D8">
        <w:rPr>
          <w:snapToGrid w:val="0"/>
        </w:rPr>
        <w:t>COM(2021)0345</w:t>
      </w:r>
      <w:r w:rsidR="00236004" w:rsidRPr="00D96661">
        <w:rPr>
          <w:snapToGrid w:val="0"/>
        </w:rPr>
        <w:t>)</w:t>
      </w:r>
      <w:r w:rsidRPr="00E467D8">
        <w:rPr>
          <w:snapToGrid w:val="0"/>
        </w:rPr>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 xml:space="preserve">έχοντας υπόψη την ανακοίνωση της Επιτροπής, της 3ης Μαρτίου 2021, με τίτλο «Ένωση ισότητας: στρατηγική για τα δικαιώματα των ατόμων με αναπηρία 2021-2030» </w:t>
      </w:r>
      <w:r w:rsidR="00236004" w:rsidRPr="00D96661">
        <w:rPr>
          <w:snapToGrid w:val="0"/>
        </w:rPr>
        <w:t>(</w:t>
      </w:r>
      <w:r w:rsidRPr="00E467D8">
        <w:rPr>
          <w:snapToGrid w:val="0"/>
        </w:rPr>
        <w:t>COM(2021)0101</w:t>
      </w:r>
      <w:r w:rsidR="00236004" w:rsidRPr="00D96661">
        <w:rPr>
          <w:snapToGrid w:val="0"/>
        </w:rPr>
        <w:t>)</w:t>
      </w:r>
      <w:r w:rsidRPr="00E467D8">
        <w:rPr>
          <w:snapToGrid w:val="0"/>
        </w:rPr>
        <w:t>,</w:t>
      </w:r>
    </w:p>
    <w:p w:rsidR="00BF0EC5" w:rsidRPr="00E467D8" w:rsidRDefault="00BF0EC5" w:rsidP="00BF0EC5">
      <w:pPr>
        <w:widowControl/>
        <w:spacing w:after="240"/>
        <w:ind w:left="567" w:hanging="567"/>
        <w:rPr>
          <w:rFonts w:eastAsia="Calibri" w:cs="Calibri"/>
          <w:szCs w:val="24"/>
        </w:rPr>
      </w:pPr>
      <w:r w:rsidRPr="00E467D8">
        <w:rPr>
          <w:snapToGrid w:val="0"/>
        </w:rPr>
        <w:t>–</w:t>
      </w:r>
      <w:r w:rsidRPr="00E467D8">
        <w:rPr>
          <w:snapToGrid w:val="0"/>
        </w:rPr>
        <w:tab/>
        <w:t xml:space="preserve">έχοντας υπόψη την ανακοίνωση της Επιτροπής, της 11ης Δεκεμβρίου 2019, σχετικά με την Ευρωπαϊκή Πράσινη Συμφωνία </w:t>
      </w:r>
      <w:r w:rsidR="00236004" w:rsidRPr="00D96661">
        <w:rPr>
          <w:snapToGrid w:val="0"/>
        </w:rPr>
        <w:t>(</w:t>
      </w:r>
      <w:r w:rsidRPr="00E467D8">
        <w:rPr>
          <w:snapToGrid w:val="0"/>
        </w:rPr>
        <w:t>COM(2019)0640</w:t>
      </w:r>
      <w:r w:rsidR="00236004" w:rsidRPr="00D96661">
        <w:rPr>
          <w:snapToGrid w:val="0"/>
        </w:rPr>
        <w:t>)</w:t>
      </w:r>
      <w:r w:rsidRPr="00E467D8">
        <w:rPr>
          <w:snapToGrid w:val="0"/>
        </w:rPr>
        <w:t>,</w:t>
      </w:r>
      <w:r w:rsidRPr="00E467D8">
        <w:t xml:space="preserve"> </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r>
      <w:r w:rsidRPr="00E467D8">
        <w:t xml:space="preserve">έχοντας υπόψη την ανακοίνωση της Επιτροπής, της 17ης Σεπτεμβρίου 2020, με τίτλο «Ενίσχυση της κλιματικής φιλοδοξίας της Ευρώπης για το 2030 – Επενδύουμε σε ένα κλιματικά ουδέτερο μέλλον προς όφελος των πολιτών μας» </w:t>
      </w:r>
      <w:r w:rsidR="00236004" w:rsidRPr="00D96661">
        <w:t>(</w:t>
      </w:r>
      <w:r w:rsidRPr="00E467D8">
        <w:t>COM(2020)0562</w:t>
      </w:r>
      <w:r w:rsidR="00236004" w:rsidRPr="00D96661">
        <w:t>)</w:t>
      </w:r>
      <w:r w:rsidRPr="00E467D8">
        <w:t>,</w:t>
      </w:r>
    </w:p>
    <w:p w:rsidR="00BF0EC5" w:rsidRPr="00E467D8" w:rsidRDefault="00BF0EC5" w:rsidP="00BF0EC5">
      <w:pPr>
        <w:widowControl/>
        <w:spacing w:after="240"/>
        <w:ind w:left="567" w:hanging="567"/>
        <w:rPr>
          <w:rFonts w:eastAsia="Calibri" w:cs="Calibri"/>
          <w:szCs w:val="24"/>
        </w:rPr>
      </w:pPr>
      <w:r w:rsidRPr="00E467D8">
        <w:rPr>
          <w:snapToGrid w:val="0"/>
        </w:rPr>
        <w:t>–</w:t>
      </w:r>
      <w:r w:rsidRPr="00E467D8">
        <w:rPr>
          <w:snapToGrid w:val="0"/>
        </w:rPr>
        <w:tab/>
      </w:r>
      <w:r w:rsidRPr="00E467D8">
        <w:t xml:space="preserve">έχοντας υπόψη την πρωτοβουλία της Επιτροπής για το νέο ευρωπαϊκό </w:t>
      </w:r>
      <w:proofErr w:type="spellStart"/>
      <w:r w:rsidRPr="00E467D8">
        <w:t>Bauhaus</w:t>
      </w:r>
      <w:proofErr w:type="spellEnd"/>
      <w:r w:rsidRPr="00E467D8">
        <w:t>, που ξεκίνησε στις 16 Σεπτεμβρίου 2020,</w:t>
      </w:r>
    </w:p>
    <w:p w:rsidR="00BF0EC5" w:rsidRPr="00E467D8" w:rsidRDefault="00BF0EC5" w:rsidP="00BF0EC5">
      <w:pPr>
        <w:spacing w:after="240"/>
        <w:ind w:left="567" w:hanging="567"/>
      </w:pPr>
      <w:r w:rsidRPr="00E467D8">
        <w:rPr>
          <w:snapToGrid w:val="0"/>
        </w:rPr>
        <w:t>–</w:t>
      </w:r>
      <w:r w:rsidRPr="00E467D8">
        <w:rPr>
          <w:snapToGrid w:val="0"/>
        </w:rPr>
        <w:tab/>
      </w:r>
      <w:r w:rsidRPr="00E467D8">
        <w:t xml:space="preserve">έχοντας υπόψη το έγγραφο εργασίας των υπηρεσιών της Επιτροπής, της 17ης Ιουνίου 2022, με τίτλο «Χρηματοδοτικό μέσο του μοντέλου εδαφικής ανάπτυξης του νέου ευρωπαϊκού </w:t>
      </w:r>
      <w:proofErr w:type="spellStart"/>
      <w:r w:rsidRPr="00E467D8">
        <w:t>Bauhaus</w:t>
      </w:r>
      <w:proofErr w:type="spellEnd"/>
      <w:r w:rsidRPr="00E467D8">
        <w:t xml:space="preserve"> (NEB TDM)» </w:t>
      </w:r>
      <w:r w:rsidR="00236004" w:rsidRPr="00D96661">
        <w:t>(</w:t>
      </w:r>
      <w:r w:rsidRPr="00E467D8">
        <w:t>SWD(2022)0172</w:t>
      </w:r>
      <w:r w:rsidR="00236004" w:rsidRPr="00D96661">
        <w:t>)</w:t>
      </w:r>
      <w:r w:rsidRPr="00E467D8">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 xml:space="preserve">έχοντας υπόψη το ψήφισμά του, της 14ης Σεπτεμβρίου 2022, σχετικά με το νέο ευρωπαϊκό </w:t>
      </w:r>
      <w:proofErr w:type="spellStart"/>
      <w:r w:rsidRPr="00E467D8">
        <w:rPr>
          <w:snapToGrid w:val="0"/>
        </w:rPr>
        <w:t>Bauhaus</w:t>
      </w:r>
      <w:proofErr w:type="spellEnd"/>
      <w:r w:rsidRPr="00E467D8">
        <w:rPr>
          <w:snapToGrid w:val="0"/>
          <w:vertAlign w:val="superscript"/>
          <w:lang w:eastAsia="en-US"/>
        </w:rPr>
        <w:footnoteReference w:id="8"/>
      </w:r>
      <w:r w:rsidRPr="00E467D8">
        <w:rPr>
          <w:snapToGrid w:val="0"/>
        </w:rPr>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r>
      <w:r w:rsidRPr="00E467D8">
        <w:t>έχοντας υπόψη το ψήφισμά του, της 13ης Δεκεμβρίου 2022, σχετικά με ένα μακρόπνοο όραμα για τις αγροτικές περιοχές της ΕΕ – Προς ισχυρότερες, συνδεδεμένες, ανθεκτικές και ευημερούσες αγροτικές περιοχές έως το 2040</w:t>
      </w:r>
      <w:r w:rsidRPr="00E467D8">
        <w:rPr>
          <w:snapToGrid w:val="0"/>
          <w:vertAlign w:val="superscript"/>
          <w:lang w:eastAsia="en-US"/>
        </w:rPr>
        <w:footnoteReference w:id="9"/>
      </w:r>
      <w:r w:rsidRPr="00E467D8">
        <w:t>,</w:t>
      </w:r>
      <w:r w:rsidRPr="00E467D8">
        <w:rPr>
          <w:snapToGrid w:val="0"/>
        </w:rPr>
        <w:t xml:space="preserve"> </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r>
      <w:r w:rsidRPr="00E467D8">
        <w:t>έχοντας υπόψη το ψήφισμά του, της 15ης Σεπτεμβρίου 2022, σχετικά με την οικονομική, κοινωνική και εδαφική συνοχή στην ΕΕ:</w:t>
      </w:r>
      <w:r w:rsidRPr="00E467D8">
        <w:rPr>
          <w:snapToGrid w:val="0"/>
        </w:rPr>
        <w:t xml:space="preserve"> 8η έκθεση για τη συνοχή</w:t>
      </w:r>
      <w:r w:rsidRPr="00E467D8">
        <w:rPr>
          <w:snapToGrid w:val="0"/>
          <w:vertAlign w:val="superscript"/>
          <w:lang w:eastAsia="en-US"/>
        </w:rPr>
        <w:footnoteReference w:id="10"/>
      </w:r>
      <w:r w:rsidRPr="00E467D8">
        <w:rPr>
          <w:snapToGrid w:val="0"/>
        </w:rPr>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έχοντας υπόψη το ψήφισμά του, της 15ης Φεβρουαρίου 2022, σχετικά με τις προκλήσεις για τις αστικές περιοχές στη μετά την COVID-19 εποχή</w:t>
      </w:r>
      <w:r w:rsidRPr="00E467D8">
        <w:rPr>
          <w:snapToGrid w:val="0"/>
          <w:vertAlign w:val="superscript"/>
          <w:lang w:eastAsia="en-US"/>
        </w:rPr>
        <w:footnoteReference w:id="11"/>
      </w:r>
      <w:r w:rsidRPr="00E467D8">
        <w:rPr>
          <w:snapToGrid w:val="0"/>
        </w:rPr>
        <w:t>,</w:t>
      </w:r>
    </w:p>
    <w:p w:rsidR="00BF0EC5" w:rsidRPr="00E467D8" w:rsidRDefault="00BF0EC5" w:rsidP="00BF0EC5">
      <w:pPr>
        <w:widowControl/>
        <w:spacing w:after="240"/>
        <w:ind w:left="567" w:hanging="567"/>
      </w:pPr>
      <w:r w:rsidRPr="00E467D8">
        <w:rPr>
          <w:snapToGrid w:val="0"/>
        </w:rPr>
        <w:lastRenderedPageBreak/>
        <w:t>–</w:t>
      </w:r>
      <w:r w:rsidRPr="00E467D8">
        <w:rPr>
          <w:snapToGrid w:val="0"/>
        </w:rPr>
        <w:tab/>
      </w:r>
      <w:r w:rsidRPr="00E467D8">
        <w:t>έχοντας υπόψη το ψήφισμά του της 20ής Μαΐου 2021 σχετικά με την ανατροπή των δημογραφικών εξελίξεων στις περιφέρειες της ΕΕ με τη χρήση μέσων της πολιτικής για τη συνοχή</w:t>
      </w:r>
      <w:r w:rsidRPr="00E467D8">
        <w:rPr>
          <w:rStyle w:val="FootnoteReference"/>
        </w:rPr>
        <w:footnoteReference w:id="12"/>
      </w:r>
      <w:r w:rsidRPr="00E467D8">
        <w:t>,</w:t>
      </w:r>
    </w:p>
    <w:p w:rsidR="00BF0EC5" w:rsidRPr="00E467D8" w:rsidRDefault="00BF0EC5" w:rsidP="00BF0EC5">
      <w:pPr>
        <w:widowControl/>
        <w:spacing w:after="240"/>
        <w:ind w:left="567" w:hanging="567"/>
      </w:pPr>
      <w:r w:rsidRPr="00E467D8">
        <w:rPr>
          <w:snapToGrid w:val="0"/>
        </w:rPr>
        <w:t>–</w:t>
      </w:r>
      <w:r w:rsidRPr="00E467D8">
        <w:rPr>
          <w:snapToGrid w:val="0"/>
        </w:rPr>
        <w:tab/>
      </w:r>
      <w:r w:rsidRPr="00E467D8">
        <w:t>έχοντας υπόψη το ψήφισμά του της 25ης Μαρτίου 2021 σχετικά με την πολιτική συνοχής και τις περιφερειακές στρατηγικές για το περιβάλλον στην καταπολέμηση της κλιματικής αλλαγής</w:t>
      </w:r>
      <w:r w:rsidRPr="00E467D8">
        <w:rPr>
          <w:rStyle w:val="FootnoteReference"/>
        </w:rPr>
        <w:footnoteReference w:id="13"/>
      </w:r>
      <w:r w:rsidRPr="00E467D8">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έχοντας υπόψη το ψήφισμά του, της 13ης Μαρτίου 2018, σχετικά με τον ρόλο των περιφερειών και των πόλεων της ΕΕ στην υλοποίηση της Συμφωνίας του Παρισιού (COP 21) για την κλιματική αλλαγή</w:t>
      </w:r>
      <w:r w:rsidRPr="00E467D8">
        <w:rPr>
          <w:snapToGrid w:val="0"/>
          <w:vertAlign w:val="superscript"/>
          <w:lang w:eastAsia="en-US"/>
        </w:rPr>
        <w:footnoteReference w:id="14"/>
      </w:r>
      <w:r w:rsidRPr="00E467D8">
        <w:rPr>
          <w:snapToGrid w:val="0"/>
        </w:rPr>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r>
      <w:r w:rsidRPr="00E467D8">
        <w:t>έχοντας υπόψη τη γνωμοδότηση της Ευρωπαϊκής Οικονομικής και Κοινωνικής Επιτροπής, της 18ης Σεπτεμβρίου 2020, με θέμα «Αναθεώρηση της εδαφικής ατζέντας της ΕΕ, του Χάρτη της Λειψίας και του Αστικού θεματολογίου της ΕΕ»</w:t>
      </w:r>
      <w:r w:rsidRPr="00E467D8">
        <w:rPr>
          <w:rStyle w:val="FootnoteReference"/>
          <w:rFonts w:eastAsia="Calibri"/>
          <w:szCs w:val="24"/>
          <w:lang w:eastAsia="en-US"/>
        </w:rPr>
        <w:footnoteReference w:id="15"/>
      </w:r>
      <w:r w:rsidRPr="00E467D8">
        <w:t>,</w:t>
      </w:r>
    </w:p>
    <w:p w:rsidR="00BF0EC5" w:rsidRPr="00E467D8" w:rsidRDefault="00BF0EC5" w:rsidP="00BF0EC5">
      <w:pPr>
        <w:widowControl/>
        <w:spacing w:after="240"/>
        <w:ind w:left="567" w:hanging="567"/>
        <w:rPr>
          <w:szCs w:val="32"/>
        </w:rPr>
      </w:pPr>
      <w:r w:rsidRPr="00E467D8">
        <w:rPr>
          <w:snapToGrid w:val="0"/>
        </w:rPr>
        <w:t>–</w:t>
      </w:r>
      <w:r w:rsidRPr="00E467D8">
        <w:rPr>
          <w:snapToGrid w:val="0"/>
        </w:rPr>
        <w:tab/>
      </w:r>
      <w:r w:rsidRPr="00E467D8">
        <w:t>έχοντας υπόψη τη λεπτομερή ανάλυση με τίτλο «Εδαφική Ατζέντα 2030 – Επισκόπηση της εφαρμογής», που δημοσίευσε η Γενική Διεύθυνση Εσωτερικών Πολιτικών στις 7 Ιουνίου 2023</w:t>
      </w:r>
      <w:r w:rsidRPr="00E467D8">
        <w:rPr>
          <w:rStyle w:val="FootnoteReference"/>
          <w:szCs w:val="32"/>
        </w:rPr>
        <w:footnoteReference w:id="16"/>
      </w:r>
      <w:r w:rsidRPr="00E467D8">
        <w:t>,</w:t>
      </w:r>
    </w:p>
    <w:p w:rsidR="00BF0EC5" w:rsidRPr="00E467D8" w:rsidRDefault="00BF0EC5" w:rsidP="00BF0EC5">
      <w:pPr>
        <w:widowControl/>
        <w:spacing w:after="240"/>
        <w:ind w:left="567" w:hanging="567"/>
        <w:rPr>
          <w:szCs w:val="32"/>
        </w:rPr>
      </w:pPr>
      <w:r w:rsidRPr="00E467D8">
        <w:rPr>
          <w:snapToGrid w:val="0"/>
        </w:rPr>
        <w:t>–</w:t>
      </w:r>
      <w:r w:rsidRPr="00E467D8">
        <w:rPr>
          <w:snapToGrid w:val="0"/>
        </w:rPr>
        <w:tab/>
      </w:r>
      <w:r w:rsidRPr="00E467D8">
        <w:t>έχοντας υπόψη τη μελέτη που εκπόνησε η Γενική Διεύθυνση Περιφερειακής Πολιτικής και Αστικής Ανάπτυξης (ΓΔ REGIO) της Επιτροπής με τίτλο «Ολοκληρωμένες εδαφικές και αστικές στρατηγικές: με ποιον τρόπο προσφέρουν τα ΕΔΕΤ προστιθέμενη αξία στην περίοδο 2014-2020», που δημοσιεύτηκε τον Δεκέμβριο του 2017</w:t>
      </w:r>
      <w:r w:rsidRPr="00E467D8">
        <w:rPr>
          <w:rFonts w:eastAsia="Calibri"/>
          <w:szCs w:val="24"/>
          <w:vertAlign w:val="superscript"/>
          <w:lang w:eastAsia="en-US"/>
        </w:rPr>
        <w:footnoteReference w:id="17"/>
      </w:r>
      <w:r w:rsidRPr="00E467D8">
        <w:t>,</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 xml:space="preserve">έχοντας υπόψη </w:t>
      </w:r>
      <w:r w:rsidRPr="00E467D8">
        <w:t xml:space="preserve">το </w:t>
      </w:r>
      <w:r w:rsidRPr="00E467D8">
        <w:rPr>
          <w:snapToGrid w:val="0"/>
        </w:rPr>
        <w:t xml:space="preserve">STRAT-Board, το </w:t>
      </w:r>
      <w:proofErr w:type="spellStart"/>
      <w:r w:rsidRPr="00E467D8">
        <w:rPr>
          <w:snapToGrid w:val="0"/>
        </w:rPr>
        <w:t>διαδραστικό</w:t>
      </w:r>
      <w:proofErr w:type="spellEnd"/>
      <w:r w:rsidRPr="00E467D8">
        <w:rPr>
          <w:snapToGrid w:val="0"/>
        </w:rPr>
        <w:t xml:space="preserve"> εργαλείο που ανέπτυξαν το Κοινό Κέντρο Ερευνών (JRC) της Ευρωπαϊκής Επιτροπής και η ΓΔ REGIO και παρουσιάζει τον τρόπο με τον οποίο τα Ευρωπαϊκά Διαρθρωτικά και Επενδυτικά Ταμεία (ΕΔΕΤ) στηρίζουν την ολοκληρωμένη προσέγγιση της αστικής και εδαφικής ανάπτυξης</w:t>
      </w:r>
      <w:r w:rsidRPr="00E467D8">
        <w:rPr>
          <w:rStyle w:val="FootnoteReference"/>
          <w:snapToGrid w:val="0"/>
          <w:lang w:eastAsia="en-US"/>
        </w:rPr>
        <w:footnoteReference w:id="18"/>
      </w:r>
      <w:r w:rsidRPr="00E467D8">
        <w:rPr>
          <w:snapToGrid w:val="0"/>
        </w:rPr>
        <w:t>,</w:t>
      </w:r>
    </w:p>
    <w:p w:rsidR="00BF0EC5" w:rsidRPr="00E467D8" w:rsidRDefault="00BF0EC5" w:rsidP="00BF0EC5">
      <w:pPr>
        <w:widowControl/>
        <w:spacing w:after="240"/>
        <w:ind w:left="567" w:hanging="567"/>
      </w:pPr>
      <w:r w:rsidRPr="00E467D8">
        <w:rPr>
          <w:snapToGrid w:val="0"/>
        </w:rPr>
        <w:t>–</w:t>
      </w:r>
      <w:r w:rsidRPr="00E467D8">
        <w:rPr>
          <w:snapToGrid w:val="0"/>
        </w:rPr>
        <w:tab/>
      </w:r>
      <w:r w:rsidRPr="00E467D8">
        <w:t>έχοντας υπόψη το εγχειρίδιο των στρατηγικών εδαφικής και τοπικής ανάπτυξης</w:t>
      </w:r>
      <w:r w:rsidR="00236004">
        <w:rPr>
          <w:rStyle w:val="FootnoteReference"/>
        </w:rPr>
        <w:footnoteReference w:id="19"/>
      </w:r>
      <w:r w:rsidRPr="00E467D8">
        <w:t xml:space="preserve"> και το εγχειρίδιο των στρατηγικών βιώσιμης αστικής ανάπτυξης</w:t>
      </w:r>
      <w:r w:rsidR="00236004">
        <w:rPr>
          <w:rStyle w:val="FootnoteReference"/>
        </w:rPr>
        <w:footnoteReference w:id="20"/>
      </w:r>
      <w:r w:rsidRPr="00E467D8">
        <w:t>, που δημοσίευσε το JRC,</w:t>
      </w:r>
    </w:p>
    <w:p w:rsidR="00BF0EC5" w:rsidRPr="00E467D8" w:rsidRDefault="00BF0EC5" w:rsidP="00BF0EC5">
      <w:pPr>
        <w:pStyle w:val="NormalBold"/>
        <w:spacing w:after="240"/>
        <w:ind w:left="567" w:hanging="567"/>
        <w:jc w:val="both"/>
      </w:pPr>
      <w:r w:rsidRPr="00E467D8">
        <w:rPr>
          <w:b w:val="0"/>
        </w:rPr>
        <w:t>–</w:t>
      </w:r>
      <w:r w:rsidRPr="00E467D8">
        <w:rPr>
          <w:b w:val="0"/>
        </w:rPr>
        <w:tab/>
        <w:t xml:space="preserve">έχοντας υπόψη το έγγραφο εργασίας της ΓΔ REGIO με τίτλο «The </w:t>
      </w:r>
      <w:proofErr w:type="spellStart"/>
      <w:r w:rsidRPr="00E467D8">
        <w:rPr>
          <w:b w:val="0"/>
        </w:rPr>
        <w:t>geography</w:t>
      </w:r>
      <w:proofErr w:type="spellEnd"/>
      <w:r w:rsidRPr="00E467D8">
        <w:rPr>
          <w:b w:val="0"/>
        </w:rPr>
        <w:t xml:space="preserve"> of EU </w:t>
      </w:r>
      <w:proofErr w:type="spellStart"/>
      <w:r w:rsidRPr="00E467D8">
        <w:rPr>
          <w:b w:val="0"/>
        </w:rPr>
        <w:t>discontent</w:t>
      </w:r>
      <w:proofErr w:type="spellEnd"/>
      <w:r w:rsidRPr="00E467D8">
        <w:rPr>
          <w:b w:val="0"/>
        </w:rPr>
        <w:t xml:space="preserve"> and the </w:t>
      </w:r>
      <w:proofErr w:type="spellStart"/>
      <w:r w:rsidRPr="00E467D8">
        <w:rPr>
          <w:b w:val="0"/>
        </w:rPr>
        <w:t>regional</w:t>
      </w:r>
      <w:proofErr w:type="spellEnd"/>
      <w:r w:rsidRPr="00E467D8">
        <w:rPr>
          <w:b w:val="0"/>
        </w:rPr>
        <w:t xml:space="preserve"> </w:t>
      </w:r>
      <w:proofErr w:type="spellStart"/>
      <w:r w:rsidRPr="00E467D8">
        <w:rPr>
          <w:b w:val="0"/>
        </w:rPr>
        <w:t>development</w:t>
      </w:r>
      <w:proofErr w:type="spellEnd"/>
      <w:r w:rsidRPr="00E467D8">
        <w:rPr>
          <w:b w:val="0"/>
        </w:rPr>
        <w:t xml:space="preserve"> </w:t>
      </w:r>
      <w:proofErr w:type="spellStart"/>
      <w:r w:rsidRPr="00E467D8">
        <w:rPr>
          <w:b w:val="0"/>
        </w:rPr>
        <w:t>trap</w:t>
      </w:r>
      <w:proofErr w:type="spellEnd"/>
      <w:r w:rsidRPr="00E467D8">
        <w:rPr>
          <w:b w:val="0"/>
        </w:rPr>
        <w:t xml:space="preserve">» («Η γεωγραφία της δυσαρέσκειας κατά της ΕΕ και η παγίδα της περιφερειακής ανάπτυξης»), το οποίο δημοσιεύτηκε τον Μάρτιο </w:t>
      </w:r>
      <w:r w:rsidRPr="00E467D8">
        <w:rPr>
          <w:b w:val="0"/>
        </w:rPr>
        <w:lastRenderedPageBreak/>
        <w:t>του 2023,</w:t>
      </w:r>
    </w:p>
    <w:p w:rsidR="00BF0EC5" w:rsidRPr="00E467D8" w:rsidRDefault="00BF0EC5" w:rsidP="00D96661">
      <w:pPr>
        <w:pStyle w:val="NormalBold"/>
        <w:spacing w:after="240"/>
        <w:ind w:left="567" w:hanging="567"/>
        <w:rPr>
          <w:b w:val="0"/>
        </w:rPr>
      </w:pPr>
      <w:r w:rsidRPr="00E467D8">
        <w:rPr>
          <w:b w:val="0"/>
        </w:rPr>
        <w:t>–</w:t>
      </w:r>
      <w:r w:rsidRPr="00E467D8">
        <w:rPr>
          <w:b w:val="0"/>
        </w:rPr>
        <w:tab/>
        <w:t xml:space="preserve">έχοντας υπόψη τη μελέτη που εκπονήθηκε για λογαριασμό του Συμβουλίου των Ευρωπαϊκών Δήμων και Περιφερειών με τίτλο «ITI and CLLD – The </w:t>
      </w:r>
      <w:proofErr w:type="spellStart"/>
      <w:r w:rsidRPr="00E467D8">
        <w:rPr>
          <w:b w:val="0"/>
        </w:rPr>
        <w:t>use</w:t>
      </w:r>
      <w:proofErr w:type="spellEnd"/>
      <w:r w:rsidRPr="00E467D8">
        <w:rPr>
          <w:b w:val="0"/>
        </w:rPr>
        <w:t xml:space="preserve"> of </w:t>
      </w:r>
      <w:proofErr w:type="spellStart"/>
      <w:r w:rsidRPr="00E467D8">
        <w:rPr>
          <w:b w:val="0"/>
        </w:rPr>
        <w:t>integrated</w:t>
      </w:r>
      <w:proofErr w:type="spellEnd"/>
      <w:r w:rsidRPr="00E467D8">
        <w:rPr>
          <w:b w:val="0"/>
        </w:rPr>
        <w:t xml:space="preserve"> </w:t>
      </w:r>
      <w:proofErr w:type="spellStart"/>
      <w:r w:rsidRPr="00E467D8">
        <w:rPr>
          <w:b w:val="0"/>
        </w:rPr>
        <w:t>territorial</w:t>
      </w:r>
      <w:proofErr w:type="spellEnd"/>
      <w:r w:rsidRPr="00E467D8">
        <w:rPr>
          <w:b w:val="0"/>
        </w:rPr>
        <w:t xml:space="preserve"> </w:t>
      </w:r>
      <w:proofErr w:type="spellStart"/>
      <w:r w:rsidRPr="00E467D8">
        <w:rPr>
          <w:b w:val="0"/>
        </w:rPr>
        <w:t>tools</w:t>
      </w:r>
      <w:proofErr w:type="spellEnd"/>
      <w:r w:rsidRPr="00E467D8">
        <w:rPr>
          <w:b w:val="0"/>
        </w:rPr>
        <w:t xml:space="preserve"> in </w:t>
      </w:r>
      <w:proofErr w:type="spellStart"/>
      <w:r w:rsidRPr="00E467D8">
        <w:rPr>
          <w:b w:val="0"/>
        </w:rPr>
        <w:t>cohesion</w:t>
      </w:r>
      <w:proofErr w:type="spellEnd"/>
      <w:r w:rsidRPr="00E467D8">
        <w:rPr>
          <w:b w:val="0"/>
        </w:rPr>
        <w:t xml:space="preserve"> </w:t>
      </w:r>
      <w:proofErr w:type="spellStart"/>
      <w:r w:rsidRPr="00E467D8">
        <w:rPr>
          <w:b w:val="0"/>
        </w:rPr>
        <w:t>policy</w:t>
      </w:r>
      <w:proofErr w:type="spellEnd"/>
      <w:r w:rsidRPr="00E467D8">
        <w:rPr>
          <w:b w:val="0"/>
        </w:rPr>
        <w:t>» (ΟΕΕ και ΤΑΠΤΚ – Η χρήση ολοκληρωμένων εδαφικών εργαλείων στην πολιτική συνοχής), η οποία δημοσιεύτηκε τον Δεκέμβριο του 2022,</w:t>
      </w:r>
    </w:p>
    <w:p w:rsidR="00BF0EC5" w:rsidRPr="00E467D8" w:rsidRDefault="00BF0EC5" w:rsidP="00BF0EC5">
      <w:pPr>
        <w:pStyle w:val="NormalBold"/>
        <w:spacing w:after="240"/>
        <w:ind w:left="567" w:hanging="567"/>
        <w:jc w:val="both"/>
        <w:rPr>
          <w:b w:val="0"/>
        </w:rPr>
      </w:pPr>
      <w:r w:rsidRPr="00E467D8">
        <w:rPr>
          <w:b w:val="0"/>
        </w:rPr>
        <w:t>–</w:t>
      </w:r>
      <w:r w:rsidRPr="00E467D8">
        <w:rPr>
          <w:b w:val="0"/>
        </w:rPr>
        <w:tab/>
        <w:t>έχοντας υπόψη τον Χάρτη της Λειψίας του 2007 για τις βιώσιμες ευρωπαϊκές πόλεις και τον νέο Χάρτη της Λειψίας — η μετασχηματιστική ισχύς των πόλεων για το κοινό καλό, της 30ης Νοεμβρίου 2020,</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 xml:space="preserve">έχοντας υπόψη το άρθρο 54 του Κανονισμού του, καθώς και το άρθρο 1 παράγραφος 1 </w:t>
      </w:r>
      <w:r w:rsidR="005523D7">
        <w:rPr>
          <w:snapToGrid w:val="0"/>
        </w:rPr>
        <w:t>στοιχείο</w:t>
      </w:r>
      <w:r w:rsidR="005523D7" w:rsidRPr="00E467D8">
        <w:rPr>
          <w:snapToGrid w:val="0"/>
        </w:rPr>
        <w:t xml:space="preserve"> </w:t>
      </w:r>
      <w:r w:rsidRPr="00E467D8">
        <w:rPr>
          <w:snapToGrid w:val="0"/>
        </w:rPr>
        <w:t>ε) αυτού και το Παράρτημα 3 της απόφασης της Διάσκεψης των Προέδρων, της 12ης Δεκεμβρίου 2002, σχετικά με τη διαδικασία έγκρισης για τη σύνταξη εκθέσεων πρωτοβουλίας,</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 xml:space="preserve">έχοντας </w:t>
      </w:r>
      <w:r w:rsidRPr="00E467D8">
        <w:t>υπόψη τη γνωμοδότηση της Επιτροπής Γεωργίας και Ανάπτυξης της Υπαίθρου,</w:t>
      </w:r>
    </w:p>
    <w:p w:rsidR="00BF0EC5" w:rsidRPr="00E467D8" w:rsidRDefault="00BF0EC5" w:rsidP="00BF0EC5">
      <w:pPr>
        <w:widowControl/>
        <w:spacing w:after="240"/>
        <w:ind w:left="567" w:hanging="567"/>
        <w:rPr>
          <w:snapToGrid w:val="0"/>
        </w:rPr>
      </w:pPr>
      <w:r w:rsidRPr="00E467D8">
        <w:rPr>
          <w:snapToGrid w:val="0"/>
        </w:rPr>
        <w:t>–</w:t>
      </w:r>
      <w:r w:rsidRPr="00E467D8">
        <w:rPr>
          <w:snapToGrid w:val="0"/>
        </w:rPr>
        <w:tab/>
        <w:t xml:space="preserve">έχοντας </w:t>
      </w:r>
      <w:r w:rsidRPr="00E467D8">
        <w:t>υπόψη την έκθεση της Επιτροπής Περιφερειακής Ανάπτυξης (A9-0420/2023),</w:t>
      </w:r>
    </w:p>
    <w:p w:rsidR="00BF0EC5" w:rsidRPr="00E467D8" w:rsidRDefault="00BF0EC5" w:rsidP="00BF0EC5">
      <w:pPr>
        <w:pStyle w:val="NormalHanging12a"/>
        <w:ind w:hanging="709"/>
      </w:pPr>
      <w:r w:rsidRPr="00E467D8">
        <w:t>Α.</w:t>
      </w:r>
      <w:r w:rsidRPr="00E467D8">
        <w:tab/>
        <w:t xml:space="preserve">λαμβάνοντας υπόψη ότι η πολιτική συνοχής παραμένει και θα πρέπει να παραμείνει η κύρια επενδυτική πολιτική για τις περιφέρειες και τις πόλεις της ΕΕ και δεν προορίζεται να χρησιμεύει συστηματικά ως πρώτη επιλογή χρηματοδοτικής συνδρομής ώστε να αντιμετωπίζονται απρόβλεπτα γεγονότα που κλονίζουν την </w:t>
      </w:r>
      <w:proofErr w:type="spellStart"/>
      <w:r w:rsidRPr="00E467D8">
        <w:t>κοινωνικο</w:t>
      </w:r>
      <w:proofErr w:type="spellEnd"/>
      <w:r w:rsidRPr="00E467D8">
        <w:t>-οικονομική μας κατάσταση· λαμβάνοντας υπόψη ότι η Εδαφική Ατζέντα αποτελεί το κατευθυντήριο μέσο για την εδαφική πολιτική της EE, όπως αποτυπώνεται στα εθνικά προγράμματα και έργα της, παρέχοντας προσανατολισμό για τον στρατηγικό χωροταξικό σχεδιασμό και την περιφερειακή ανάπτυξη, ζητώντας την ενίσχυση της εδαφικής διάστασης των τομεακών πολιτικών σε όλα τα επίπεδα διακυβέρνησης και επιδιώκοντας να προωθήσει ένα χωρίς αποκλεισμούς και βιώσιμο μέλλον για όλους τους τόπους και να βοηθήσει στην επίτευξη των ΣΒΑ στην Ευρώπη·</w:t>
      </w:r>
    </w:p>
    <w:p w:rsidR="00BF0EC5" w:rsidRPr="00E467D8" w:rsidRDefault="00BF0EC5" w:rsidP="00BF0EC5">
      <w:pPr>
        <w:pStyle w:val="NormalHanging12a"/>
        <w:rPr>
          <w:szCs w:val="24"/>
        </w:rPr>
      </w:pPr>
      <w:r w:rsidRPr="00E467D8">
        <w:t>Β.</w:t>
      </w:r>
      <w:r w:rsidRPr="00E467D8">
        <w:tab/>
        <w:t>λαμβάνοντας υπόψη ότι οι προκλήσεις που αντιμετωπίζουν οι περιφέρειες της ΕΕ εντοπίζονται και υπόκεινται σε διαχείριση σε εδαφικό επίπεδο·</w:t>
      </w:r>
    </w:p>
    <w:p w:rsidR="00BF0EC5" w:rsidRPr="00E467D8" w:rsidRDefault="00BF0EC5" w:rsidP="00BF0EC5">
      <w:pPr>
        <w:pStyle w:val="NormalHanging12a"/>
      </w:pPr>
      <w:r w:rsidRPr="00E467D8">
        <w:t>Γ.</w:t>
      </w:r>
      <w:r w:rsidRPr="00E467D8">
        <w:tab/>
        <w:t xml:space="preserve">λαμβάνοντας υπόψη ότι στον προηγούμενο και στον ισχύοντα κανονισμό περί κοινών διατάξεων δεν γίνεται ειδική αναφορά στην Εδαφική Ατζέντα του 2020 ή του 2030 αντίστοιχα· λαμβάνοντας υπόψη ότι ο τίτλος ΙΙΙ κεφάλαιο ΙΙ του ισχύοντος κανονισμού περί κοινών διατάξεων παρέχει τη βάση για την άντληση κονδυλίων της πολιτικής συνοχής μέσω των στρατηγικών εδαφικής ανάπτυξης· λαμβάνοντας υπόψη ότι το άρθρο 7 του κανονισμού (ΕΕ) </w:t>
      </w:r>
      <w:r w:rsidR="00FF0E23">
        <w:t xml:space="preserve">αριθ. </w:t>
      </w:r>
      <w:bookmarkStart w:id="8" w:name="_GoBack"/>
      <w:bookmarkEnd w:id="8"/>
      <w:r w:rsidRPr="00E467D8">
        <w:t>1301/2013</w:t>
      </w:r>
      <w:r w:rsidRPr="00E467D8">
        <w:rPr>
          <w:rStyle w:val="FootnoteReference"/>
        </w:rPr>
        <w:footnoteReference w:id="21"/>
      </w:r>
      <w:r w:rsidRPr="00E467D8">
        <w:t xml:space="preserve"> αναφέρεται στη βιώσιμη αστική ανάπτυξη που βασίζεται σε ολοκληρωμένες βιώσιμες αστικές στρατηγικές ως το πλαίσιο για την επιλογή μεμονωμένων πράξεων·</w:t>
      </w:r>
    </w:p>
    <w:p w:rsidR="00BF0EC5" w:rsidRPr="00E467D8" w:rsidRDefault="00BF0EC5" w:rsidP="00BF0EC5">
      <w:pPr>
        <w:pStyle w:val="NormalHanging12a"/>
        <w:rPr>
          <w:szCs w:val="24"/>
        </w:rPr>
      </w:pPr>
      <w:r w:rsidRPr="00E467D8">
        <w:t>Δ.</w:t>
      </w:r>
      <w:r w:rsidRPr="00E467D8">
        <w:tab/>
        <w:t xml:space="preserve">λαμβάνοντας υπόψη ότι η </w:t>
      </w:r>
      <w:proofErr w:type="spellStart"/>
      <w:r w:rsidRPr="00E467D8">
        <w:t>τοποκεντρική</w:t>
      </w:r>
      <w:proofErr w:type="spellEnd"/>
      <w:r w:rsidRPr="00E467D8">
        <w:t xml:space="preserve"> προσέγγιση για τη χάραξη πολιτικής, η οποία βασίζεται στην ολοκληρωμένη εδαφική ανάπτυξη, αποσκοπεί στην αξιοποίηση των </w:t>
      </w:r>
      <w:r w:rsidRPr="00E467D8">
        <w:lastRenderedPageBreak/>
        <w:t>μοναδικών δυνατοτήτων που σχετίζονται με τους εδαφικούς πόρους, τη γνώση και τα περιουσιακά στοιχεία, ενώ αναγνωρίζεται η ανάγκη για προσαρμοσμένες λύσεις στους διαφόρους τύπους περιοχών·</w:t>
      </w:r>
    </w:p>
    <w:p w:rsidR="00BF0EC5" w:rsidRPr="00E467D8" w:rsidRDefault="00BF0EC5" w:rsidP="00BF0EC5">
      <w:pPr>
        <w:pStyle w:val="NormalHanging12a"/>
        <w:ind w:hanging="640"/>
      </w:pPr>
      <w:r w:rsidRPr="00E467D8">
        <w:t>Ε.</w:t>
      </w:r>
      <w:r w:rsidRPr="00E467D8">
        <w:tab/>
        <w:t xml:space="preserve">λαμβάνοντας υπόψη ότι, όπως φαίνεται, οι κύριες δυσκολίες που αντιμετώπισαν τα τοπικά και τα περιφερειακά θεσμικά όργανα και η κοινωνία των πολιτών κατά την περίοδο 2014-2020 ήταν η ανεπαρκής τεχνική και διοικητική υποστήριξη, τα δυσανάλογα γραφειοκρατικά εμπόδια, η έλλειψη δεξιοτήτων, κατάρτισης, γνώσεων και ανάπτυξης ικανοτήτων, και η ανεπαρκής συνεργασία μεταξύ των διαφόρων επιπέδων διακυβέρνησης, πέραν της αργής απορρόφησης των κονδυλίων· </w:t>
      </w:r>
    </w:p>
    <w:p w:rsidR="00BF0EC5" w:rsidRPr="00E467D8" w:rsidRDefault="00BF0EC5" w:rsidP="00BF0EC5">
      <w:pPr>
        <w:pStyle w:val="NormalHanging12a"/>
        <w:rPr>
          <w:szCs w:val="24"/>
        </w:rPr>
      </w:pPr>
      <w:r w:rsidRPr="00E467D8">
        <w:t>ΣΤ.</w:t>
      </w:r>
      <w:r w:rsidRPr="00E467D8">
        <w:tab/>
        <w:t>λαμβάνοντας υπόψη ότι, όπως φαίνεται, στις περιφέρειες και τις διοικητικές μονάδες όπου εφαρμόζεται το πρόγραμμα LEADER, ένας υποχρεωτικός διαχειριστής της ομάδας τοπικής δράσης συμβάλλει στη βελτίωση των επιδόσεων και της απορρόφησης της περιφερειακής χρηματοδότησης·</w:t>
      </w:r>
    </w:p>
    <w:p w:rsidR="00BF0EC5" w:rsidRPr="00E467D8" w:rsidRDefault="00BF0EC5" w:rsidP="00BF0EC5">
      <w:pPr>
        <w:pStyle w:val="NormalHanging12a"/>
        <w:rPr>
          <w:szCs w:val="24"/>
        </w:rPr>
      </w:pPr>
      <w:r w:rsidRPr="00E467D8">
        <w:t>Ζ.</w:t>
      </w:r>
      <w:r w:rsidRPr="00E467D8">
        <w:tab/>
        <w:t>λαμβάνοντας υπόψη ότι ο πλούτος της εδαφικής πολυμορφίας της Ευρώπης θα πρέπει να θεωρείται ως ένα δυναμικό και πολύπλοκο σύστημα στο οποίο κάθε περιφέρεια αντιμετωπίζει αναπτυξιακές προκλήσεις ανάλογα με τα ιδιαίτερα χαρακτηριστικά της· λαμβάνοντας υπόψη ότι οι αυξανόμενες ανισότητες μεταξύ των τόπων και μεταξύ των ανθρώπων έχουν φτάσει σε κρίσιμο επίπεδο και ότι απαιτείται συντονισμένη δράση σε όλα τα γεωγραφικά επίπεδα και τα επίπεδα διακυβέρνησης προκειμένου να εξασφαλιστούν θετικές μελλοντικές προοπτικές για όλους τους ανθρώπους και όλους τους τόπους σε ολόκληρη την ΕΕ·</w:t>
      </w:r>
    </w:p>
    <w:p w:rsidR="00BF0EC5" w:rsidRPr="00E467D8" w:rsidRDefault="00BF0EC5" w:rsidP="00BF0EC5">
      <w:pPr>
        <w:pStyle w:val="NormalHanging12a"/>
        <w:ind w:left="570" w:hanging="570"/>
      </w:pPr>
      <w:r w:rsidRPr="00E467D8">
        <w:t>Η.</w:t>
      </w:r>
      <w:r w:rsidRPr="00E467D8">
        <w:tab/>
        <w:t>λαμβάνοντας υπόψη ότι το εγχειρίδιο των στρατηγικών εδαφικής και τοπικής ανάπτυξης παρέχει μεθοδολογική στήριξη σε όλα τα επίπεδα·</w:t>
      </w:r>
    </w:p>
    <w:p w:rsidR="00BF0EC5" w:rsidRPr="00E467D8" w:rsidRDefault="00BF0EC5" w:rsidP="00BF0EC5">
      <w:pPr>
        <w:pStyle w:val="NormalHanging12a"/>
        <w:rPr>
          <w:szCs w:val="24"/>
        </w:rPr>
      </w:pPr>
      <w:r w:rsidRPr="00E467D8">
        <w:t>Θ.</w:t>
      </w:r>
      <w:r w:rsidRPr="00E467D8">
        <w:tab/>
        <w:t xml:space="preserve">λαμβάνοντας υπόψη ότι η </w:t>
      </w:r>
      <w:proofErr w:type="spellStart"/>
      <w:r w:rsidRPr="00E467D8">
        <w:t>μικροσυνοχή</w:t>
      </w:r>
      <w:proofErr w:type="spellEnd"/>
      <w:r w:rsidRPr="00E467D8">
        <w:t xml:space="preserve"> αποτελεί μια μορφή ισορροπίας για τις υπανάπτυκτες περιοχές εντός των περισσότερο ανεπτυγμένων περιφερειών· λαμβάνοντας υπόψη ότι, δίνοντας ρητή έμφαση στους «τόπους και τους ανθρώπους», η Εδαφική Ατζέντα (TA2030) πρωτοστατεί στην «ιδέα της διαπροσωπικής συνοχής» παράλληλα με την εδαφική συνοχή, λαμβάνοντας υπόψη ότι οι ανισότητες αυτές μπορούν να αντιμετωπιστούν μόνο με την απόδοση μεγαλύτερης προσοχής στην πολυμορφία και το δυναμικό των εδαφών, καθώς και με τον σχεδιασμό </w:t>
      </w:r>
      <w:proofErr w:type="spellStart"/>
      <w:r w:rsidRPr="00E467D8">
        <w:t>τοποκεντρικών</w:t>
      </w:r>
      <w:proofErr w:type="spellEnd"/>
      <w:r w:rsidRPr="00E467D8">
        <w:t xml:space="preserve"> πολιτικών και στρατηγικών, με στόχο την καλύτερη ενσωμάτωση της εδαφικής διάστασης σε όλα τα ταμεία της ΕΕ·</w:t>
      </w:r>
    </w:p>
    <w:p w:rsidR="00BF0EC5" w:rsidRPr="00E467D8" w:rsidRDefault="00BF0EC5" w:rsidP="00BF0EC5">
      <w:pPr>
        <w:pStyle w:val="NormalHanging12a"/>
        <w:rPr>
          <w:szCs w:val="24"/>
        </w:rPr>
      </w:pPr>
      <w:r w:rsidRPr="00E467D8">
        <w:t>Ι.</w:t>
      </w:r>
      <w:r w:rsidRPr="00E467D8">
        <w:tab/>
        <w:t>λαμβάνοντας υπόψη ότι το άρθρο 28 του ΚΚΔ ορίζει τις ολοκληρωμένες εδαφικές επενδύσεις (ΟΕΕ) και την τοπική ανάπτυξη με πρωτοβουλία των τοπικών κοινοτήτων (ΤΑΠΤΚ) ως τα μέσα για την υλοποίηση των στρατηγικών εδαφικής ανάπτυξης και ζητεί να υπάρχει συνοχή και συντονισμός μεταξύ των ταμείων όταν ορισμένα από αυτά χρησιμοποιούνται για την ίδια στρατηγική περιφερειακής ή τοπικής ανάπτυξης· λαμβάνοντας υπόψη ότι τα μέσα αυτά αποσκοπούν στην εδαφική ανάπτυξη από τη βάση προς την κορυφή και ενισχύουν την ενεργό συμμετοχή των τοπικών ενδιαφερόμενων φορέων·</w:t>
      </w:r>
    </w:p>
    <w:p w:rsidR="00BF0EC5" w:rsidRPr="00E467D8" w:rsidRDefault="00BF0EC5" w:rsidP="00BF0EC5">
      <w:pPr>
        <w:pStyle w:val="NormalHanging12a"/>
        <w:ind w:left="570" w:hanging="570"/>
      </w:pPr>
      <w:r w:rsidRPr="00E467D8">
        <w:t>ΙΑ.</w:t>
      </w:r>
      <w:r w:rsidRPr="00E467D8">
        <w:tab/>
        <w:t>λαμβάνοντας υπόψη ότι κατά την περίοδο 2014-2020 προγραμματίστηκαν 1 975 στρατηγικές μεταξύ των τότε 28 κρατών μελών, οι οποίες χρηματοδοτήθηκαν με 19 δισεκατομμύρια EUR από το Ευρωπαϊκό Ταμείο Περιφερειακής Ανάπτυξης (ΕΤΠΑ), εκ των οποίων τα 13,8 δισεκατομμύρια EUR διατέθηκαν σε ΟΕΕ σε εννέα κράτη μέλη·</w:t>
      </w:r>
    </w:p>
    <w:p w:rsidR="00BF0EC5" w:rsidRPr="00E467D8" w:rsidRDefault="00BF0EC5" w:rsidP="00BF0EC5">
      <w:pPr>
        <w:pStyle w:val="NormalHanging12a"/>
      </w:pPr>
      <w:r w:rsidRPr="00E467D8">
        <w:lastRenderedPageBreak/>
        <w:t>ΙΒ.</w:t>
      </w:r>
      <w:r w:rsidRPr="00E467D8">
        <w:tab/>
        <w:t>λαμβάνοντας υπόψη ότι η ΤΑΠΤΚ ήταν το δεύτερο ευρύτερα χρησιμοποιούμενο εργαλείο από τα κράτη μέλη για την ανάπτυξη εδαφικών ή τοπικών στρατηγικών κατά την περίοδο 2014-2020 και εγγυάται ότι οι τοπικές και περιφερειακές διοικήσεις και τα ενδιαφερόμενα μέρη θα συμμετέχουν εκ του σύνεγγυς στην προετοιμασία, την υλοποίηση και την παρακολούθηση των κονδυλίων της ΕΕ που λαμβάνουν· λαμβάνοντας υπόψη ότι δεν υπάρχει ειδική δέσμευση για τη χρήση της ΤΑΠΤΚ κατά την προγραμματική περίοδο 2021-2027·</w:t>
      </w:r>
    </w:p>
    <w:p w:rsidR="00BF0EC5" w:rsidRPr="00E467D8" w:rsidRDefault="00BF0EC5" w:rsidP="00BF0EC5">
      <w:pPr>
        <w:pStyle w:val="NormalHanging12a"/>
      </w:pPr>
      <w:r w:rsidRPr="00E467D8">
        <w:t>ΙΓ.</w:t>
      </w:r>
      <w:r w:rsidRPr="00E467D8">
        <w:tab/>
        <w:t>λαμβάνοντας υπόψη ότι η εφαρμογή των ΟΕΕ και των ΤΑΠΤΚ παραμένει άνιση σε ολόκληρη την ΕΕ και αρκετά κράτη μέλη, καθώς και αρκετές διαχειριστικές αρχές δεν φαίνεται να επιδεικνύουν ιδιαίτερη προσήλωση στην εφαρμογή τους· λαμβάνοντας υπόψη ότι η ερμηνεία και η εφαρμογή του στόχου πολιτικής 5 «Ευρώπη πιο κοντά στους πολίτες» (ΣΠ 5) διαφέρει μεταξύ των κρατών μελών, με αποτέλεσμα το χαμηλό ποσοστό εφαρμογής των ΟΕΕ και της ΤΑΠΤΚ· λαμβάνοντας υπόψη ότι οι συννομοθέτες θα πρέπει να εξετάσουν, στο μέλλον, μια πιο ευέλικτη εφαρμογή του ΣΠ 5 χωρίς αυστηρές απαιτήσεις όσον αφορά τις στρατηγικές και τη διακυβέρνηση, συμβάλλοντας στο άνοιγμά του σε κάθε είδους πρωτοβουλίες που συμβάλλουν στην περιφερειακή και τοπική ανάπτυξη·</w:t>
      </w:r>
    </w:p>
    <w:p w:rsidR="00BF0EC5" w:rsidRPr="00E467D8" w:rsidRDefault="00BF0EC5" w:rsidP="00BF0EC5">
      <w:pPr>
        <w:pStyle w:val="NormalHanging12a"/>
        <w:rPr>
          <w:szCs w:val="24"/>
        </w:rPr>
      </w:pPr>
      <w:r w:rsidRPr="00E467D8">
        <w:t>ΙΔ.</w:t>
      </w:r>
      <w:r w:rsidRPr="00E467D8">
        <w:tab/>
        <w:t>λαμβάνοντας υπόψη ότι οι ΟΕΕ και η ΤΑΠΤΚ είναι μέσα που θα πρέπει να αποσκοπούν όχι μόνο στη διευκόλυνση μιας προσέγγισης από τη βάση προς την κορυφή όσον αφορά την εδαφική ανάπτυξη με την εξαρχής συμμετοχή των τοπικών και περιφερειακών αρχών, αλλά επίσης με τη διευκόλυνση του διαλόγου μεταξύ των διαφόρων ενδιαφερόμενων μερών και με την ενίσχυση της συνεργασίας μεταξύ του δημόσιου και του ιδιωτικού τομέα, καθώς και με την προώθηση της συνεργασίας και της μεταφοράς πληροφοριών μεταξύ όλων των επιπέδων διακυβέρνησης·</w:t>
      </w:r>
    </w:p>
    <w:p w:rsidR="00BF0EC5" w:rsidRPr="00E467D8" w:rsidRDefault="00BF0EC5" w:rsidP="00BF0EC5">
      <w:pPr>
        <w:pStyle w:val="NormalHanging12a"/>
      </w:pPr>
      <w:r w:rsidRPr="00E467D8">
        <w:t>ΙΕ.</w:t>
      </w:r>
      <w:r w:rsidRPr="00E467D8">
        <w:tab/>
        <w:t>λαμβάνοντας υπόψη ότι η TA2030 καλεί το Κοινοβούλιο και την οικεία του Επιτροπή Περιφερειακής Ανάπτυξης, που είναι αρμόδια επί της ουσίας για την οικονομική, κοινωνική και εδαφική συνοχή, να συνεκτιμήσουν τους στόχους της, υποστηρίζοντας τις προτεραιότητές της στις νομοθετικές διαδικασίες της ΕΕ·</w:t>
      </w:r>
    </w:p>
    <w:p w:rsidR="00BF0EC5" w:rsidRPr="00E467D8" w:rsidRDefault="00BF0EC5" w:rsidP="00BF0EC5">
      <w:pPr>
        <w:pStyle w:val="NormalHanging12a"/>
      </w:pPr>
      <w:r w:rsidRPr="00E467D8">
        <w:t>ΙΣΤ.</w:t>
      </w:r>
      <w:r w:rsidRPr="00E467D8">
        <w:tab/>
        <w:t xml:space="preserve">λαμβάνοντας υπόψη ότι η ολοκληρωμένη εδαφική επένδυση (ΟΕΕ) και οι </w:t>
      </w:r>
      <w:proofErr w:type="spellStart"/>
      <w:r w:rsidRPr="00E467D8">
        <w:t>τοποκεντρικές</w:t>
      </w:r>
      <w:proofErr w:type="spellEnd"/>
      <w:r w:rsidRPr="00E467D8">
        <w:t xml:space="preserve"> πολιτικές είναι απαραίτητες προϋποθέσεις για την επίτευξη των στρατηγικών στόχων της ΕΕ, όπως η πράσινη και η ψηφιακή μετάβαση· λαμβάνοντας υπόψη ότι οι </w:t>
      </w:r>
      <w:proofErr w:type="spellStart"/>
      <w:r w:rsidRPr="00E467D8">
        <w:t>τοποκεντρικές</w:t>
      </w:r>
      <w:proofErr w:type="spellEnd"/>
      <w:r w:rsidRPr="00E467D8">
        <w:t xml:space="preserve"> πολιτικές μπορούν να βοηθήσουν τα εδάφη να ξεφύγουν από τη μακροπρόθεσμη οικονομική παρακμή και την «παγίδα της περιφερειακής ανάπτυξης», όπου μια περιφέρεια δεν είναι σε θέση να διατηρήσει την οικονομική δυναμική της όσον αφορά το εισόδημα, την παραγωγικότητα και την απασχόληση·</w:t>
      </w:r>
    </w:p>
    <w:p w:rsidR="00BF0EC5" w:rsidRPr="00E467D8" w:rsidRDefault="00BF0EC5" w:rsidP="00BF0EC5">
      <w:pPr>
        <w:pStyle w:val="NormalHanging12a"/>
      </w:pPr>
      <w:r w:rsidRPr="00E467D8">
        <w:t>ΙΖ.</w:t>
      </w:r>
      <w:r w:rsidRPr="00E467D8">
        <w:tab/>
        <w:t>λαμβάνοντας υπόψη ότι η TA2030 ορίζει δύο πρωταρχικούς στόχους, τη δίκαιη Ευρώπη και την πράσινη Ευρώπη, που έχουν έξι προτεραιότητες (την ισορροπημένη Ευρώπη, τις λειτουργικές περιφέρειες, την ενσωμάτωση πέραν των εθνικών συνόρων, το υγιές περιβάλλον, την κυκλική οικονομία και τις βιώσιμες συνδέσεις) για την ανάπτυξη της ευρωπαϊκής επικράτειας στο σύνολό της, καθώς και όλων των τόπων της· λαμβάνοντας υπόψη ότι η TA2030 ευθυγραμμίζει περαιτέρω τους στόχους εδαφικής ανάπτυξης της ΕΕ με την Ατζέντα των Ηνωμένων Εθνών για τη βιώσιμη ανάπτυξη με ορίζοντα το 2030 και την Ευρωπαϊκή Πράσινη Συμφωνία· λαμβάνοντας υπόψη ότι το αστικό θεματολόγιο της ΕΕ, μέσω του Χάρτη της Λειψίας, υποστηρίζει τους στόχους της TA2030·</w:t>
      </w:r>
    </w:p>
    <w:p w:rsidR="00BF0EC5" w:rsidRPr="00E467D8" w:rsidRDefault="00BF0EC5" w:rsidP="00BF0EC5">
      <w:pPr>
        <w:pStyle w:val="NormalHanging12a"/>
        <w:rPr>
          <w:szCs w:val="24"/>
        </w:rPr>
      </w:pPr>
      <w:r w:rsidRPr="00E467D8">
        <w:t>ΙΗ.</w:t>
      </w:r>
      <w:r w:rsidRPr="00E467D8">
        <w:tab/>
        <w:t xml:space="preserve">λαμβάνοντας υπόψη ότι η ισχυρή κοινή εδαφική ανάπτυξη μέσω του ΚΚΔ και της </w:t>
      </w:r>
      <w:r w:rsidRPr="00E467D8">
        <w:lastRenderedPageBreak/>
        <w:t>εφαρμογής της TA2030 μπορεί να χρησιμεύσει ως όχημα για την ενίσχυση της αλληλεγγύης και των δημοκρατικών διαδικασιών και για μια δίκαιη και πράσινη ΕΕ· λαμβάνοντας υπόψη ότι οι εδαφικές προσεγγίσεις προσθέτουν αξία με την εφαρμογή ενός στρατηγικού, χωροταξικού οράματος, το οποίο αποτυπώνει τους συγκεκριμένους συνδυασμούς κοινωνικών, θεσμικών, οικονομικών και περιβαλλοντικών προκλήσεων και ευκαιριών που επηρεάζουν την ανάπτυξη όλων των τύπων περιοχών·</w:t>
      </w:r>
    </w:p>
    <w:p w:rsidR="00BF0EC5" w:rsidRPr="00E467D8" w:rsidRDefault="00BF0EC5" w:rsidP="00BF0EC5">
      <w:pPr>
        <w:pStyle w:val="NormalHanging12a"/>
      </w:pPr>
      <w:r w:rsidRPr="00E467D8">
        <w:t>ΙΘ.</w:t>
      </w:r>
      <w:r w:rsidRPr="00E467D8">
        <w:tab/>
        <w:t>λαμβάνοντας υπόψη ότι η υλοποίηση των προτεραιοτήτων της TA2030 παραμένει άνιση σε ολόκληρη την ΕΕ, λαμβάνοντας ιδίως υπόψη τις χωρικές ανισότητες, όπως ο νησιωτικός χαρακτήρας· λαμβάνοντας υπόψη ότι τα συμπεράσματα της TA2030 καταδεικνύουν αυξανόμενες ανισότητες εντός της ΕΕ, οι οποίες εντείνουν το χάσμα μεταξύ των ανθρώπων και μεταξύ των περιοχών·</w:t>
      </w:r>
    </w:p>
    <w:p w:rsidR="00BF0EC5" w:rsidRPr="00E467D8" w:rsidRDefault="00BF0EC5" w:rsidP="00BF0EC5">
      <w:pPr>
        <w:pStyle w:val="NormalHanging12a"/>
      </w:pPr>
      <w:r w:rsidRPr="00E467D8">
        <w:t>Κ.</w:t>
      </w:r>
      <w:r w:rsidRPr="00E467D8">
        <w:tab/>
        <w:t>λαμβάνοντας υπόψη ότι η TA2030 ζητεί την ενίσχυση της εδαφικής διάστασης των τομεακών πολιτικών σε όλα τα επίπεδα διακυβέρνησης· λαμβάνοντας υπόψη ότι οι κατευθυντήριες αρχές της TA2030 περιλαμβάνονται στις δύο προτεραιότητες «Διεύρυνση χάσματος μεταξύ ανθρώπων και τόπων» και «Βιώσιμη ανάπτυξη και κλιματική αλλαγή»·</w:t>
      </w:r>
    </w:p>
    <w:p w:rsidR="00BF0EC5" w:rsidRPr="00E467D8" w:rsidRDefault="00BF0EC5" w:rsidP="00BF0EC5">
      <w:pPr>
        <w:pStyle w:val="NormalHanging12a"/>
      </w:pPr>
      <w:r w:rsidRPr="00E467D8">
        <w:t>ΚΑ.</w:t>
      </w:r>
      <w:r w:rsidRPr="00E467D8">
        <w:tab/>
        <w:t>λαμβάνοντας υπόψη ότι δρομολογήθηκαν επτά πιλοτικές δράσεις με την έγκριση της TA2030, οι οποίες χρησιμεύουν ως παράδειγμα της επιτόπιας εφαρμογής των στόχων της, σε τοπικό και περιφερειακό επίπεδο, και αποτελούν πηγή έμπνευσης για κοινές δράσεις σε ολόκληρη την ΕΕ, και συγκεκριμένα: «Ένα μέλλον για τις υστερούσες περιφέρειες», «Κατανόηση του τρόπου με τον οποίο οι τομεακές πολιτικές διαμορφώνουν χωρικές (αν)ισορροπίες», «Οι μικροί τόποι είναι σημαντικοί», «Διασυνοριακός χωροταξικός σχεδιασμός», «Δράση για το κλίμα σε πόλεις των Άλπεων», «Προσαρμογή και ανθεκτικότητα στην κλιματική αλλαγή μέσω της μετάβασης στο τοπίο» και «Μείωση της κατάληψης γης, της άτακτης αστικής εξάπλωσης και της σφράγισης του εδάφους σε πόλεις διαφόρων μεγεθών και λειτουργικών αστικών περιοχών»·</w:t>
      </w:r>
    </w:p>
    <w:p w:rsidR="00BF0EC5" w:rsidRPr="00E467D8" w:rsidRDefault="00BF0EC5" w:rsidP="00BF0EC5">
      <w:pPr>
        <w:pStyle w:val="NormalHanging12a"/>
        <w:rPr>
          <w:szCs w:val="24"/>
        </w:rPr>
      </w:pPr>
      <w:r w:rsidRPr="00E467D8">
        <w:t>ΚΒ.</w:t>
      </w:r>
      <w:r w:rsidRPr="00E467D8">
        <w:tab/>
        <w:t>λαμβάνοντας υπόψη ότι, με βάση την περιορισμένη γεωγραφική ισορροπία κατά την ανάπτυξη αυτών των πιλοτικών δράσεων και τις διοικητικές δυσκολίες που ανέκυψαν κατά τη χρηματοδότηση πιλοτικών δράσεων από διάφορα προγράμματα, απαιτείται καλύτερη συλλογή δεδομένων, καθώς και συνεκτική αναθεώρηση της TA2030·</w:t>
      </w:r>
    </w:p>
    <w:p w:rsidR="00BF0EC5" w:rsidRPr="00E467D8" w:rsidRDefault="00D96661" w:rsidP="00D96661">
      <w:pPr>
        <w:pStyle w:val="NormalHanging12a"/>
        <w:ind w:hanging="570"/>
      </w:pPr>
      <w:r w:rsidRPr="00E467D8">
        <w:t>1.</w:t>
      </w:r>
      <w:r w:rsidRPr="00E467D8">
        <w:tab/>
      </w:r>
      <w:r w:rsidR="00BF0EC5" w:rsidRPr="00E467D8">
        <w:t>τονίζει ότι, κατά την περίοδο 2014-2020, μόνο το 28 % των στρατηγικών βιώσιμης αστικής ανάπτυξης υλοποιήθηκαν μέσω των ΟΕΕ· καλεί την Επιτροπή να αναλάβει δράση για να ενθαρρύνει τη χρήση αυτών των εργαλείων για την ανάπτυξη της TA2030, ιδίως μέσω της ενίσχυσης των δραστηριοτήτων επικοινωνίας·</w:t>
      </w:r>
    </w:p>
    <w:p w:rsidR="00BF0EC5" w:rsidRPr="00E467D8" w:rsidRDefault="00D96661" w:rsidP="00D96661">
      <w:pPr>
        <w:pStyle w:val="NormalHanging12a"/>
        <w:ind w:hanging="570"/>
      </w:pPr>
      <w:r w:rsidRPr="00E467D8">
        <w:t>2.</w:t>
      </w:r>
      <w:r w:rsidRPr="00E467D8">
        <w:tab/>
      </w:r>
      <w:r w:rsidR="00BF0EC5" w:rsidRPr="00E467D8">
        <w:t>τονίζει την πολύτιμη συμβολή στην εδαφική ανάπτυξη των δράσεων που υλοποιούνται μέσω της ΤΑΠΤΚ, όπως αυτές στο πλαίσιο του προγράμματος LEADER· καλεί την Επιτροπή και τα κράτη μέλη να ενισχύσουν το LEADER, αυξάνοντας τα κονδύλια του προϋπολογισμού του, διασφαλίζοντας υψηλό επίπεδο αυτονομίας για τις ομάδες τοπικής δράσης όσον αφορά τη σύστασή τους και τη λήψη των αποφάσεων τους, και μειώνοντας τη διοικητική επιβάρυνση·</w:t>
      </w:r>
    </w:p>
    <w:p w:rsidR="00BF0EC5" w:rsidRPr="00E467D8" w:rsidRDefault="00D96661" w:rsidP="00D96661">
      <w:pPr>
        <w:pStyle w:val="NormalHanging12a"/>
        <w:ind w:hanging="570"/>
        <w:rPr>
          <w:szCs w:val="24"/>
        </w:rPr>
      </w:pPr>
      <w:r w:rsidRPr="00E467D8">
        <w:rPr>
          <w:szCs w:val="24"/>
        </w:rPr>
        <w:t>3.</w:t>
      </w:r>
      <w:r w:rsidRPr="00E467D8">
        <w:rPr>
          <w:szCs w:val="24"/>
        </w:rPr>
        <w:tab/>
      </w:r>
      <w:r w:rsidR="00BF0EC5" w:rsidRPr="00E467D8">
        <w:t xml:space="preserve">καλεί την Επιτροπή να αξιοποιήσει τα αποτελέσματα της επικείμενης έκθεσης αξιολόγησης του 2024 για την περίοδο προγραμματισμού 2014-2020, καθώς και τα αποτελέσματα των δράσεων που υλοποιήθηκαν μέσω της ΤΑΠΤΚ, καθώς και στο πλαίσιο του προγράμματος LEADER, με στόχο τη στήριξη προγραμμάτων για την </w:t>
      </w:r>
      <w:r w:rsidR="00BF0EC5" w:rsidRPr="00E467D8">
        <w:lastRenderedPageBreak/>
        <w:t>περίοδο 2021-2027· σημειώνει τη σημασία της ποιοτικής ανάλυσης των εργαλείων εδαφικής ανάπτυξης· εκφράζει, εν προκειμένω, τη λύπη του για το συμπέρασμα της ειδικής έκθεσης του Ευρωπαϊκού Ελεγκτικού Συνεδρίου σχετικά με το LEADER και την ΤΑΠΤΚ, όπου επισημαίνεται ότι τα οφέλη τους δεν καταδεικνύονται επαρκώς·</w:t>
      </w:r>
    </w:p>
    <w:p w:rsidR="00BF0EC5" w:rsidRPr="00E467D8" w:rsidRDefault="00D96661" w:rsidP="00D96661">
      <w:pPr>
        <w:pStyle w:val="NormalHanging12a"/>
        <w:ind w:hanging="570"/>
        <w:rPr>
          <w:szCs w:val="24"/>
        </w:rPr>
      </w:pPr>
      <w:r w:rsidRPr="00E467D8">
        <w:rPr>
          <w:szCs w:val="24"/>
        </w:rPr>
        <w:t>4.</w:t>
      </w:r>
      <w:r w:rsidRPr="00E467D8">
        <w:rPr>
          <w:szCs w:val="24"/>
        </w:rPr>
        <w:tab/>
      </w:r>
      <w:r w:rsidR="00BF0EC5" w:rsidRPr="00E467D8">
        <w:t>επικροτεί το εγχειρίδιο των στρατηγικών εδαφικής και τοπικής ανάπτυξης και το εγχειρίδιο των στρατηγικών βιώσιμης αστικής ανάπτυξης ως οδηγούς σε όλα τα διοικητικά επίπεδα για τον σχεδιασμό, την υλοποίηση και την παρακολούθηση των στρατηγικών εδαφικής και τοπικής, συμπεριλαμβανομένης της αστικής, ανάπτυξης· πιστεύει ότι θα πρέπει να προωθηθεί η διάδοση των ορθών πρακτικών ώστε να εξασφαλιστεί ότι τα έργα θα είναι αποτελεσματικά και βιώσιμα· εκφράζει, ωστόσο, τη λύπη του για την καθυστερημένη δημοσίευση των εγχειριδίων αυτών και ενθαρρύνει την Επιτροπή να εκπονήσει εγκαίρως κατευθυντήριες γραμμές που αποβλέπουν σε απλούστευση της διαδικασίας εκπόνησης των προγραμμάτων· τονίζει την ανάγκη παροχής περαιτέρω καθοδήγησης και μεγαλύτερης ευελιξίας στα κράτη μέλη όσον αφορά την εφαρμογή του ΣΠ 5 «Ευρώπη πιο κοντά στους πολίτες» και των δράσεων για την επίτευξή της, καθώς και την ανάγκη ευθυγράμμισής τους με εκείνες που ορίζονται στη TA2030 και τη δημιουργία κινήτρων για τη διάθεση μεγαλύτερης χρηματοδότησης στον ΣΠ 5·</w:t>
      </w:r>
    </w:p>
    <w:p w:rsidR="00BF0EC5" w:rsidRPr="00E467D8" w:rsidRDefault="00D96661" w:rsidP="00D96661">
      <w:pPr>
        <w:pStyle w:val="NormalHanging12a"/>
        <w:ind w:hanging="570"/>
      </w:pPr>
      <w:r w:rsidRPr="00E467D8">
        <w:t>5.</w:t>
      </w:r>
      <w:r w:rsidRPr="00E467D8">
        <w:tab/>
      </w:r>
      <w:r w:rsidR="00BF0EC5" w:rsidRPr="00E467D8">
        <w:t>καλεί τα κράτη μέλη να προωθήσουν τον στρατηγικό χωροταξικό σχεδιασμό που θα λαμβάνει υπόψη τα εδάφη στο σύνολό τους πέραν των μητροπολιτικών, αστικών και λειτουργικών αστικών περιοχών· καλεί, επιπλέον, τα κράτη μέλη να ενισχύσουν τους δεσμούς μεταξύ των αγροτικών και των αστικών περιοχών ως μέσο για την επίτευξη καλύτερα ισορροπημένης εδαφικής ανάπτυξης σε ολόκληρη την ΕΕ και να εξετάσουν το ενδεχόμενο διασυνοριακού σχεδιασμού και εφαρμογής μέσω προσεγγίσεων από τη βάση προς την κορυφή, όπως η ΤΑΠΤΚ και οι ΟΕΕ·</w:t>
      </w:r>
    </w:p>
    <w:p w:rsidR="00BF0EC5" w:rsidRPr="00E467D8" w:rsidRDefault="00D96661" w:rsidP="00D96661">
      <w:pPr>
        <w:pStyle w:val="NormalHanging12a"/>
        <w:ind w:hanging="570"/>
        <w:rPr>
          <w:szCs w:val="24"/>
        </w:rPr>
      </w:pPr>
      <w:r w:rsidRPr="00E467D8">
        <w:rPr>
          <w:szCs w:val="24"/>
        </w:rPr>
        <w:t>6.</w:t>
      </w:r>
      <w:r w:rsidRPr="00E467D8">
        <w:rPr>
          <w:szCs w:val="24"/>
        </w:rPr>
        <w:tab/>
      </w:r>
      <w:r w:rsidR="00BF0EC5" w:rsidRPr="00E467D8">
        <w:t>καλεί την Επιτροπή και το Συμβούλιο να διαθέσουν χρηματοδότηση στις αγροτικές περιοχές και περιφέρειες που πάσχουν από σοβαρά και μόνιμα φυσικά ή δημογραφικά μειονεκτήματα με τον ίδιο τρόπο που το 8 % των κονδυλίων της πολιτικής συνοχής προορίζεται για την ανάπτυξη προγραμμάτων στο πλαίσιο του αστικού θεματολογίου· σημειώνει ότι τα κονδύλια αυτά θα πρέπει να χρησιμοποιούνται κατά κύριο λόγο μέσω εργαλείων ολοκληρωμένης εδαφικής ανάπτυξης·</w:t>
      </w:r>
    </w:p>
    <w:p w:rsidR="00BF0EC5" w:rsidRPr="00E467D8" w:rsidRDefault="00D96661" w:rsidP="00D96661">
      <w:pPr>
        <w:pStyle w:val="NormalHanging12a"/>
        <w:ind w:hanging="570"/>
        <w:rPr>
          <w:szCs w:val="24"/>
        </w:rPr>
      </w:pPr>
      <w:r w:rsidRPr="00E467D8">
        <w:rPr>
          <w:szCs w:val="24"/>
        </w:rPr>
        <w:t>7.</w:t>
      </w:r>
      <w:r w:rsidRPr="00E467D8">
        <w:rPr>
          <w:szCs w:val="24"/>
        </w:rPr>
        <w:tab/>
      </w:r>
      <w:r w:rsidR="00BF0EC5" w:rsidRPr="00E467D8">
        <w:t xml:space="preserve">λαμβάνει υπόψη τις ικανότητες που επιδεικνύουν οι τοπικές και περιφερειακές αρχές στην εφαρμογή και τη διαχείριση των εδαφικών εργαλείων, και θεωρεί ότι η αλλαγή προτύπου είναι απαραίτητη όσον αφορά τη συμμετοχή των τοπικών και περιφερειακών αρχών στον σχεδιασμό, την υλοποίηση και τη διαχείριση των εδαφικών εργαλείων· ζητεί να εφαρμοστεί αποτελεσματικά η αρχή της εταιρικής σχέσης και να διεξαχθούν διεξοδικές διαβουλεύσεις με τις τοπικές και περιφερειακές αρχές και άλλα ενδιαφερόμενα μέρη πριν από τον ορισμό των δράσεων ΟΕΕ και ΤΑΠΤΚ· τονίζει τη σημασία της προσέγγισης από τη βάση προς την κορυφή όσον αφορά την εδαφική ανάπτυξη, δίνοντας παράλληλα στους πολίτες τη δυνατότητα να αναλάβουν την ευθύνη για την ανάπτυξη των περιοχών τους· </w:t>
      </w:r>
    </w:p>
    <w:p w:rsidR="00BF0EC5" w:rsidRPr="00E467D8" w:rsidRDefault="00D96661" w:rsidP="00D96661">
      <w:pPr>
        <w:pStyle w:val="NormalHanging12a"/>
        <w:ind w:hanging="570"/>
      </w:pPr>
      <w:r w:rsidRPr="00E467D8">
        <w:t>8.</w:t>
      </w:r>
      <w:r w:rsidRPr="00E467D8">
        <w:tab/>
      </w:r>
      <w:r w:rsidR="00BF0EC5" w:rsidRPr="00E467D8">
        <w:t xml:space="preserve">ζητεί οι στρατηγικές εδαφικής ή τοπικής ανάπτυξης που χρηματοδοτούνται από περισσότερα του ενός προγράμματα να συγχωνεύονται σε μία ενιαία διαδικασία, σύμφωνα με το άρθρο 28 του ΚΚΔ και με την υποστήριξη της Επιτροπής, όπου απαιτείται, ώστε να αποφεύγονται οι καθυστερήσεις και τα διοικητικά εμπόδια· επικροτεί τη δυνατότητα, η οποία δημιουργήθηκε κατά την προγραμματική περίοδο 2021-2027, να ορίζεται ένα «επικεφαλής ταμείο» για τις στρατηγικές που </w:t>
      </w:r>
      <w:r w:rsidR="00BF0EC5" w:rsidRPr="00E467D8">
        <w:lastRenderedPageBreak/>
        <w:t>χρηματοδοτούνται από περισσότερα του ενός ταμεία·</w:t>
      </w:r>
    </w:p>
    <w:p w:rsidR="00BF0EC5" w:rsidRPr="00E467D8" w:rsidRDefault="00D96661" w:rsidP="00D96661">
      <w:pPr>
        <w:pStyle w:val="NormalHanging12a"/>
        <w:ind w:hanging="570"/>
        <w:rPr>
          <w:szCs w:val="24"/>
        </w:rPr>
      </w:pPr>
      <w:r w:rsidRPr="00E467D8">
        <w:rPr>
          <w:szCs w:val="24"/>
        </w:rPr>
        <w:t>9.</w:t>
      </w:r>
      <w:r w:rsidRPr="00E467D8">
        <w:rPr>
          <w:szCs w:val="24"/>
        </w:rPr>
        <w:tab/>
      </w:r>
      <w:r w:rsidR="00BF0EC5" w:rsidRPr="00E467D8">
        <w:t>τονίζει ότι εδαφικά μέσα, όπως η ΤΑΠΤΚ και οι ΟΕΕ, αποτελούν μέτρα που αποδεδειγμένα φέρνουν την ΕΕ πιο κοντά στους πολίτες· σημειώνει ότι τα δεδομένα στο STRAT-Board για την περίοδο 2014-2020 καταδεικνύουν ότι οι δράσεις ΤΑΠΤΚ διαδραμάτισαν σημαντικό ρόλο στην ανάπτυξη των εδαφικών στρατηγικών, υπογραμμίζοντας το έντονο ενδιαφέρον που υπάρχει σε τοπικό επίπεδο για την ενεργό συμμετοχή στην ανάπτυξη αυτών των στρατηγικών· καλεί τα κράτη μέλη και την Επιτροπή να απλοποιήσουν τη διοικητική διαχείριση των κονδυλίων, ιδίως στις περιπτώσεις κατά τις οποίες η ΤΑΠΤΚ αντλεί πόρους από περισσότερα του ενός ταμεία· τονίζει ότι οι ΟΕΕ είναι το κύριο εργαλείο που χρησιμοποιούν τα κράτη μέλη με μεγαλύτερη κατανομή των κονδυλίων του ΕΤΠΑ, καθώς μπορούν να απορροφούν γρήγορα τα ποσά και έχουν τη δυνατότητα να καλύπτουν αρκετούς βασικούς άξονες που υπάρχουν σε ένα ή περισσότερα προγράμματα·</w:t>
      </w:r>
    </w:p>
    <w:p w:rsidR="00BF0EC5" w:rsidRPr="00E467D8" w:rsidRDefault="00D96661" w:rsidP="00D96661">
      <w:pPr>
        <w:pStyle w:val="NormalHanging12a"/>
        <w:ind w:hanging="570"/>
      </w:pPr>
      <w:r w:rsidRPr="00E467D8">
        <w:t>10.</w:t>
      </w:r>
      <w:r w:rsidRPr="00E467D8">
        <w:tab/>
      </w:r>
      <w:r w:rsidR="00BF0EC5" w:rsidRPr="00E467D8">
        <w:t>υπογραμμίζει τη σαφή διάκριση μεταξύ των κρατών μελών που έχουν δεσμευτεί να αναπτύξουν ΟΕΕ ή ΤΑΠΤΚ και εκείνων που δεν έχουν δεσμευτεί· καλεί την Επιτροπή να αποσαφηνίσει αυτή τη διαφοροποίηση ώστε να αποφεύγονται οι γεωγραφικές ανισότητες, και να παράσχει εξατομικευμένη τεχνική υποστήριξη για τα κράτη μέλη που δεν έχουν κάνει χρήση των εδαφικών αυτών εργαλείων· ενθαρρύνει όλα τα κράτη μέλη να κάνουν μεγαλύτερη χρήση της ολοκληρωμένης εδαφικής ανάπτυξης, όπως ορίζεται στο άρθρο 28 του ΚΚΔ, και να διασφαλίζουν την τήρηση της εταιρικής σχέσης, όπως ορίζεται στο άρθρο 8 του ΚΚΔ· είναι της άποψης ότι τα εργαλεία ολοκληρωμένης εδαφικής ανάπτυξης θα πρέπει να είναι υποχρεωτικά για τα κράτη μέλη·</w:t>
      </w:r>
    </w:p>
    <w:p w:rsidR="00BF0EC5" w:rsidRPr="00E467D8" w:rsidRDefault="00D96661" w:rsidP="00D96661">
      <w:pPr>
        <w:pStyle w:val="NormalHanging12a"/>
        <w:ind w:hanging="570"/>
        <w:rPr>
          <w:szCs w:val="24"/>
        </w:rPr>
      </w:pPr>
      <w:r w:rsidRPr="00E467D8">
        <w:rPr>
          <w:szCs w:val="24"/>
        </w:rPr>
        <w:t>11.</w:t>
      </w:r>
      <w:r w:rsidRPr="00E467D8">
        <w:rPr>
          <w:szCs w:val="24"/>
        </w:rPr>
        <w:tab/>
      </w:r>
      <w:r w:rsidR="00BF0EC5" w:rsidRPr="00E467D8">
        <w:t xml:space="preserve">εκφράζει την ικανοποίησή του για τις τεχνικές απλουστεύσεις στον τομέα της εδαφικής ανάπτυξης που θεσπίστηκαν κατά την περίοδο προγραμματισμού 2021-2027· καλεί, ωστόσο, την Επιτροπή και τα κράτη μέλη να διατηρήσουν τους αναγκαίους πρόσθετους διοικητικούς κανονισμούς στο ελάχιστο δυνατό επίπεδο και να επικεντρωθούν περισσότερο στην αναλογικότητα, δεδομένου ότι τα μικρά έργα έχουν επί του παρόντος αναλογικά υψηλότερη διοικητική επιβάρυνση (για τους δικαιούχους) και διοικητικό κόστος (για τις αρχές του προγράμματος) σε σύγκριση με τα μεγαλύτερα έργα· </w:t>
      </w:r>
    </w:p>
    <w:p w:rsidR="00BF0EC5" w:rsidRPr="00E467D8" w:rsidRDefault="00D96661" w:rsidP="00D96661">
      <w:pPr>
        <w:pStyle w:val="NormalHanging12a"/>
        <w:ind w:hanging="570"/>
      </w:pPr>
      <w:r w:rsidRPr="00E467D8">
        <w:t>12.</w:t>
      </w:r>
      <w:r w:rsidRPr="00E467D8">
        <w:tab/>
      </w:r>
      <w:r w:rsidR="00BF0EC5" w:rsidRPr="00E467D8">
        <w:t>θεωρεί ότι η TA2030 αποτελεί ένα πραγματικό και κατάλληλο μέσο που έχει ως στόχο να μειώσει τη χωροταξική διάσταση των ανισοτήτων και να διασφαλίσει τη συνοχή της ΕΕ μέσω της διαχείρισης κάθε μίας από τις περιφέρειές της, με τα ιδιαίτερα χαρακτηριστικά της· πιστεύει, ως εκ τούτου, ότι οι κοινωνίες και τα εδάφη θα πρέπει να συμμετέχουν περισσότερο στην αναγνώριση της σημασίας αυτής της Ατζέντας· καλεί την Επιτροπή να τροποποιήσει τον ρόλο της TA2030 πέραν εκείνου ενός οδηγού εδαφικής διαχείρισης·</w:t>
      </w:r>
    </w:p>
    <w:p w:rsidR="00BF0EC5" w:rsidRPr="00E467D8" w:rsidRDefault="00D96661" w:rsidP="00D96661">
      <w:pPr>
        <w:pStyle w:val="NormalHanging12a"/>
        <w:ind w:hanging="570"/>
      </w:pPr>
      <w:r w:rsidRPr="00E467D8">
        <w:t>13.</w:t>
      </w:r>
      <w:r w:rsidRPr="00E467D8">
        <w:tab/>
      </w:r>
      <w:r w:rsidR="00BF0EC5" w:rsidRPr="00E467D8">
        <w:t xml:space="preserve">παρατηρεί ότι η TA2030 δεν υποστηρίζει μόνο τα </w:t>
      </w:r>
      <w:proofErr w:type="spellStart"/>
      <w:r w:rsidR="00BF0EC5" w:rsidRPr="00E467D8">
        <w:t>τοποκεντρικά</w:t>
      </w:r>
      <w:proofErr w:type="spellEnd"/>
      <w:r w:rsidR="00BF0EC5" w:rsidRPr="00E467D8">
        <w:t xml:space="preserve"> πολιτικά μέτρα έναντι των εδαφικών προκλήσεων, αλλά παρέχει επίσης ένα όραμα και μια φιλοδοξία σχετικά με τον στόχο της εδαφικής συνοχής μέσω της καλύτερης συμμετοχής των τοπικών και περιφερειακών αρχών και των πολιτών·</w:t>
      </w:r>
    </w:p>
    <w:p w:rsidR="00BF0EC5" w:rsidRPr="00E467D8" w:rsidRDefault="00D96661" w:rsidP="00D96661">
      <w:pPr>
        <w:pStyle w:val="NormalHanging12a"/>
        <w:ind w:hanging="570"/>
      </w:pPr>
      <w:r w:rsidRPr="00E467D8">
        <w:t>14.</w:t>
      </w:r>
      <w:r w:rsidRPr="00E467D8">
        <w:tab/>
      </w:r>
      <w:r w:rsidR="00BF0EC5" w:rsidRPr="00E467D8">
        <w:t xml:space="preserve">επισημαίνει ότι, μολονότι η </w:t>
      </w:r>
      <w:proofErr w:type="spellStart"/>
      <w:r w:rsidR="00BF0EC5" w:rsidRPr="00E467D8">
        <w:t>πολυταμειακή</w:t>
      </w:r>
      <w:proofErr w:type="spellEnd"/>
      <w:r w:rsidR="00BF0EC5" w:rsidRPr="00E467D8">
        <w:t xml:space="preserve"> χρηματοδότηση αποτελεί έναν από τους κύριους σκοπούς των εδαφικών ολοκληρωμένων εργαλείων, τα τρέχοντα ευρήματα καταδεικνύουν ότι η χρήση της </w:t>
      </w:r>
      <w:proofErr w:type="spellStart"/>
      <w:r w:rsidR="00BF0EC5" w:rsidRPr="00E467D8">
        <w:t>πολυταμειακής</w:t>
      </w:r>
      <w:proofErr w:type="spellEnd"/>
      <w:r w:rsidR="00BF0EC5" w:rsidRPr="00E467D8">
        <w:t xml:space="preserve"> χρηματοδότησης μπορεί να εξακολουθεί να αποδεικνύεται δύσκολη σε ορισμένες χώρες, ιδίως επειδή, κατά την τρέχουσα περίοδο, το ΕΓΤΑΑ (αγροτική ανάπτυξη) δεν περιλαμβάνεται πλέον στον ΚΚΔ και, </w:t>
      </w:r>
      <w:r w:rsidR="00BF0EC5" w:rsidRPr="00E467D8">
        <w:lastRenderedPageBreak/>
        <w:t>επομένως, θα χρειαστούν πρόσθετα και ειδικά μέτρα για την ευθυγράμμιση των κανόνων του ΕΓΤΑΑ και άλλων κονδυλίων της πολιτικής συνοχής (δηλαδή χρήση διαφορετικών κονδυλίων της ΕΕ για ολοκληρωμένα έργα σε τοπικό επίπεδο που ανταποκρίνονται σε διάφορους στόχους πολιτικής)·</w:t>
      </w:r>
    </w:p>
    <w:p w:rsidR="00BF0EC5" w:rsidRPr="00E467D8" w:rsidRDefault="00D96661" w:rsidP="00D96661">
      <w:pPr>
        <w:pStyle w:val="NormalHanging12a"/>
        <w:ind w:hanging="570"/>
      </w:pPr>
      <w:r w:rsidRPr="00E467D8">
        <w:t>15.</w:t>
      </w:r>
      <w:r w:rsidRPr="00E467D8">
        <w:tab/>
      </w:r>
      <w:r w:rsidR="00BF0EC5" w:rsidRPr="00E467D8">
        <w:t>καλεί τα κράτη μέλη να προωθήσουν ενεργά τη συνεκτίμηση της διάστασης του φύλου κατά την προετοιμασία και την υλοποίηση των επιτόπιων πιλοτικών έργων της TA2030·</w:t>
      </w:r>
    </w:p>
    <w:p w:rsidR="00BF0EC5" w:rsidRPr="00E467D8" w:rsidRDefault="00D96661" w:rsidP="00D96661">
      <w:pPr>
        <w:widowControl/>
        <w:spacing w:after="240"/>
        <w:ind w:left="567" w:hanging="573"/>
      </w:pPr>
      <w:r w:rsidRPr="00E467D8">
        <w:t>16.</w:t>
      </w:r>
      <w:r w:rsidRPr="00E467D8">
        <w:tab/>
      </w:r>
      <w:r w:rsidR="00BF0EC5" w:rsidRPr="00E467D8">
        <w:t>τονίζει ότι η κατοχύρωση δίκαιου και αξιοπρεπούς εισοδήματος και ποιότητας ζωής για τους πολίτες και τις οικογένειές τους στις αγροτικές περιοχές είναι ουσιώδης για τη διασφάλιση κοινωνικής προόδου και την επιτυχή εδαφική και τοπική ανάπτυξη· επιμένει ότι είναι ανάγκη να διασφαλιστούν αξιοπρεπείς συνθήκες εργασίας και διαβίωσης, καθώς και κοινωνική προστασία για όλους·</w:t>
      </w:r>
    </w:p>
    <w:p w:rsidR="00BF0EC5" w:rsidRPr="00E467D8" w:rsidRDefault="00D96661" w:rsidP="00D96661">
      <w:pPr>
        <w:widowControl/>
        <w:spacing w:after="240"/>
        <w:ind w:left="567" w:hanging="573"/>
      </w:pPr>
      <w:r w:rsidRPr="00E467D8">
        <w:t>17.</w:t>
      </w:r>
      <w:r w:rsidRPr="00E467D8">
        <w:tab/>
      </w:r>
      <w:r w:rsidR="00BF0EC5" w:rsidRPr="00E467D8">
        <w:t>τονίζει</w:t>
      </w:r>
      <w:r w:rsidR="00236004">
        <w:t xml:space="preserve"> </w:t>
      </w:r>
      <w:r w:rsidR="00BF0EC5" w:rsidRPr="00E467D8">
        <w:t>τη σημασία της βελτίωσης της συνοχής των πολιτικών και της εφαρμογής αγροτικής θωράκισης των μελλοντικών πρωτοβουλιών ολοκληρωμένης εδαφικής ανάπτυξης και άλλων σχετικών πρωτοβουλιών της ΕΕ, με σκοπό να αξιολογηθούν η συνοχή και η συμπληρωματικότητα των πολιτικών της ΕΕ και ο δυνητικός αντίκτυπος τους στις αγροτικές περιοχές, αποτρέποντας έτσι αποτελεσματικά την πληθυσμιακή συρρίκνωση της υπαίθρου και διευκολύνοντας την ανανέωση των γενεών, την ισότιμη πρόσβαση σε βασικές υπηρεσίες υψηλής ποιότητας και τη δημιουργία θέσεων εργασίας στις αγροτικές περιοχές· τονίζει τη σημασία του μηχανισμού αγροτικής θωράκισης, μεταξύ άλλων κατά την αξιολόγηση, από τα κράτη μέλη, των επιπτώσεων της προτεινόμενης νομοθεσίας στις αγροτικές περιοχές· υπογραμμίζει τη σημασία της συμμετοχής των τοπικών και περιφερειακών αρχών στον καθορισμό και την εφαρμογή των μηχανισμών αγροτικής θωράκισης, καθώς και στη διακυβέρνησή τους τόσο σε ενωσιακό όσο και σε εθνικό επίπεδο, για την καταπολέμηση του κοινωνικού αποκλεισμού που σχετίζεται με τις μεταφορές και για τη βελτίωση της εδαφικής προσβασιμότητας των σχετικών περιοχών, προκειμένου να βελτιωθούν η διασυνοριακή συνεργασία και η συνεργασία μεταξύ αγροτικών και αστικών περιοχών, η πρόσβαση σε ευρυζωνικό διαδίκτυο και επαρκείς υπηρεσίες, ιδίως στον τομέα της υγειονομικής περίθαλψης και της εκπαίδευσης, καθώς και η διαφοροποίηση της αγροτικής οικονομίας και η αναζωογόνηση των αγροτικών περιοχών, ούτως ώστε να αυξηθεί η ελκυστικότητα των περιοχών αυτών και να διασφαλισθεί ένα βιώσιμο μέλλον για αυτές τις κοινότητες·</w:t>
      </w:r>
    </w:p>
    <w:p w:rsidR="00BF0EC5" w:rsidRPr="00E467D8" w:rsidRDefault="00D96661" w:rsidP="00D96661">
      <w:pPr>
        <w:pStyle w:val="NormalHanging12a"/>
        <w:ind w:hanging="573"/>
        <w:rPr>
          <w:szCs w:val="24"/>
        </w:rPr>
      </w:pPr>
      <w:r w:rsidRPr="00E467D8">
        <w:rPr>
          <w:szCs w:val="24"/>
        </w:rPr>
        <w:t>18.</w:t>
      </w:r>
      <w:r w:rsidRPr="00E467D8">
        <w:rPr>
          <w:szCs w:val="24"/>
        </w:rPr>
        <w:tab/>
      </w:r>
      <w:r w:rsidR="00BF0EC5" w:rsidRPr="00E467D8">
        <w:t>τονίζει ότι οι δράσεις της TA2030 θα πρέπει να διαδραματίζουν κεντρικό ρόλο στις συμφωνίες εταιρικής σχέσης και τα σχετικά προγράμματα· επισημαίνει ότι οι δράσεις αυτές θα πρέπει να είναι πιο αποφασιστικές όσον αφορά την κατανομή των κονδυλίων και την ανάγκη να προωθηθεί η ενσωμάτωση της TA2030 στις πολιτικές της ΕΕ, με έμφαση στα επίπεδα διακυβέρνησης που είναι πιο κοντά στην περιοχή· πιστεύει ότι η TA2030 θα πρέπει να λάβει επαρκή χρηματοδότηση και μεθοδολογία κατανομής στο μελλοντικό πολυετές δημοσιονομικό πλαίσιο·</w:t>
      </w:r>
    </w:p>
    <w:p w:rsidR="00BF0EC5" w:rsidRPr="00E467D8" w:rsidRDefault="00D96661" w:rsidP="00D96661">
      <w:pPr>
        <w:pStyle w:val="NormalHanging12a"/>
        <w:ind w:hanging="570"/>
        <w:rPr>
          <w:szCs w:val="24"/>
        </w:rPr>
      </w:pPr>
      <w:r w:rsidRPr="00E467D8">
        <w:rPr>
          <w:szCs w:val="24"/>
        </w:rPr>
        <w:t>19.</w:t>
      </w:r>
      <w:r w:rsidRPr="00E467D8">
        <w:rPr>
          <w:szCs w:val="24"/>
        </w:rPr>
        <w:tab/>
      </w:r>
      <w:r w:rsidR="00BF0EC5" w:rsidRPr="00E467D8">
        <w:t>τονίζει ότι είναι ζωτικής σημασίας να συμπεριληφθούν οι προτεραιότητες και οι στόχοι της TA2030 στα νομοθετικά μέσα και στα προγράμματα των ταμείων της πολιτικής συνοχής, τα οποία θα πρέπει να προσαρμόζονται στην εκάστοτε περιοχή· εκφράζει την ικανοποίησή του για τις πιλοτικές δράσεις της TA2030 που έχουν αναπτυχθεί και καλεί τα κράτη μέλη και την Επιτροπή να συνεχίσουν να επενδύουν σε αυτές τις δράσεις, βελτιώνοντας τη γεωγραφική τους ισορροπία και συντονίζοντάς τις καλύτερα με τις αρχές της TA2030·</w:t>
      </w:r>
    </w:p>
    <w:p w:rsidR="00BF0EC5" w:rsidRPr="00E467D8" w:rsidRDefault="00D96661" w:rsidP="00D96661">
      <w:pPr>
        <w:pStyle w:val="NormalHanging12a"/>
        <w:ind w:hanging="570"/>
        <w:rPr>
          <w:szCs w:val="24"/>
        </w:rPr>
      </w:pPr>
      <w:r w:rsidRPr="00E467D8">
        <w:rPr>
          <w:szCs w:val="24"/>
        </w:rPr>
        <w:lastRenderedPageBreak/>
        <w:t>20.</w:t>
      </w:r>
      <w:r w:rsidRPr="00E467D8">
        <w:rPr>
          <w:szCs w:val="24"/>
        </w:rPr>
        <w:tab/>
      </w:r>
      <w:r w:rsidR="00BF0EC5" w:rsidRPr="00E467D8">
        <w:t>τονίζει την ανάγκη για συμμετοχή του Κοινοβουλίου, ιδίως της αρμόδιας Επιτροπής Περιφερειακής Ανάπτυξης, στις πιλοτικές δράσεις ώστε να διασφαλιστεί ότι είναι σύμφωνες με τις τρέχουσες προτεραιότητες της ΕΕ, και ότι τα αποτελέσματα των πιλοτικών δράσεων προωθούνται και γνωστοποιούνται σε επίπεδο ΕΕ, μέσω της ενσωμάτωσης και του συντονισμού τους με πρωτοβουλίες όπως η πολιτική συνοχής, ιδίως το ΕΤΠΑ και το Interreg·</w:t>
      </w:r>
    </w:p>
    <w:p w:rsidR="00BF0EC5" w:rsidRPr="00E467D8" w:rsidRDefault="00D96661" w:rsidP="00D96661">
      <w:pPr>
        <w:pStyle w:val="NormalHanging12a"/>
        <w:ind w:hanging="570"/>
      </w:pPr>
      <w:r w:rsidRPr="00E467D8">
        <w:t>21.</w:t>
      </w:r>
      <w:r w:rsidRPr="00E467D8">
        <w:tab/>
      </w:r>
      <w:r w:rsidR="00BF0EC5" w:rsidRPr="00E467D8">
        <w:t>ζητεί μια στρατηγική για τη διευκόλυνση των συνεργειών μεταξύ των διαφόρων ταμείων της ΕΕ για έργα που υλοποιούνται μέσω εδαφικών εργαλείων και για τη διοικητική απλούστευση στην περίπτωση των πιλοτικών δράσεων που χρηματοδοτούνται από περισσότερα του ενός ταμεία με στόχο τη μείωση των διοικητικών εμποδίων και τη διευκόλυνση των αιτήσεων για τα έργα αυτά·</w:t>
      </w:r>
    </w:p>
    <w:p w:rsidR="00BF0EC5" w:rsidRPr="00E467D8" w:rsidRDefault="00D96661" w:rsidP="00D96661">
      <w:pPr>
        <w:pStyle w:val="NormalHanging12a"/>
        <w:ind w:hanging="570"/>
      </w:pPr>
      <w:r w:rsidRPr="00E467D8">
        <w:t>22.</w:t>
      </w:r>
      <w:r w:rsidRPr="00E467D8">
        <w:tab/>
      </w:r>
      <w:r w:rsidR="00BF0EC5" w:rsidRPr="00E467D8">
        <w:t>πιστεύει ότι οι επιχειρήσεις θα μπορούσαν να διαδραματίσουν καθοριστικό ρόλο στις στρατηγικές εδαφικής ανάπτυξης· καλεί την Επιτροπή να διευκολύνει τα συστήματα συνεργασίας μεταξύ των εταιρειών και των τοπικών και περιφερειακών αρχών για την ανάπτυξη έργων εδαφικής ανάπτυξης που θα προάγουν τη δημιουργία θέσεων εργασίας και την οικονομική ανάπτυξη·</w:t>
      </w:r>
    </w:p>
    <w:p w:rsidR="00BF0EC5" w:rsidRPr="00E467D8" w:rsidRDefault="00D96661" w:rsidP="00D96661">
      <w:pPr>
        <w:pStyle w:val="NormalHanging12a"/>
        <w:ind w:hanging="570"/>
        <w:rPr>
          <w:szCs w:val="24"/>
        </w:rPr>
      </w:pPr>
      <w:r w:rsidRPr="00E467D8">
        <w:rPr>
          <w:szCs w:val="24"/>
        </w:rPr>
        <w:t>23.</w:t>
      </w:r>
      <w:r w:rsidRPr="00E467D8">
        <w:rPr>
          <w:szCs w:val="24"/>
        </w:rPr>
        <w:tab/>
      </w:r>
      <w:r w:rsidR="00BF0EC5" w:rsidRPr="00E467D8">
        <w:t>επισημαίνει τις τεράστιες δυνατότητες της TA2030 και των υφιστάμενων και μελλοντικών πιλοτικών έργων της στην αντιμετώπιση των πολύ διαφορετικών αναγκών των μη αστικών περιοχών, συμπεριλαμβανομένων των αγροτικών περιοχών, των ορεινών περιοχών, των νησιών και των παράκτιων περιοχών, των απομακρυσμένων και αραιοκατοικημένων περιοχών και πολλών άλλων ειδών περιοχών που εμφανίζουν έναν συνδυασμό αστικών και αγροτικών χαρακτηριστικών· υπογραμμίζει ιδιαίτερα το γεγονός ότι οι αγροτικές περιοχές αντιμετωπίζουν συχνά δημογραφικές προκλήσεις, χαμηλή πληθυσμιακή πυκνότητα, περιορισμένη πρόσβαση σε υπηρεσίες κοινής ωφέλειας καθώς και χαμηλή ποιότητα αυτών των υπηρεσιών, ενώ δεν έχουν πάντα την ικανότητα να σχεδιάζουν και να εφαρμόζουν καινοτόμες λύσεις, και επομένως μπορούν να επωφεληθούν σε μεγάλο βαθμό από την ανταλλαγή βέλτιστων πρακτικών·</w:t>
      </w:r>
    </w:p>
    <w:p w:rsidR="00BF0EC5" w:rsidRPr="00E467D8" w:rsidRDefault="00D96661" w:rsidP="00D96661">
      <w:pPr>
        <w:pStyle w:val="NormalHanging12a"/>
        <w:ind w:hanging="570"/>
        <w:rPr>
          <w:szCs w:val="24"/>
        </w:rPr>
      </w:pPr>
      <w:r w:rsidRPr="00E467D8">
        <w:rPr>
          <w:szCs w:val="24"/>
        </w:rPr>
        <w:t>24.</w:t>
      </w:r>
      <w:r w:rsidRPr="00E467D8">
        <w:rPr>
          <w:szCs w:val="24"/>
        </w:rPr>
        <w:tab/>
      </w:r>
      <w:r w:rsidR="00BF0EC5" w:rsidRPr="00E467D8">
        <w:t>τονίζει την ανάγκη για μεγαλύτερη διάδοση των δράσεων και των επιτευγμάτων των πιλοτικών έργων ως παραδειγμάτων εφαρμογής των ταμείων της ΕΕ· επιδοκιμάζει την ιδέα μιας διετούς διάσκεψης για την παρουσίαση των πιλοτικών δράσεων στις τοπικές και περιφερειακές αρχές, καθώς και σε αρμόδιους φορείς σε εθνικό και ενωσιακό επίπεδο, σε συνδυασμό με άλλες εκδηλώσεις όπως το αγροτικό σύμφωνο ή το φόρουμ των πόλεων·</w:t>
      </w:r>
    </w:p>
    <w:p w:rsidR="00BF0EC5" w:rsidRPr="00E467D8" w:rsidRDefault="00D96661" w:rsidP="00D96661">
      <w:pPr>
        <w:pStyle w:val="NormalHanging12a"/>
        <w:ind w:hanging="570"/>
      </w:pPr>
      <w:r w:rsidRPr="00E467D8">
        <w:t>25.</w:t>
      </w:r>
      <w:r w:rsidRPr="00E467D8">
        <w:tab/>
      </w:r>
      <w:r w:rsidR="00BF0EC5" w:rsidRPr="00E467D8">
        <w:t>καλεί τα κράτη μέλη να αναπτύξουν τα εδαφικά τους θεματολόγια σύμφωνα με την TA2030 ως βάση για τον προγραμματισμό των εδαφικών στρατηγικών τους, λαμβάνοντας υπόψη τις ιδιαιτερότητες και τις πολύ διαφορετικές ανάγκες κάθε περιφέρειάς τους, και λειτουργώντας ως κίνητρο, με στόχο την τόνωση της διαδικασίας λήψης αποφάσεων και του σχεδιασμού των εδαφικών και αστικών πολιτικών· ζητεί, επιπλέον, από τα κράτη μέλη να επιτρέψουν διαφορετικές εδαφικές στρατηγικές για όλες τις περιφέρειες της ΕΕ, συμπεριλαμβανομένων των αγροτικών περιοχών, των περιοχών όπου συντελείται βιομηχανική μετάβαση, των περιοχών που πλήττονται από σοβαρά και μόνιμα φυσικά ή δημογραφικά μειονεκτήματα, όπως οι υπερβόρειες περιοχές και οι περιοχές που είναι ιδιαίτερα αραιοκατοικημένες, τα νησιά, οι διασυνοριακές και ορεινές περιοχές·</w:t>
      </w:r>
    </w:p>
    <w:p w:rsidR="00BF0EC5" w:rsidRPr="00E467D8" w:rsidRDefault="00D96661" w:rsidP="00D96661">
      <w:pPr>
        <w:pStyle w:val="NormalHanging12a"/>
        <w:ind w:hanging="570"/>
      </w:pPr>
      <w:r w:rsidRPr="00E467D8">
        <w:t>26.</w:t>
      </w:r>
      <w:r w:rsidRPr="00E467D8">
        <w:tab/>
      </w:r>
      <w:r w:rsidR="00BF0EC5" w:rsidRPr="00E467D8">
        <w:t xml:space="preserve">επισημαίνει ότι οι καλές επιδόσεις των δομών διακυβέρνησης μπορεί να καθορίσουν το βέλτιστο μείγμα επενδυτικών προτεραιοτήτων, προκειμένου να επιτευχθεί ο </w:t>
      </w:r>
      <w:r w:rsidR="00BF0EC5" w:rsidRPr="00E467D8">
        <w:lastRenderedPageBreak/>
        <w:t>απαραίτητος πολυεπίπεδος κάθετος και οριζόντιος συντονισμός για τον σχεδιασμό και την υλοποίηση ολοκληρωμένων αναπτυξιακών στρατηγικών·</w:t>
      </w:r>
    </w:p>
    <w:p w:rsidR="00BF0EC5" w:rsidRPr="00E467D8" w:rsidRDefault="00D96661" w:rsidP="00D96661">
      <w:pPr>
        <w:pStyle w:val="NormalHanging12a"/>
        <w:ind w:hanging="570"/>
      </w:pPr>
      <w:r w:rsidRPr="00E467D8">
        <w:t>27.</w:t>
      </w:r>
      <w:r w:rsidRPr="00E467D8">
        <w:tab/>
      </w:r>
      <w:r w:rsidR="00BF0EC5" w:rsidRPr="00E467D8">
        <w:t>καλεί τα κράτη μέλη και την Επιτροπή να προωθήσουν την εφαρμογή της TA2030 πέραν των πιλοτικών δράσεων, καθιστώντας το μέσο αυτό ως ένα πλαίσιο αναφοράς για δράση που θα παρέχει συγκεκριμένες και προσαρμοσμένες κατευθυντήριες γραμμές για τα εδάφη της ΕΕ με σκοπό τη βελτίωση των επιδόσεών τους· επισημαίνει την ευκαιρία να συνδέεται η περιφερειακή χρηματοδότηση με την επίτευξη των προτεραιοτήτων της TA2030 και καλεί την Επιτροπή να αναπτύξει δείκτες παρακολούθησης που θα συνδέουν την TA2030 με τη χρήση των κονδυλίων της πολιτικής συνοχής, ιδίως του ΕΤΠΑ·</w:t>
      </w:r>
    </w:p>
    <w:p w:rsidR="00BF0EC5" w:rsidRPr="00E467D8" w:rsidRDefault="00D96661" w:rsidP="00D96661">
      <w:pPr>
        <w:pStyle w:val="NormalHanging12a"/>
        <w:ind w:hanging="570"/>
      </w:pPr>
      <w:r w:rsidRPr="00E467D8">
        <w:t>28.</w:t>
      </w:r>
      <w:r w:rsidRPr="00E467D8">
        <w:tab/>
      </w:r>
      <w:r w:rsidR="00BF0EC5" w:rsidRPr="00E467D8">
        <w:t>επαναλαμβάνει την ανάγκη να ενισχυθεί επειγόντως η πολιτική της ΕΕ όσον αφορά τον μετριασμό της κλιματικής αλλαγής και την προσαρμογή σε αυτήν, μεταξύ άλλων με γνώμονα την αυξανόμενη εμφάνιση ακραίων καιρικών φαινομένων στην ΕΕ τα τελευταία έτη και τους τελευταίους μήνες· καλεί, ως εκ τούτου, τις δημόσιες αρχές να συνεχίσουν την καταπολέμηση της κλιματικής αλλαγής· επισημαίνει, εν προκειμένω, την ανάγκη να ενισχυθεί η φιλοδοξία και η ποιότητα των πιλοτικών έργων στο πλαίσιο του στόχου «Μια πράσινη Ευρώπη» και της πρώτης προτεραιότητάς του για «Υγιές περιβάλλον»· τονίζει ότι η εδαφική ανάπτυξη είναι καίριας σημασίας για τη δημιουργία ανθεκτικών περιοχών και τη διασφάλιση της βιώσιμης εφαρμογής της χρηματοδότησης της πολιτικής συνοχής·</w:t>
      </w:r>
    </w:p>
    <w:p w:rsidR="00BF0EC5" w:rsidRPr="00E467D8" w:rsidRDefault="00D96661" w:rsidP="00D96661">
      <w:pPr>
        <w:pStyle w:val="NormalHanging12a"/>
        <w:ind w:hanging="570"/>
      </w:pPr>
      <w:r w:rsidRPr="00E467D8">
        <w:t>29.</w:t>
      </w:r>
      <w:r w:rsidRPr="00E467D8">
        <w:tab/>
      </w:r>
      <w:r w:rsidR="00BF0EC5" w:rsidRPr="00E467D8">
        <w:t>επικροτεί την πρόταση της Ευρωπαϊκής Οικονομικής και Κοινωνικής Επιτροπής να προωθήσει έναν πανευρωπαϊκό χάρτη για τα δικαιώματα και τις ευθύνες των αγροτικών/αστικών περιοχών· είναι επίσης πεπεισμένο ότι απαιτείται μεγαλύτερη συνεργασία με τις αστικές περιοχές, ώστε να διασφαλιστεί ότι καμιά περιοχή ή κανένας πολίτης «δεν θα μείνει στο περιθώριο» κατά τη δίκαιη μετάβαση σε μια κλιματικά ουδέτερη, βιώσιμη και ευημερούσα Ευρωπαϊκή Ένωση, η οποία καταβάλλει προσπάθειες για τη δέσμευση των αγροτικών και αστικών περιοχών για δίκαιη προσέγγιση και καταδεικνύει την προστιθέμενη αξία της συνεργασίας των αγροτικών και αστικών οργανώσεων·</w:t>
      </w:r>
    </w:p>
    <w:p w:rsidR="00BF0EC5" w:rsidRPr="00E467D8" w:rsidRDefault="00D96661" w:rsidP="00D96661">
      <w:pPr>
        <w:pStyle w:val="NormalHanging12a"/>
        <w:ind w:hanging="570"/>
      </w:pPr>
      <w:r w:rsidRPr="00E467D8">
        <w:t>30.</w:t>
      </w:r>
      <w:r w:rsidRPr="00E467D8">
        <w:tab/>
      </w:r>
      <w:r w:rsidR="00BF0EC5" w:rsidRPr="00E467D8">
        <w:t>υπογραμμίζει την ανάγκη να διασφαλιστεί πιο ισόρροπη ανάπτυξη των περιφερειών της ΕΕ με την εξασφάλιση καλύτερης κατανομής των κονδυλίων της ΕΕ, συμπεριλαμβανομένης της στήριξης από την κοινή γεωργική πολιτική, εντός και μεταξύ των κρατών μελών· επισημαίνει ότι είναι αδύνατον να επιτευχθεί βιώσιμη και μακροπρόθεσμη εδαφική ανάπτυξη, εάν η στήριξη χορηγείται σε διαφορετικές περιφέρειες βάσει ιστορικών δεδομένων·</w:t>
      </w:r>
    </w:p>
    <w:p w:rsidR="00BF0EC5" w:rsidRPr="00E467D8" w:rsidRDefault="00D96661" w:rsidP="00D96661">
      <w:pPr>
        <w:pStyle w:val="NormalHanging12a"/>
        <w:ind w:hanging="570"/>
      </w:pPr>
      <w:r w:rsidRPr="00E467D8">
        <w:t>31.</w:t>
      </w:r>
      <w:r w:rsidRPr="00E467D8">
        <w:tab/>
      </w:r>
      <w:r w:rsidR="00BF0EC5" w:rsidRPr="00E467D8">
        <w:t>σημειώνει ότι όλο και περισσότεροι άνθρωποι επιλέγουν να ζουν στις πόλεις και να εργάζονται σε αγροτικές περιοχές· καλεί την Επιτροπή να σχεδιάσει προγράμματα που θα λαμβάνουν υπόψη όλες τις περιοχές, συμπεριλαμβανομένων των μητροπολιτικών, των αστικών και των λειτουργικών περιοχών· ενθαρρύνει την Επιτροπή να σχεδιάσει το LEADER κατά τρόπο ώστε να μπορεί να χρησιμοποιηθεί από τις μικρές πόλεις·</w:t>
      </w:r>
    </w:p>
    <w:p w:rsidR="00BF0EC5" w:rsidRPr="00E467D8" w:rsidRDefault="00D96661" w:rsidP="00D96661">
      <w:pPr>
        <w:pStyle w:val="NormalHanging12a"/>
        <w:ind w:hanging="570"/>
      </w:pPr>
      <w:r w:rsidRPr="00E467D8">
        <w:t>32.</w:t>
      </w:r>
      <w:r w:rsidRPr="00E467D8">
        <w:tab/>
      </w:r>
      <w:r w:rsidR="00BF0EC5" w:rsidRPr="00E467D8">
        <w:t xml:space="preserve">καλεί την Επιτροπή να συνδυάσει την πείρα που αποκτήθηκε κατά την εφαρμογή της TA2030 με τη μελλοντική πολιτική συνοχής και τις συστάσεις της ομάδας υψηλού επιπέδου για το μέλλον της πολιτικής συνοχής, προκειμένου να ξεπεραστούν οι εδαφικές ανισορροπίες και οι λειτουργικές αναντιστοιχίες με αποτελεσματικότερο τρόπο· επισημαίνει την ευκαιρία που προσφέρει η TA2030 ως εργαλείο για την αξιολόγηση του αντικτύπου της πολιτικής συνοχής όσον αφορά τον στόχο της εδαφικής </w:t>
      </w:r>
      <w:r w:rsidR="00BF0EC5" w:rsidRPr="00E467D8">
        <w:lastRenderedPageBreak/>
        <w:t>συνοχής·</w:t>
      </w:r>
    </w:p>
    <w:p w:rsidR="00BF0EC5" w:rsidRPr="00E467D8" w:rsidRDefault="00D96661" w:rsidP="00D96661">
      <w:pPr>
        <w:pStyle w:val="NormalHanging12a"/>
        <w:ind w:hanging="570"/>
        <w:rPr>
          <w:szCs w:val="24"/>
        </w:rPr>
      </w:pPr>
      <w:r w:rsidRPr="00E467D8">
        <w:rPr>
          <w:szCs w:val="24"/>
        </w:rPr>
        <w:t>33.</w:t>
      </w:r>
      <w:r w:rsidRPr="00E467D8">
        <w:rPr>
          <w:szCs w:val="24"/>
        </w:rPr>
        <w:tab/>
      </w:r>
      <w:r w:rsidR="00BF0EC5" w:rsidRPr="00E467D8">
        <w:t>καλεί την Επιτροπή και τα κράτη μέλη να διενεργήσουν συνεκτική επανεξέταση της TA2030 έως το τέλος του 2024, καθώς και ενδελεχή επανεξέταση του συστήματος διακυβέρνησής της, της προόδου που σημειώθηκε στην εφαρμογή της και της συνάφειας των προτεραιοτήτων της, όπως περιγράφεται στην TA2030·</w:t>
      </w:r>
    </w:p>
    <w:p w:rsidR="00BF0EC5" w:rsidRPr="00E467D8" w:rsidRDefault="00D96661" w:rsidP="00D96661">
      <w:pPr>
        <w:pStyle w:val="NormalHanging12a"/>
        <w:ind w:hanging="570"/>
      </w:pPr>
      <w:r w:rsidRPr="00E467D8">
        <w:t>34.</w:t>
      </w:r>
      <w:r w:rsidRPr="00E467D8">
        <w:tab/>
      </w:r>
      <w:r w:rsidR="00BF0EC5" w:rsidRPr="00E467D8">
        <w:t>επικροτεί τον δεσμευτικό χαρακτήρα της μεθοδολογίας που περιγράφεται στο εγχειρίδιο των στρατηγικών εδαφικής και τοπικής ανάπτυξης, αποδίδοντας στις εδαφικές πολιτικές την ίδια σημασία με τις αστικές πολιτικές·</w:t>
      </w:r>
    </w:p>
    <w:p w:rsidR="00BF0EC5" w:rsidRPr="00E467D8" w:rsidRDefault="00D96661" w:rsidP="00D96661">
      <w:pPr>
        <w:pStyle w:val="NormalHanging12a"/>
        <w:ind w:hanging="570"/>
      </w:pPr>
      <w:r w:rsidRPr="00E467D8">
        <w:t>35.</w:t>
      </w:r>
      <w:r w:rsidRPr="00E467D8">
        <w:tab/>
      </w:r>
      <w:r w:rsidR="00BF0EC5" w:rsidRPr="00E467D8">
        <w:t>ζητεί ένα ενιαίο πλαίσιο για τις στρατηγικές που αποσκοπούν τόσο στην αστική όσο και στην ευρύτερη εδαφική ανάπτυξη, το οποίο θα αντιμετωπίζει τις εδαφικές απαιτήσεις στο σύνολό τους· τονίζει ότι αυτό θα μπορούσε να μειώσει σημαντικά τα γραφειοκρατικά εμπόδια στην άντληση των κονδυλίων·</w:t>
      </w:r>
    </w:p>
    <w:p w:rsidR="00BF0EC5" w:rsidRPr="00E467D8" w:rsidRDefault="00D96661" w:rsidP="00D96661">
      <w:pPr>
        <w:pStyle w:val="NormalHanging12a"/>
        <w:ind w:hanging="570"/>
      </w:pPr>
      <w:r w:rsidRPr="00E467D8">
        <w:t>36.</w:t>
      </w:r>
      <w:r w:rsidRPr="00E467D8">
        <w:tab/>
      </w:r>
      <w:r w:rsidR="00BF0EC5" w:rsidRPr="00E467D8">
        <w:t>καλεί την Επιτροπή να διασφαλίσει την κατάλληλη εκτέλεση των κονδυλίων και την κατάλληλη εφαρμογή των εδαφικών μέσων, ευνοώντας την αποτελεσματική διαχείριση χωρίς να προκαλείται δυσανάλογη γραφειοκρατία· υπογραμμίζει την ανάγκη απλούστευσης της πρόσβασης σε κονδύλια με τον προσδιορισμό «υπηρεσιών μίας στάσης» για τους δυνητικούς δικαιούχους του Ταμείου Συνοχής της ΕΕ και των έργων ΟΕΕ ή ΤΑΠΤΚ, ιδίως της πρόσβασης σε πληροφορίες σχετικά με το είδος της χρηματοδότησης, τις διοικητικές απαιτήσεις και την επιλεξιμότητα·</w:t>
      </w:r>
    </w:p>
    <w:p w:rsidR="00BF0EC5" w:rsidRPr="00E467D8" w:rsidRDefault="00D96661" w:rsidP="00D96661">
      <w:pPr>
        <w:pStyle w:val="NormalHanging12a"/>
        <w:ind w:hanging="570"/>
      </w:pPr>
      <w:r w:rsidRPr="00E467D8">
        <w:t>37.</w:t>
      </w:r>
      <w:r w:rsidRPr="00E467D8">
        <w:tab/>
      </w:r>
      <w:r w:rsidR="00BF0EC5" w:rsidRPr="00E467D8">
        <w:t>αναγνωρίζει τον ρόλο του Ευρωπαϊκού Συμβουλίου όσον αφορά την ανάπτυξη των εδαφικών δραστηριοτήτων των κρατών μελών· καλεί τα κράτη μέλη να παράσχουν επαρκείς ανθρώπινους πόρους τόσο στις διαχειριστικές αρχές όσο και στους φορείς υλοποίησης που είναι αρμόδιοι για τις ΟΕΕ ή την ΤΑΠΤΚ, ώστε να διασφαλιστεί η παροχή τεχνικής υποστήριξης και συμβουλευτικών υπηρεσιών ειδικά για τις ομάδες τοπικής δράσης και για τους εταίρους ΟΕΕ και να καταστεί δυνατή η συμμόρφωση με τους κανονισμούς·</w:t>
      </w:r>
    </w:p>
    <w:p w:rsidR="00BF0EC5" w:rsidRPr="00E467D8" w:rsidRDefault="00D96661" w:rsidP="00D96661">
      <w:pPr>
        <w:pStyle w:val="NormalHanging12a"/>
        <w:ind w:hanging="570"/>
      </w:pPr>
      <w:r w:rsidRPr="00E467D8">
        <w:t>38.</w:t>
      </w:r>
      <w:r w:rsidRPr="00E467D8">
        <w:tab/>
      </w:r>
      <w:r w:rsidR="00BF0EC5" w:rsidRPr="00E467D8">
        <w:t xml:space="preserve">καλεί την Επιτροπή να αυξήσει τη συμμετοχή της στην εδαφική πολιτική μέσω της πολιτικής συνοχής και να ενισχύσει τη διακυβέρνηση των περιφερειών προκειμένου να προωθήσει τη συνοχή και τη </w:t>
      </w:r>
      <w:proofErr w:type="spellStart"/>
      <w:r w:rsidR="00BF0EC5" w:rsidRPr="00E467D8">
        <w:t>μικροσυνοχή</w:t>
      </w:r>
      <w:proofErr w:type="spellEnd"/>
      <w:r w:rsidR="00BF0EC5" w:rsidRPr="00E467D8">
        <w:t>, λαμβάνοντας υπόψη τις ιδιαιτερότητες κάθε περιφέρειας, βελτιώνοντας τη διαδικασία λήψης αποφάσεων σε τοπικό και περιφερειακό επίπεδο και εφαρμόζοντας τα υφιστάμενα εργαλεία με στόχο τη βελτίωση της διαχείρισης των νομοθετικών μέσων· καλεί, επιπλέον, την Επιτροπή και τα κράτη μέλη να συνεχίσουν να στηρίζουν τα κονδύλια της πολιτικής συνοχής προκειμένου να αυξηθεί η ανθεκτικότητα της εδαφικής ανάπτυξης, ιδίως να είναι σε θέση να μετριάσουν τις επιπτώσεις από απρόβλεπτα συμβάντα, να προστατεύσουν τις περιοχές που υφίστανται συνέπειες και να τηρήσουν την αρχή της «μη πρόκλησης βλάβης στη συνοχή»·</w:t>
      </w:r>
    </w:p>
    <w:p w:rsidR="00BF0EC5" w:rsidRPr="00E467D8" w:rsidRDefault="00D96661" w:rsidP="00D96661">
      <w:pPr>
        <w:pStyle w:val="NormalHanging12a"/>
        <w:ind w:hanging="570"/>
        <w:rPr>
          <w:szCs w:val="24"/>
        </w:rPr>
      </w:pPr>
      <w:r w:rsidRPr="00E467D8">
        <w:rPr>
          <w:szCs w:val="24"/>
        </w:rPr>
        <w:t>39.</w:t>
      </w:r>
      <w:r w:rsidRPr="00E467D8">
        <w:rPr>
          <w:szCs w:val="24"/>
        </w:rPr>
        <w:tab/>
      </w:r>
      <w:r w:rsidR="00BF0EC5" w:rsidRPr="00E467D8">
        <w:t xml:space="preserve">γνωρίζει την επιρροή των αποφάσεων του Ευρωπαϊκού Εξαμήνου στην εδαφική συνοχή και, κατά συνέπεια, στην ικανότητα να αναπτύξει εδαφικά προγράμματα· επαναλαμβάνει, ως εκ τούτου, την ανάγκη να ενισχυθεί η εδαφική διάσταση του Ευρωπαϊκού Εξαμήνου και να βελτιωθεί ο συσχετισμός μεταξύ της πολιτικής συνοχής και της ευρωπαϊκής οικονομικής διακυβέρνησης, με τη συμμετοχή των τοπικών και περιφερειακών αρχών σε όλα τα στάδια των διαδικασιών που συνδέονται με το Ευρωπαϊκό Εξάμηνο και τις συστάσεις ανά χώρα· </w:t>
      </w:r>
    </w:p>
    <w:p w:rsidR="00BF0EC5" w:rsidRPr="00E467D8" w:rsidRDefault="00D96661" w:rsidP="00D96661">
      <w:pPr>
        <w:pStyle w:val="NormalHanging12a"/>
        <w:ind w:hanging="570"/>
        <w:rPr>
          <w:szCs w:val="24"/>
        </w:rPr>
      </w:pPr>
      <w:r w:rsidRPr="00E467D8">
        <w:rPr>
          <w:szCs w:val="24"/>
        </w:rPr>
        <w:lastRenderedPageBreak/>
        <w:t>40.</w:t>
      </w:r>
      <w:r w:rsidRPr="00E467D8">
        <w:rPr>
          <w:szCs w:val="24"/>
        </w:rPr>
        <w:tab/>
      </w:r>
      <w:r w:rsidR="00BF0EC5" w:rsidRPr="00E467D8">
        <w:t>καλεί την Ευρωπαϊκή Επιτροπή των Περιφερειών και την Ευρωπαϊκή Οικονομική και Κοινωνική Επιτροπή να διαδραματίσουν πιο ενεργό ρόλο στην παρακολούθηση και την περαιτέρω ανάπτυξη της TA2030· καλεί την Επιτροπή να εκπονήσει μελέτη σχετικά με την ικανότητα κάθε περιφέρειας να αντιμετωπίσει τις μελλοντικές παγκόσμιες προκλήσεις που επηρεάζουν την εδαφική συνοχή· σημειώνει ότι αυτό θα συνιστούσε ένα εργαλείο ταχείας απόκρισης που θα εξασφάλιζε ευελιξία στην κατανομή ή την ενίσχυση των πόρων, ανάλογα με την πραγματική κατάσταση των περιφερειών της ΕΕ·</w:t>
      </w:r>
    </w:p>
    <w:p w:rsidR="00BF0EC5" w:rsidRPr="00E467D8" w:rsidRDefault="00D96661" w:rsidP="00D96661">
      <w:pPr>
        <w:pStyle w:val="NormalHanging12a"/>
        <w:ind w:hanging="570"/>
        <w:rPr>
          <w:szCs w:val="24"/>
        </w:rPr>
      </w:pPr>
      <w:r w:rsidRPr="00E467D8">
        <w:rPr>
          <w:szCs w:val="24"/>
        </w:rPr>
        <w:t>41.</w:t>
      </w:r>
      <w:r w:rsidRPr="00E467D8">
        <w:rPr>
          <w:szCs w:val="24"/>
        </w:rPr>
        <w:tab/>
      </w:r>
      <w:r w:rsidR="00BF0EC5" w:rsidRPr="00E467D8">
        <w:t>επισημαίνει τη συνάφεια των εδαφικών εργαλείων όσον αφορά την αυξημένη και χωρίς αποκλεισμούς συμμετοχή της κοινωνίας των πολιτών, καθώς και των τοπικών και περιφερειακών κυβερνήσεων· καλεί την Επιτροπή να διερευνήσει νέους τρόπους για να αυξήσει περαιτέρω την ευαισθητοποίηση σχετικά με την αιτιολόγησή τους και να ενισχύσει σημαντικά τη χρήση των ΟΕΕ και της ΤΑΠΤΚ, επίσης μέσω της ενδεχόμενης διάθεσης ενός ποσοστού που θα χρησιμοποιηθεί στο πλαίσιο της πολιτικής συνοχής μετά το 2027·</w:t>
      </w:r>
    </w:p>
    <w:p w:rsidR="00BF0EC5" w:rsidRPr="00E467D8" w:rsidRDefault="00D96661" w:rsidP="00D96661">
      <w:pPr>
        <w:pStyle w:val="NormalHanging12a"/>
        <w:ind w:hanging="570"/>
        <w:rPr>
          <w:szCs w:val="24"/>
        </w:rPr>
      </w:pPr>
      <w:r w:rsidRPr="00E467D8">
        <w:rPr>
          <w:szCs w:val="24"/>
        </w:rPr>
        <w:t>42.</w:t>
      </w:r>
      <w:r w:rsidRPr="00E467D8">
        <w:rPr>
          <w:szCs w:val="24"/>
        </w:rPr>
        <w:tab/>
      </w:r>
      <w:r w:rsidR="00BF0EC5" w:rsidRPr="00E467D8">
        <w:t xml:space="preserve">καλεί την Ευρωπαϊκή Τράπεζα Επενδύσεων να αυξήσει τη χρηματοδότηση που προβλέπεται για τα κονδύλια της πολιτικής συνοχής, τα οποία προορίζονται για τη διασφάλιση της ισορροπίας και της εύρυθμης λειτουργίας των περιφερειών· </w:t>
      </w:r>
    </w:p>
    <w:p w:rsidR="00BF0EC5" w:rsidRPr="00E467D8" w:rsidRDefault="00D96661" w:rsidP="00D96661">
      <w:pPr>
        <w:pStyle w:val="NormalHanging12a"/>
        <w:ind w:hanging="570"/>
      </w:pPr>
      <w:r w:rsidRPr="00E467D8">
        <w:t>43.</w:t>
      </w:r>
      <w:r w:rsidRPr="00E467D8">
        <w:tab/>
      </w:r>
      <w:r w:rsidR="00BF0EC5" w:rsidRPr="00E467D8">
        <w:t xml:space="preserve">αναθέτει στην Πρόεδρό του να διαβιβάσει το παρόν ψήφισμα στο Συμβούλιο, στην Επιτροπή, καθώς και στα εθνικά και περιφερειακά κοινοβούλια των κρατών μελών. </w:t>
      </w:r>
    </w:p>
    <w:p w:rsidR="00E365E1" w:rsidRPr="00E467D8" w:rsidRDefault="00E365E1" w:rsidP="003F361E">
      <w:bookmarkStart w:id="9" w:name="TextBodyEnd"/>
      <w:bookmarkEnd w:id="9"/>
    </w:p>
    <w:sectPr w:rsidR="00E365E1" w:rsidRPr="00E467D8" w:rsidSect="00E467D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61E" w:rsidRPr="00E467D8" w:rsidRDefault="003F361E">
      <w:r w:rsidRPr="00E467D8">
        <w:separator/>
      </w:r>
    </w:p>
  </w:endnote>
  <w:endnote w:type="continuationSeparator" w:id="0">
    <w:p w:rsidR="003F361E" w:rsidRPr="00E467D8" w:rsidRDefault="003F361E">
      <w:r w:rsidRPr="00E467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61E" w:rsidRPr="00E467D8" w:rsidRDefault="003F361E">
      <w:r w:rsidRPr="00E467D8">
        <w:separator/>
      </w:r>
    </w:p>
  </w:footnote>
  <w:footnote w:type="continuationSeparator" w:id="0">
    <w:p w:rsidR="003F361E" w:rsidRPr="00E467D8" w:rsidRDefault="003F361E">
      <w:r w:rsidRPr="00E467D8">
        <w:continuationSeparator/>
      </w:r>
    </w:p>
  </w:footnote>
  <w:footnote w:id="1">
    <w:p w:rsidR="00BF0EC5" w:rsidRPr="00EF0CC7" w:rsidRDefault="00BF0EC5" w:rsidP="00E467D8">
      <w:pPr>
        <w:pStyle w:val="FootnoteText1"/>
        <w:ind w:left="567" w:hanging="567"/>
        <w:jc w:val="left"/>
        <w:rPr>
          <w:sz w:val="24"/>
          <w:szCs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00236004" w:rsidRPr="00EF0CC7">
        <w:rPr>
          <w:sz w:val="24"/>
          <w:szCs w:val="24"/>
          <w:lang w:val="el-GR"/>
        </w:rPr>
        <w:t>ΕΕ</w:t>
      </w:r>
      <w:r w:rsidRPr="00EF0CC7">
        <w:rPr>
          <w:sz w:val="24"/>
          <w:szCs w:val="24"/>
          <w:lang w:val="el-GR"/>
        </w:rPr>
        <w:t xml:space="preserve"> L 231 της 30.6.2021, σ. 159.</w:t>
      </w:r>
    </w:p>
  </w:footnote>
  <w:footnote w:id="2">
    <w:p w:rsidR="00BF0EC5" w:rsidRPr="00EF0CC7" w:rsidRDefault="00BF0EC5" w:rsidP="00E467D8">
      <w:pPr>
        <w:pStyle w:val="FootnoteText1"/>
        <w:ind w:left="567" w:hanging="567"/>
        <w:jc w:val="left"/>
        <w:rPr>
          <w:sz w:val="24"/>
          <w:szCs w:val="24"/>
          <w:lang w:val="el-GR"/>
        </w:rPr>
      </w:pPr>
      <w:r w:rsidRPr="00EF0CC7">
        <w:rPr>
          <w:rStyle w:val="FootnoteReference"/>
          <w:sz w:val="24"/>
          <w:szCs w:val="24"/>
          <w:lang w:val="el-GR"/>
        </w:rPr>
        <w:footnoteRef/>
      </w:r>
      <w:r w:rsidR="00E467D8" w:rsidRPr="00EF0CC7">
        <w:rPr>
          <w:sz w:val="24"/>
          <w:szCs w:val="24"/>
          <w:lang w:val="el-GR"/>
        </w:rPr>
        <w:t xml:space="preserve"> </w:t>
      </w:r>
      <w:r w:rsidR="00E467D8" w:rsidRPr="00EF0CC7">
        <w:rPr>
          <w:sz w:val="24"/>
          <w:szCs w:val="24"/>
          <w:lang w:val="el-GR"/>
        </w:rPr>
        <w:tab/>
      </w:r>
      <w:r w:rsidR="00236004" w:rsidRPr="00EF0CC7">
        <w:rPr>
          <w:sz w:val="24"/>
          <w:szCs w:val="24"/>
          <w:lang w:val="el-GR"/>
        </w:rPr>
        <w:t>ΕΕ</w:t>
      </w:r>
      <w:r w:rsidRPr="00EF0CC7">
        <w:rPr>
          <w:sz w:val="24"/>
          <w:szCs w:val="24"/>
          <w:lang w:val="el-GR"/>
        </w:rPr>
        <w:t xml:space="preserve"> L 231 της 30.6.2021, σ. 60.</w:t>
      </w:r>
    </w:p>
  </w:footnote>
  <w:footnote w:id="3">
    <w:p w:rsidR="00BF0EC5" w:rsidRPr="00E467D8" w:rsidRDefault="00BF0EC5" w:rsidP="00E467D8">
      <w:pPr>
        <w:pStyle w:val="FootnoteText1"/>
        <w:ind w:left="567" w:hanging="567"/>
        <w:jc w:val="left"/>
        <w:rPr>
          <w:sz w:val="24"/>
          <w:lang w:val="el-GR"/>
        </w:rPr>
      </w:pPr>
      <w:r w:rsidRPr="00EF0CC7">
        <w:rPr>
          <w:rStyle w:val="FootnoteReference"/>
          <w:sz w:val="24"/>
          <w:szCs w:val="24"/>
          <w:lang w:val="el-GR"/>
        </w:rPr>
        <w:footnoteRef/>
      </w:r>
      <w:r w:rsidR="00E467D8" w:rsidRPr="00EF0CC7">
        <w:rPr>
          <w:sz w:val="24"/>
          <w:szCs w:val="24"/>
          <w:lang w:val="el-GR"/>
        </w:rPr>
        <w:t xml:space="preserve"> </w:t>
      </w:r>
      <w:r w:rsidR="00E467D8" w:rsidRPr="00EF0CC7">
        <w:rPr>
          <w:sz w:val="24"/>
          <w:szCs w:val="24"/>
          <w:lang w:val="el-GR"/>
        </w:rPr>
        <w:tab/>
      </w:r>
      <w:r w:rsidR="00236004" w:rsidRPr="00D96661">
        <w:rPr>
          <w:sz w:val="24"/>
          <w:szCs w:val="24"/>
          <w:lang w:val="el-GR"/>
        </w:rPr>
        <w:t>ΕΕ</w:t>
      </w:r>
      <w:r w:rsidRPr="00EF0CC7">
        <w:rPr>
          <w:sz w:val="24"/>
          <w:szCs w:val="24"/>
          <w:lang w:val="el-GR"/>
        </w:rPr>
        <w:t xml:space="preserve"> L</w:t>
      </w:r>
      <w:r w:rsidRPr="00E467D8">
        <w:rPr>
          <w:sz w:val="24"/>
          <w:lang w:val="el-GR"/>
        </w:rPr>
        <w:t xml:space="preserve"> 231 της 30.6.2021, σ. 94.</w:t>
      </w:r>
    </w:p>
  </w:footnote>
  <w:footnote w:id="4">
    <w:p w:rsidR="00BF0EC5" w:rsidRPr="00E467D8" w:rsidRDefault="00BF0EC5" w:rsidP="00E467D8">
      <w:pPr>
        <w:pStyle w:val="FootnoteText"/>
        <w:ind w:left="567" w:hanging="567"/>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L 231 της 30.6.2021, σ. 1.</w:t>
      </w:r>
    </w:p>
  </w:footnote>
  <w:footnote w:id="5">
    <w:p w:rsidR="00BF0EC5" w:rsidRPr="00E467D8" w:rsidRDefault="00BF0EC5" w:rsidP="00E467D8">
      <w:pPr>
        <w:pStyle w:val="FootnoteText"/>
        <w:ind w:left="567" w:hanging="567"/>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L 435 της 6.12.2021, σ. 1</w:t>
      </w:r>
    </w:p>
  </w:footnote>
  <w:footnote w:id="6">
    <w:p w:rsidR="00BF0EC5" w:rsidRPr="00E467D8" w:rsidRDefault="00BF0EC5" w:rsidP="00E467D8">
      <w:pPr>
        <w:pStyle w:val="FootnoteText"/>
        <w:ind w:left="567" w:hanging="567"/>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L 437 της 28.12.2020, σ. 1.</w:t>
      </w:r>
    </w:p>
  </w:footnote>
  <w:footnote w:id="7">
    <w:p w:rsidR="00BF0EC5" w:rsidRPr="00E467D8" w:rsidRDefault="00BF0EC5" w:rsidP="00E467D8">
      <w:pPr>
        <w:pStyle w:val="FootnoteText1"/>
        <w:ind w:left="567" w:hanging="567"/>
        <w:jc w:val="left"/>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L 347 της 20.12.2013, σ. 320.</w:t>
      </w:r>
    </w:p>
  </w:footnote>
  <w:footnote w:id="8">
    <w:p w:rsidR="00BF0EC5" w:rsidRPr="00E467D8" w:rsidRDefault="00BF0EC5" w:rsidP="00E467D8">
      <w:pPr>
        <w:pStyle w:val="FootnoteText1"/>
        <w:ind w:left="567" w:hanging="567"/>
        <w:jc w:val="left"/>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C 125 της 5.4.2023, σ. 56.</w:t>
      </w:r>
    </w:p>
  </w:footnote>
  <w:footnote w:id="9">
    <w:p w:rsidR="00BF0EC5" w:rsidRPr="00E467D8" w:rsidRDefault="00BF0EC5" w:rsidP="00E467D8">
      <w:pPr>
        <w:pStyle w:val="FootnoteText1"/>
        <w:ind w:left="567" w:hanging="567"/>
        <w:jc w:val="left"/>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C 177 της 17.5.2023, σ. 35.</w:t>
      </w:r>
    </w:p>
  </w:footnote>
  <w:footnote w:id="10">
    <w:p w:rsidR="00BF0EC5" w:rsidRPr="00E467D8" w:rsidRDefault="00BF0EC5" w:rsidP="00E467D8">
      <w:pPr>
        <w:pStyle w:val="FootnoteText1"/>
        <w:ind w:left="567" w:hanging="567"/>
        <w:jc w:val="left"/>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C 125 της 5.4.2023, σ. 100.</w:t>
      </w:r>
    </w:p>
  </w:footnote>
  <w:footnote w:id="11">
    <w:p w:rsidR="00BF0EC5" w:rsidRPr="00E467D8" w:rsidRDefault="00BF0EC5" w:rsidP="00E467D8">
      <w:pPr>
        <w:pStyle w:val="FootnoteText1"/>
        <w:ind w:left="567" w:hanging="567"/>
        <w:jc w:val="left"/>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C 342 της 6.9.2022, σ. 2.</w:t>
      </w:r>
    </w:p>
  </w:footnote>
  <w:footnote w:id="12">
    <w:p w:rsidR="00BF0EC5" w:rsidRPr="00E467D8" w:rsidRDefault="00BF0EC5" w:rsidP="00E467D8">
      <w:pPr>
        <w:pStyle w:val="FootnoteText"/>
        <w:ind w:left="567" w:hanging="567"/>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C 15 της 12.1.2022, σ. 125.</w:t>
      </w:r>
    </w:p>
  </w:footnote>
  <w:footnote w:id="13">
    <w:p w:rsidR="00BF0EC5" w:rsidRPr="00E467D8" w:rsidRDefault="00BF0EC5" w:rsidP="00E467D8">
      <w:pPr>
        <w:pStyle w:val="FootnoteText"/>
        <w:ind w:left="567" w:hanging="567"/>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C 494 της 8.12.2021, σ. 26.</w:t>
      </w:r>
    </w:p>
  </w:footnote>
  <w:footnote w:id="14">
    <w:p w:rsidR="00BF0EC5" w:rsidRPr="00E467D8" w:rsidRDefault="00BF0EC5" w:rsidP="00E467D8">
      <w:pPr>
        <w:pStyle w:val="FootnoteText1"/>
        <w:ind w:left="567" w:hanging="567"/>
        <w:jc w:val="left"/>
        <w:rPr>
          <w:sz w:val="24"/>
          <w:szCs w:val="16"/>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00236004" w:rsidRPr="00D96661">
        <w:rPr>
          <w:sz w:val="24"/>
          <w:szCs w:val="24"/>
          <w:lang w:val="el-GR"/>
        </w:rPr>
        <w:t>ΕΕ</w:t>
      </w:r>
      <w:r w:rsidRPr="00EF0CC7">
        <w:rPr>
          <w:sz w:val="24"/>
          <w:szCs w:val="24"/>
          <w:lang w:val="el-GR"/>
        </w:rPr>
        <w:t xml:space="preserve"> </w:t>
      </w:r>
      <w:r w:rsidRPr="00E467D8">
        <w:rPr>
          <w:sz w:val="24"/>
          <w:lang w:val="el-GR"/>
        </w:rPr>
        <w:t>C 162 της 10.5.2019, σ. 31.</w:t>
      </w:r>
    </w:p>
  </w:footnote>
  <w:footnote w:id="15">
    <w:p w:rsidR="00BF0EC5" w:rsidRPr="00E467D8" w:rsidRDefault="00BF0EC5" w:rsidP="00E467D8">
      <w:pPr>
        <w:pStyle w:val="FootnoteText"/>
        <w:ind w:left="567" w:hanging="567"/>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ΕΕ C 429 της 11.12.2020, σ. 145.</w:t>
      </w:r>
    </w:p>
  </w:footnote>
  <w:footnote w:id="16">
    <w:p w:rsidR="00BF0EC5" w:rsidRPr="00E467D8" w:rsidRDefault="00BF0EC5" w:rsidP="00E467D8">
      <w:pPr>
        <w:pStyle w:val="FootnoteText"/>
        <w:ind w:left="567" w:hanging="567"/>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Λεπτομερής ανάλυση – «Εδαφική Ατζέντα 2030 – Επισκόπηση της εφαρμογής», Ευρωπαϊκό Κοινοβούλιο, Γενική Διεύθυνση Εσωτερικών Πολιτικών, Θεματικό Τμήμα Β – Διαρθρωτική Πολιτική και Πολιτική Συνοχής, 7 Ιουνίου 2023.</w:t>
      </w:r>
    </w:p>
  </w:footnote>
  <w:footnote w:id="17">
    <w:p w:rsidR="00BF0EC5" w:rsidRPr="00D96661" w:rsidRDefault="00BF0EC5" w:rsidP="00E467D8">
      <w:pPr>
        <w:pStyle w:val="FootnoteText1"/>
        <w:ind w:left="567" w:hanging="567"/>
        <w:jc w:val="left"/>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Ευρωπαϊκή Επιτροπή, «</w:t>
      </w:r>
      <w:proofErr w:type="spellStart"/>
      <w:r w:rsidRPr="00E467D8">
        <w:fldChar w:fldCharType="begin"/>
      </w:r>
      <w:r w:rsidRPr="00E467D8">
        <w:rPr>
          <w:sz w:val="24"/>
          <w:lang w:val="el-GR"/>
        </w:rPr>
        <w:instrText xml:space="preserve"> HYPERLINK "https://ec.europa.eu/regional_policy/sources/studies/integrated_strategies/integrated_strategies_en.pdf" </w:instrText>
      </w:r>
      <w:r w:rsidRPr="00E467D8">
        <w:fldChar w:fldCharType="separate"/>
      </w:r>
      <w:r w:rsidRPr="00E467D8">
        <w:rPr>
          <w:rStyle w:val="Hyperlink"/>
          <w:sz w:val="24"/>
          <w:lang w:val="el-GR"/>
        </w:rPr>
        <w:t>Integrated</w:t>
      </w:r>
      <w:proofErr w:type="spellEnd"/>
      <w:r w:rsidRPr="00E467D8">
        <w:rPr>
          <w:rStyle w:val="Hyperlink"/>
          <w:sz w:val="24"/>
          <w:lang w:val="el-GR"/>
        </w:rPr>
        <w:t xml:space="preserve"> </w:t>
      </w:r>
      <w:proofErr w:type="spellStart"/>
      <w:r w:rsidRPr="00E467D8">
        <w:rPr>
          <w:rStyle w:val="Hyperlink"/>
          <w:sz w:val="24"/>
          <w:lang w:val="el-GR"/>
        </w:rPr>
        <w:t>territorial</w:t>
      </w:r>
      <w:proofErr w:type="spellEnd"/>
      <w:r w:rsidRPr="00E467D8">
        <w:rPr>
          <w:rStyle w:val="Hyperlink"/>
          <w:sz w:val="24"/>
          <w:lang w:val="el-GR"/>
        </w:rPr>
        <w:t xml:space="preserve"> and </w:t>
      </w:r>
      <w:proofErr w:type="spellStart"/>
      <w:r w:rsidRPr="00E467D8">
        <w:rPr>
          <w:rStyle w:val="Hyperlink"/>
          <w:sz w:val="24"/>
          <w:lang w:val="el-GR"/>
        </w:rPr>
        <w:t>urban</w:t>
      </w:r>
      <w:proofErr w:type="spellEnd"/>
      <w:r w:rsidRPr="00E467D8">
        <w:rPr>
          <w:rStyle w:val="Hyperlink"/>
          <w:sz w:val="24"/>
          <w:lang w:val="el-GR"/>
        </w:rPr>
        <w:t xml:space="preserve"> </w:t>
      </w:r>
      <w:proofErr w:type="spellStart"/>
      <w:r w:rsidRPr="00E467D8">
        <w:rPr>
          <w:rStyle w:val="Hyperlink"/>
          <w:sz w:val="24"/>
          <w:lang w:val="el-GR"/>
        </w:rPr>
        <w:t>strategies</w:t>
      </w:r>
      <w:proofErr w:type="spellEnd"/>
      <w:r w:rsidRPr="00E467D8">
        <w:rPr>
          <w:rStyle w:val="Hyperlink"/>
          <w:sz w:val="24"/>
          <w:lang w:val="el-GR"/>
        </w:rPr>
        <w:t xml:space="preserve">: </w:t>
      </w:r>
      <w:proofErr w:type="spellStart"/>
      <w:r w:rsidRPr="00E467D8">
        <w:rPr>
          <w:rStyle w:val="Hyperlink"/>
          <w:sz w:val="24"/>
          <w:lang w:val="el-GR"/>
        </w:rPr>
        <w:t>how</w:t>
      </w:r>
      <w:proofErr w:type="spellEnd"/>
      <w:r w:rsidRPr="00E467D8">
        <w:rPr>
          <w:rStyle w:val="Hyperlink"/>
          <w:sz w:val="24"/>
          <w:lang w:val="el-GR"/>
        </w:rPr>
        <w:t xml:space="preserve"> </w:t>
      </w:r>
      <w:proofErr w:type="spellStart"/>
      <w:r w:rsidRPr="00E467D8">
        <w:rPr>
          <w:rStyle w:val="Hyperlink"/>
          <w:sz w:val="24"/>
          <w:lang w:val="el-GR"/>
        </w:rPr>
        <w:t>are</w:t>
      </w:r>
      <w:proofErr w:type="spellEnd"/>
      <w:r w:rsidRPr="00E467D8">
        <w:rPr>
          <w:rStyle w:val="Hyperlink"/>
          <w:sz w:val="24"/>
          <w:lang w:val="el-GR"/>
        </w:rPr>
        <w:t xml:space="preserve"> ESIF </w:t>
      </w:r>
      <w:proofErr w:type="spellStart"/>
      <w:r w:rsidRPr="00E467D8">
        <w:rPr>
          <w:rStyle w:val="Hyperlink"/>
          <w:sz w:val="24"/>
          <w:lang w:val="el-GR"/>
        </w:rPr>
        <w:t>adding</w:t>
      </w:r>
      <w:proofErr w:type="spellEnd"/>
      <w:r w:rsidRPr="00E467D8">
        <w:rPr>
          <w:rStyle w:val="Hyperlink"/>
          <w:sz w:val="24"/>
          <w:lang w:val="el-GR"/>
        </w:rPr>
        <w:t xml:space="preserve"> </w:t>
      </w:r>
      <w:proofErr w:type="spellStart"/>
      <w:r w:rsidRPr="00E467D8">
        <w:rPr>
          <w:rStyle w:val="Hyperlink"/>
          <w:sz w:val="24"/>
          <w:lang w:val="el-GR"/>
        </w:rPr>
        <w:t>value</w:t>
      </w:r>
      <w:proofErr w:type="spellEnd"/>
      <w:r w:rsidRPr="00E467D8">
        <w:rPr>
          <w:rStyle w:val="Hyperlink"/>
          <w:sz w:val="24"/>
          <w:lang w:val="el-GR"/>
        </w:rPr>
        <w:t xml:space="preserve"> in 2014-2020? – </w:t>
      </w:r>
      <w:proofErr w:type="spellStart"/>
      <w:r w:rsidRPr="00E467D8">
        <w:rPr>
          <w:rStyle w:val="Hyperlink"/>
          <w:sz w:val="24"/>
          <w:lang w:val="el-GR"/>
        </w:rPr>
        <w:t>Final</w:t>
      </w:r>
      <w:proofErr w:type="spellEnd"/>
      <w:r w:rsidRPr="00E467D8">
        <w:rPr>
          <w:rStyle w:val="Hyperlink"/>
          <w:sz w:val="24"/>
          <w:lang w:val="el-GR"/>
        </w:rPr>
        <w:t xml:space="preserve"> </w:t>
      </w:r>
      <w:proofErr w:type="spellStart"/>
      <w:r w:rsidRPr="00E467D8">
        <w:rPr>
          <w:rStyle w:val="Hyperlink"/>
          <w:sz w:val="24"/>
          <w:lang w:val="el-GR"/>
        </w:rPr>
        <w:t>Report</w:t>
      </w:r>
      <w:proofErr w:type="spellEnd"/>
      <w:r w:rsidRPr="00E467D8">
        <w:rPr>
          <w:rStyle w:val="Hyperlink"/>
          <w:sz w:val="24"/>
          <w:lang w:val="el-GR"/>
        </w:rPr>
        <w:fldChar w:fldCharType="end"/>
      </w:r>
      <w:r w:rsidRPr="00E467D8">
        <w:rPr>
          <w:sz w:val="24"/>
          <w:lang w:val="el-GR"/>
        </w:rPr>
        <w:t>»</w:t>
      </w:r>
      <w:r w:rsidRPr="00D96661">
        <w:rPr>
          <w:sz w:val="24"/>
          <w:lang w:val="el-GR"/>
        </w:rPr>
        <w:t xml:space="preserve"> («Ολοκληρωμένες εδαφικές και αστικές στρατηγικές: με ποιον τρόπο προσφέρουν τα ΕΔΕΤ προστιθέμενη αξία στην περίοδο 2014-2020;»), Δεκέμβριος 2017. </w:t>
      </w:r>
    </w:p>
  </w:footnote>
  <w:footnote w:id="18">
    <w:p w:rsidR="00BF0EC5" w:rsidRPr="00E467D8" w:rsidRDefault="00BF0EC5" w:rsidP="00E467D8">
      <w:pPr>
        <w:pStyle w:val="FootnoteText"/>
        <w:ind w:left="567" w:hanging="567"/>
        <w:rPr>
          <w:sz w:val="24"/>
          <w:u w:val="single"/>
          <w:lang w:val="el-GR"/>
        </w:rPr>
      </w:pPr>
      <w:r w:rsidRPr="00D96661">
        <w:rPr>
          <w:rStyle w:val="FootnoteReference"/>
          <w:sz w:val="24"/>
          <w:lang w:val="el-GR"/>
        </w:rPr>
        <w:footnoteRef/>
      </w:r>
      <w:r w:rsidR="00E467D8" w:rsidRPr="00D96661">
        <w:rPr>
          <w:sz w:val="24"/>
          <w:lang w:val="el-GR"/>
        </w:rPr>
        <w:t xml:space="preserve"> </w:t>
      </w:r>
      <w:r w:rsidR="00E467D8" w:rsidRPr="00D96661">
        <w:rPr>
          <w:sz w:val="24"/>
          <w:lang w:val="el-GR"/>
        </w:rPr>
        <w:tab/>
      </w:r>
      <w:r w:rsidRPr="00D96661">
        <w:rPr>
          <w:sz w:val="24"/>
          <w:lang w:val="el-GR"/>
        </w:rPr>
        <w:t xml:space="preserve">Ευρωπαϊκή Επιτροπή, </w:t>
      </w:r>
      <w:r w:rsidRPr="00E467D8">
        <w:rPr>
          <w:sz w:val="24"/>
          <w:u w:val="single"/>
          <w:lang w:val="el-GR"/>
        </w:rPr>
        <w:t>«</w:t>
      </w:r>
      <w:hyperlink r:id="rId1" w:history="1">
        <w:r w:rsidRPr="00E467D8">
          <w:rPr>
            <w:rStyle w:val="Hyperlink"/>
            <w:sz w:val="24"/>
            <w:lang w:val="el-GR"/>
          </w:rPr>
          <w:t>STRAT-Board»</w:t>
        </w:r>
      </w:hyperlink>
      <w:r w:rsidRPr="00E467D8">
        <w:rPr>
          <w:rStyle w:val="Hyperlink"/>
          <w:sz w:val="24"/>
          <w:lang w:val="el-GR"/>
        </w:rPr>
        <w:t>.</w:t>
      </w:r>
    </w:p>
  </w:footnote>
  <w:footnote w:id="19">
    <w:p w:rsidR="00236004" w:rsidRPr="00D96661" w:rsidRDefault="00236004" w:rsidP="00D96661">
      <w:pPr>
        <w:pStyle w:val="FootnoteText"/>
        <w:ind w:left="567" w:hanging="567"/>
        <w:rPr>
          <w:lang w:val="el-GR"/>
        </w:rPr>
      </w:pPr>
      <w:r>
        <w:rPr>
          <w:rStyle w:val="FootnoteReference"/>
        </w:rPr>
        <w:footnoteRef/>
      </w:r>
      <w:r w:rsidRPr="00D96661">
        <w:rPr>
          <w:lang w:val="el-GR"/>
        </w:rPr>
        <w:t xml:space="preserve"> </w:t>
      </w:r>
      <w:r>
        <w:rPr>
          <w:lang w:val="el-GR"/>
        </w:rPr>
        <w:tab/>
      </w:r>
      <w:r w:rsidRPr="0068460F">
        <w:rPr>
          <w:sz w:val="24"/>
          <w:lang w:val="el-GR"/>
        </w:rPr>
        <w:t xml:space="preserve">Ευρωπαϊκή Επιτροπή, </w:t>
      </w:r>
      <w:r w:rsidRPr="00E467D8">
        <w:rPr>
          <w:sz w:val="24"/>
          <w:u w:val="single"/>
          <w:lang w:val="el-GR"/>
        </w:rPr>
        <w:t>«</w:t>
      </w:r>
      <w:proofErr w:type="spellStart"/>
      <w:r w:rsidRPr="00E467D8">
        <w:fldChar w:fldCharType="begin"/>
      </w:r>
      <w:r w:rsidRPr="00E467D8">
        <w:rPr>
          <w:sz w:val="24"/>
          <w:lang w:val="el-GR"/>
        </w:rPr>
        <w:instrText xml:space="preserve"> HYPERLINK "https://urban.jrc.ec.europa.eu/territorialstrategies/executive-summary" \l "the-chapter" </w:instrText>
      </w:r>
      <w:r w:rsidRPr="00E467D8">
        <w:fldChar w:fldCharType="separate"/>
      </w:r>
      <w:r w:rsidRPr="00E467D8">
        <w:rPr>
          <w:rStyle w:val="Hyperlink"/>
          <w:sz w:val="24"/>
          <w:lang w:val="el-GR"/>
        </w:rPr>
        <w:t>Handbook</w:t>
      </w:r>
      <w:proofErr w:type="spellEnd"/>
      <w:r w:rsidRPr="00E467D8">
        <w:rPr>
          <w:rStyle w:val="Hyperlink"/>
          <w:sz w:val="24"/>
          <w:lang w:val="el-GR"/>
        </w:rPr>
        <w:t xml:space="preserve"> of </w:t>
      </w:r>
      <w:proofErr w:type="spellStart"/>
      <w:r w:rsidRPr="00E467D8">
        <w:rPr>
          <w:rStyle w:val="Hyperlink"/>
          <w:sz w:val="24"/>
          <w:lang w:val="el-GR"/>
        </w:rPr>
        <w:t>territorial</w:t>
      </w:r>
      <w:proofErr w:type="spellEnd"/>
      <w:r w:rsidRPr="00E467D8">
        <w:rPr>
          <w:rStyle w:val="Hyperlink"/>
          <w:sz w:val="24"/>
          <w:lang w:val="el-GR"/>
        </w:rPr>
        <w:t xml:space="preserve"> and </w:t>
      </w:r>
      <w:proofErr w:type="spellStart"/>
      <w:r w:rsidRPr="00E467D8">
        <w:rPr>
          <w:rStyle w:val="Hyperlink"/>
          <w:sz w:val="24"/>
          <w:lang w:val="el-GR"/>
        </w:rPr>
        <w:t>local</w:t>
      </w:r>
      <w:proofErr w:type="spellEnd"/>
      <w:r w:rsidRPr="00E467D8">
        <w:rPr>
          <w:rStyle w:val="Hyperlink"/>
          <w:sz w:val="24"/>
          <w:lang w:val="el-GR"/>
        </w:rPr>
        <w:t xml:space="preserve"> </w:t>
      </w:r>
      <w:proofErr w:type="spellStart"/>
      <w:r w:rsidRPr="00E467D8">
        <w:rPr>
          <w:rStyle w:val="Hyperlink"/>
          <w:sz w:val="24"/>
          <w:lang w:val="el-GR"/>
        </w:rPr>
        <w:t>development</w:t>
      </w:r>
      <w:proofErr w:type="spellEnd"/>
      <w:r w:rsidRPr="00E467D8">
        <w:rPr>
          <w:rStyle w:val="Hyperlink"/>
          <w:sz w:val="24"/>
          <w:lang w:val="el-GR"/>
        </w:rPr>
        <w:t xml:space="preserve"> </w:t>
      </w:r>
      <w:proofErr w:type="spellStart"/>
      <w:r w:rsidRPr="00E467D8">
        <w:rPr>
          <w:rStyle w:val="Hyperlink"/>
          <w:sz w:val="24"/>
          <w:lang w:val="el-GR"/>
        </w:rPr>
        <w:t>strategies</w:t>
      </w:r>
      <w:proofErr w:type="spellEnd"/>
      <w:r w:rsidRPr="00E467D8">
        <w:rPr>
          <w:rStyle w:val="Hyperlink"/>
          <w:sz w:val="24"/>
          <w:lang w:val="el-GR"/>
        </w:rPr>
        <w:t>»</w:t>
      </w:r>
      <w:r w:rsidRPr="00E467D8">
        <w:rPr>
          <w:rStyle w:val="Hyperlink"/>
          <w:sz w:val="24"/>
          <w:lang w:val="el-GR"/>
        </w:rPr>
        <w:fldChar w:fldCharType="end"/>
      </w:r>
      <w:r w:rsidRPr="00E467D8">
        <w:rPr>
          <w:rStyle w:val="Hyperlink"/>
          <w:sz w:val="24"/>
          <w:lang w:val="el-GR"/>
        </w:rPr>
        <w:t>(«Εγχειρίδιο των στρατηγικών εδαφικής και τοπικής ανάπτυξης).</w:t>
      </w:r>
    </w:p>
  </w:footnote>
  <w:footnote w:id="20">
    <w:p w:rsidR="00236004" w:rsidRPr="00D96661" w:rsidRDefault="00236004" w:rsidP="00D96661">
      <w:pPr>
        <w:pStyle w:val="FootnoteText"/>
        <w:ind w:left="567" w:hanging="567"/>
        <w:rPr>
          <w:lang w:val="el-GR"/>
        </w:rPr>
      </w:pPr>
      <w:r>
        <w:rPr>
          <w:rStyle w:val="FootnoteReference"/>
        </w:rPr>
        <w:footnoteRef/>
      </w:r>
      <w:r w:rsidRPr="00D96661">
        <w:rPr>
          <w:lang w:val="el-GR"/>
        </w:rPr>
        <w:t xml:space="preserve"> </w:t>
      </w:r>
      <w:r>
        <w:rPr>
          <w:lang w:val="el-GR"/>
        </w:rPr>
        <w:tab/>
      </w:r>
      <w:r w:rsidRPr="00D96661">
        <w:rPr>
          <w:sz w:val="24"/>
          <w:lang w:val="el-GR"/>
        </w:rPr>
        <w:t>Ευρωπαϊκή Επιτροπή,</w:t>
      </w:r>
      <w:r w:rsidRPr="00E467D8">
        <w:rPr>
          <w:sz w:val="24"/>
          <w:u w:val="single"/>
          <w:lang w:val="el-GR"/>
        </w:rPr>
        <w:t xml:space="preserve"> «</w:t>
      </w:r>
      <w:proofErr w:type="spellStart"/>
      <w:r w:rsidRPr="00E467D8">
        <w:fldChar w:fldCharType="begin"/>
      </w:r>
      <w:r w:rsidRPr="00E467D8">
        <w:rPr>
          <w:sz w:val="24"/>
          <w:lang w:val="el-GR"/>
        </w:rPr>
        <w:instrText xml:space="preserve"> HYPERLINK "https://urban.jrc.ec.europa.eu/urbanstrategies/" </w:instrText>
      </w:r>
      <w:r w:rsidRPr="00E467D8">
        <w:fldChar w:fldCharType="separate"/>
      </w:r>
      <w:r w:rsidRPr="00E467D8">
        <w:rPr>
          <w:rStyle w:val="Hyperlink"/>
          <w:sz w:val="24"/>
          <w:lang w:val="el-GR"/>
        </w:rPr>
        <w:t>Handbook</w:t>
      </w:r>
      <w:proofErr w:type="spellEnd"/>
      <w:r w:rsidRPr="00E467D8">
        <w:rPr>
          <w:rStyle w:val="Hyperlink"/>
          <w:sz w:val="24"/>
          <w:lang w:val="el-GR"/>
        </w:rPr>
        <w:t xml:space="preserve"> of </w:t>
      </w:r>
      <w:proofErr w:type="spellStart"/>
      <w:r w:rsidRPr="00E467D8">
        <w:rPr>
          <w:rStyle w:val="Hyperlink"/>
          <w:sz w:val="24"/>
          <w:lang w:val="el-GR"/>
        </w:rPr>
        <w:t>Sustainable</w:t>
      </w:r>
      <w:proofErr w:type="spellEnd"/>
      <w:r w:rsidRPr="00E467D8">
        <w:rPr>
          <w:rStyle w:val="Hyperlink"/>
          <w:sz w:val="24"/>
          <w:lang w:val="el-GR"/>
        </w:rPr>
        <w:t xml:space="preserve"> </w:t>
      </w:r>
      <w:proofErr w:type="spellStart"/>
      <w:r w:rsidRPr="00E467D8">
        <w:rPr>
          <w:rStyle w:val="Hyperlink"/>
          <w:sz w:val="24"/>
          <w:lang w:val="el-GR"/>
        </w:rPr>
        <w:t>Urban</w:t>
      </w:r>
      <w:proofErr w:type="spellEnd"/>
      <w:r w:rsidRPr="00E467D8">
        <w:rPr>
          <w:rStyle w:val="Hyperlink"/>
          <w:sz w:val="24"/>
          <w:lang w:val="el-GR"/>
        </w:rPr>
        <w:t xml:space="preserve"> Development </w:t>
      </w:r>
      <w:proofErr w:type="spellStart"/>
      <w:r w:rsidRPr="00E467D8">
        <w:rPr>
          <w:rStyle w:val="Hyperlink"/>
          <w:sz w:val="24"/>
          <w:lang w:val="el-GR"/>
        </w:rPr>
        <w:t>Strategies</w:t>
      </w:r>
      <w:proofErr w:type="spellEnd"/>
      <w:r w:rsidRPr="00E467D8">
        <w:rPr>
          <w:rStyle w:val="Hyperlink"/>
          <w:sz w:val="24"/>
          <w:lang w:val="el-GR"/>
        </w:rPr>
        <w:t>»</w:t>
      </w:r>
      <w:r w:rsidRPr="00E467D8">
        <w:rPr>
          <w:rStyle w:val="Hyperlink"/>
          <w:sz w:val="24"/>
          <w:lang w:val="el-GR"/>
        </w:rPr>
        <w:fldChar w:fldCharType="end"/>
      </w:r>
      <w:r w:rsidRPr="00E467D8">
        <w:rPr>
          <w:rStyle w:val="Hyperlink"/>
          <w:sz w:val="24"/>
          <w:lang w:val="el-GR"/>
        </w:rPr>
        <w:t>(«Εγχειρίδιο των στρατηγικών βιώσιμης αστικής ανάπτυξης»).</w:t>
      </w:r>
    </w:p>
  </w:footnote>
  <w:footnote w:id="21">
    <w:p w:rsidR="00BF0EC5" w:rsidRPr="00E467D8" w:rsidRDefault="00BF0EC5" w:rsidP="00E467D8">
      <w:pPr>
        <w:pStyle w:val="FootnoteText"/>
        <w:ind w:left="567" w:hanging="567"/>
        <w:rPr>
          <w:sz w:val="24"/>
          <w:lang w:val="el-GR"/>
        </w:rPr>
      </w:pPr>
      <w:r w:rsidRPr="00E467D8">
        <w:rPr>
          <w:rStyle w:val="FootnoteReference"/>
          <w:sz w:val="24"/>
          <w:lang w:val="el-GR"/>
        </w:rPr>
        <w:footnoteRef/>
      </w:r>
      <w:r w:rsidR="00E467D8" w:rsidRPr="00E467D8">
        <w:rPr>
          <w:sz w:val="24"/>
          <w:lang w:val="el-GR"/>
        </w:rPr>
        <w:t xml:space="preserve"> </w:t>
      </w:r>
      <w:r w:rsidR="00E467D8" w:rsidRPr="00E467D8">
        <w:rPr>
          <w:sz w:val="24"/>
          <w:lang w:val="el-GR"/>
        </w:rPr>
        <w:tab/>
      </w:r>
      <w:r w:rsidRPr="00E467D8">
        <w:rPr>
          <w:sz w:val="24"/>
          <w:lang w:val="el-GR"/>
        </w:rPr>
        <w:t xml:space="preserve">Κανονισμός (ΕΕ) αριθ. 1301/2013 του Ευρωπαϊκού Κοινοβουλίου και του Συμβουλίου, της 17ης Δεκεμβρίου 2013, σχετικά με το Ευρωπαϊκό Ταμείο Περιφερειακής Ανάπτυξης και για τη θέσπιση ειδικών διατάξεων σχετικά με τον στόχο «Επενδύσεις στην ανάπτυξη και την απασχόληση» και για την κατάργηση του κανονισμού (ΕΚ) αριθ. 1080/2006 </w:t>
      </w:r>
      <w:r w:rsidR="005523D7">
        <w:rPr>
          <w:sz w:val="24"/>
          <w:lang w:val="el-GR"/>
        </w:rPr>
        <w:t>(</w:t>
      </w:r>
      <w:r w:rsidRPr="00E467D8">
        <w:rPr>
          <w:sz w:val="24"/>
          <w:lang w:val="el-GR"/>
        </w:rPr>
        <w:t>ΕΕ L 347 της 20.12.2013, σ. 289</w:t>
      </w:r>
      <w:r w:rsidR="005523D7">
        <w:rPr>
          <w:sz w:val="24"/>
          <w:lang w:val="el-GR"/>
        </w:rPr>
        <w:t>)</w:t>
      </w:r>
      <w:r w:rsidRPr="00E467D8">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5DE5C59"/>
    <w:multiLevelType w:val="hybridMultilevel"/>
    <w:tmpl w:val="0DBAFB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7D605F1"/>
    <w:multiLevelType w:val="hybridMultilevel"/>
    <w:tmpl w:val="6FFC8F16"/>
    <w:lvl w:ilvl="0" w:tplc="B9DEEB1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EL"/>
    <w:docVar w:name="dvnumam" w:val="0"/>
    <w:docVar w:name="dvpe" w:val="750.084"/>
    <w:docVar w:name="dvrapporteur" w:val="Εισηγητής: "/>
    <w:docVar w:name="dvtitre" w:val="Ψήφισμα του Ευρωπαϊκού Κοινοβουλίου σχετικά με την υλοποίηση της εδαφικής ανάπτυξης (ΚΚΔ, Τίτλος III, Κεφάλαιο II) και την εφαρμογή της στην Εδαφική Ατζέντα της Ευρωπαϊκής Ένωσης 2030(2023/2048(INI))"/>
  </w:docVars>
  <w:rsids>
    <w:rsidRoot w:val="003F361E"/>
    <w:rsid w:val="00002272"/>
    <w:rsid w:val="00064002"/>
    <w:rsid w:val="000677B9"/>
    <w:rsid w:val="000831BA"/>
    <w:rsid w:val="000A42CC"/>
    <w:rsid w:val="000E7DD9"/>
    <w:rsid w:val="0010095E"/>
    <w:rsid w:val="00125B37"/>
    <w:rsid w:val="00187494"/>
    <w:rsid w:val="001F32AE"/>
    <w:rsid w:val="00236004"/>
    <w:rsid w:val="002767FF"/>
    <w:rsid w:val="002B18FE"/>
    <w:rsid w:val="002B5493"/>
    <w:rsid w:val="00343214"/>
    <w:rsid w:val="00361C00"/>
    <w:rsid w:val="00395FA1"/>
    <w:rsid w:val="003E15D4"/>
    <w:rsid w:val="003F361E"/>
    <w:rsid w:val="00411CCE"/>
    <w:rsid w:val="0041666E"/>
    <w:rsid w:val="00421060"/>
    <w:rsid w:val="00471C19"/>
    <w:rsid w:val="004867E3"/>
    <w:rsid w:val="00494A28"/>
    <w:rsid w:val="004C0004"/>
    <w:rsid w:val="004C5D52"/>
    <w:rsid w:val="0050519A"/>
    <w:rsid w:val="005072A1"/>
    <w:rsid w:val="00514517"/>
    <w:rsid w:val="00545827"/>
    <w:rsid w:val="005523D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EC5"/>
    <w:rsid w:val="00C05BFE"/>
    <w:rsid w:val="00C23CD4"/>
    <w:rsid w:val="00C61C0C"/>
    <w:rsid w:val="00C941CB"/>
    <w:rsid w:val="00CC2357"/>
    <w:rsid w:val="00CF071A"/>
    <w:rsid w:val="00D058B8"/>
    <w:rsid w:val="00D56C11"/>
    <w:rsid w:val="00D834A0"/>
    <w:rsid w:val="00D872DF"/>
    <w:rsid w:val="00D91E21"/>
    <w:rsid w:val="00D96661"/>
    <w:rsid w:val="00DA7FCD"/>
    <w:rsid w:val="00E365E1"/>
    <w:rsid w:val="00E467D8"/>
    <w:rsid w:val="00E820A4"/>
    <w:rsid w:val="00EB006A"/>
    <w:rsid w:val="00EB4772"/>
    <w:rsid w:val="00ED169E"/>
    <w:rsid w:val="00ED4235"/>
    <w:rsid w:val="00EF0CC7"/>
    <w:rsid w:val="00F04346"/>
    <w:rsid w:val="00F075DC"/>
    <w:rsid w:val="00F149E9"/>
    <w:rsid w:val="00F5134D"/>
    <w:rsid w:val="00F74202"/>
    <w:rsid w:val="00F87713"/>
    <w:rsid w:val="00FB4360"/>
    <w:rsid w:val="00FD0C70"/>
    <w:rsid w:val="00FF0E2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D5511"/>
  <w15:chartTrackingRefBased/>
  <w15:docId w15:val="{02A15C1F-3935-4F45-9EDA-9EE25540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F0EC5"/>
    <w:rPr>
      <w:b/>
    </w:rPr>
  </w:style>
  <w:style w:type="paragraph" w:customStyle="1" w:styleId="NormalHanging12a">
    <w:name w:val="NormalHanging12a"/>
    <w:basedOn w:val="Normal"/>
    <w:link w:val="NormalHanging12aChar"/>
    <w:rsid w:val="00BF0EC5"/>
    <w:pPr>
      <w:spacing w:after="240"/>
      <w:ind w:left="567" w:hanging="567"/>
    </w:pPr>
  </w:style>
  <w:style w:type="character" w:styleId="Hyperlink">
    <w:name w:val="Hyperlink"/>
    <w:basedOn w:val="DefaultParagraphFont"/>
    <w:uiPriority w:val="99"/>
    <w:unhideWhenUsed/>
    <w:rsid w:val="00BF0EC5"/>
    <w:rPr>
      <w:color w:val="0000FF"/>
      <w:u w:val="single"/>
    </w:rPr>
  </w:style>
  <w:style w:type="paragraph" w:customStyle="1" w:styleId="FootnoteText1">
    <w:name w:val="Footnote Text1"/>
    <w:basedOn w:val="Normal"/>
    <w:next w:val="FootnoteText"/>
    <w:semiHidden/>
    <w:rsid w:val="00BF0EC5"/>
    <w:pPr>
      <w:widowControl/>
      <w:jc w:val="both"/>
    </w:pPr>
    <w:rPr>
      <w:sz w:val="20"/>
      <w:lang w:val="en-GB"/>
    </w:rPr>
  </w:style>
  <w:style w:type="character" w:customStyle="1" w:styleId="FootnoteTextChar1">
    <w:name w:val="Footnote Text Char1"/>
    <w:basedOn w:val="DefaultParagraphFont"/>
    <w:locked/>
    <w:rsid w:val="00BF0EC5"/>
    <w:rPr>
      <w:lang w:val="el-GR"/>
    </w:rPr>
  </w:style>
  <w:style w:type="character" w:customStyle="1" w:styleId="NormalHanging12aChar">
    <w:name w:val="NormalHanging12a Char"/>
    <w:basedOn w:val="DefaultParagraphFont"/>
    <w:link w:val="NormalHanging12a"/>
    <w:rsid w:val="00BF0EC5"/>
    <w:rPr>
      <w:sz w:val="24"/>
      <w:lang w:val="el-GR"/>
    </w:rPr>
  </w:style>
  <w:style w:type="paragraph" w:styleId="Header">
    <w:name w:val="header"/>
    <w:basedOn w:val="Normal"/>
    <w:link w:val="HeaderChar"/>
    <w:rsid w:val="00236004"/>
    <w:pPr>
      <w:tabs>
        <w:tab w:val="center" w:pos="4513"/>
        <w:tab w:val="right" w:pos="9026"/>
      </w:tabs>
    </w:pPr>
  </w:style>
  <w:style w:type="character" w:customStyle="1" w:styleId="HeaderChar">
    <w:name w:val="Header Char"/>
    <w:basedOn w:val="DefaultParagraphFont"/>
    <w:link w:val="Header"/>
    <w:rsid w:val="00236004"/>
    <w:rPr>
      <w:sz w:val="24"/>
      <w:lang w:val="el-GR"/>
    </w:rPr>
  </w:style>
  <w:style w:type="paragraph" w:styleId="ListParagraph">
    <w:name w:val="List Paragraph"/>
    <w:basedOn w:val="Normal"/>
    <w:uiPriority w:val="34"/>
    <w:qFormat/>
    <w:rsid w:val="00236004"/>
    <w:pPr>
      <w:ind w:left="720"/>
      <w:contextualSpacing/>
    </w:pPr>
  </w:style>
  <w:style w:type="paragraph" w:styleId="BalloonText">
    <w:name w:val="Balloon Text"/>
    <w:basedOn w:val="Normal"/>
    <w:link w:val="BalloonTextChar"/>
    <w:rsid w:val="00236004"/>
    <w:rPr>
      <w:rFonts w:ascii="Segoe UI" w:hAnsi="Segoe UI" w:cs="Segoe UI"/>
      <w:sz w:val="18"/>
      <w:szCs w:val="18"/>
    </w:rPr>
  </w:style>
  <w:style w:type="character" w:customStyle="1" w:styleId="BalloonTextChar">
    <w:name w:val="Balloon Text Char"/>
    <w:basedOn w:val="DefaultParagraphFont"/>
    <w:link w:val="BalloonText"/>
    <w:rsid w:val="0023600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urban.jrc.ec.europa.eu/strat-board/?lng=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87FBA-DB84-4877-92EE-D18A0338E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6248</Words>
  <Characters>36879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2024-02-22T14:49:00Z</dcterms:created>
  <dcterms:modified xsi:type="dcterms:W3CDTF">2024-02-22T14:49:00Z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A9-0420/2023</vt:lpwstr>
  </property>
  <property fmtid="{D5CDD505-2E9C-101B-9397-08002B2CF9AE}" pid="4" name="&lt;Type&gt;">
    <vt:lpwstr>RR</vt:lpwstr>
  </property>
</Properties>
</file>