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5679" w:rsidTr="0010095E">
        <w:trPr>
          <w:trHeight w:hRule="exact" w:val="1418"/>
        </w:trPr>
        <w:tc>
          <w:tcPr>
            <w:tcW w:w="6804" w:type="dxa"/>
            <w:shd w:val="clear" w:color="auto" w:fill="auto"/>
            <w:vAlign w:val="center"/>
          </w:tcPr>
          <w:p w:rsidR="00751A4A" w:rsidRPr="00E25679" w:rsidRDefault="005507C0" w:rsidP="0010095E">
            <w:pPr>
              <w:pStyle w:val="EPName"/>
            </w:pPr>
            <w:r w:rsidRPr="00E25679">
              <w:t>Parlamento Europeo</w:t>
            </w:r>
          </w:p>
          <w:p w:rsidR="00751A4A" w:rsidRPr="00E25679" w:rsidRDefault="00817416" w:rsidP="00756632">
            <w:pPr>
              <w:pStyle w:val="EPTerm"/>
              <w:rPr>
                <w:rStyle w:val="HideTWBExt"/>
                <w:noProof w:val="0"/>
                <w:vanish w:val="0"/>
                <w:color w:val="auto"/>
              </w:rPr>
            </w:pPr>
            <w:r w:rsidRPr="00E25679">
              <w:t>2019-2024</w:t>
            </w:r>
          </w:p>
        </w:tc>
        <w:tc>
          <w:tcPr>
            <w:tcW w:w="2268" w:type="dxa"/>
            <w:shd w:val="clear" w:color="auto" w:fill="auto"/>
          </w:tcPr>
          <w:p w:rsidR="00751A4A" w:rsidRPr="00E25679" w:rsidRDefault="00187494" w:rsidP="0010095E">
            <w:pPr>
              <w:pStyle w:val="EPLogo"/>
            </w:pPr>
            <w:r w:rsidRPr="00E256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5679" w:rsidRDefault="00D058B8" w:rsidP="004C5D52">
      <w:pPr>
        <w:pStyle w:val="LineTop"/>
      </w:pPr>
    </w:p>
    <w:p w:rsidR="00680577" w:rsidRPr="00E25679" w:rsidRDefault="005507C0" w:rsidP="00680577">
      <w:pPr>
        <w:pStyle w:val="EPBodyTA1"/>
      </w:pPr>
      <w:r w:rsidRPr="00E25679">
        <w:t>TEXTOS APROBADOS</w:t>
      </w:r>
    </w:p>
    <w:p w:rsidR="00D058B8" w:rsidRPr="00E25679" w:rsidRDefault="00D058B8" w:rsidP="00D058B8">
      <w:pPr>
        <w:pStyle w:val="LineBottom"/>
      </w:pPr>
    </w:p>
    <w:p w:rsidR="005507C0" w:rsidRPr="00E25679" w:rsidRDefault="005507C0" w:rsidP="005507C0">
      <w:pPr>
        <w:pStyle w:val="ATHeading1"/>
      </w:pPr>
      <w:bookmarkStart w:id="0" w:name="TANumber"/>
      <w:r w:rsidRPr="00E25679">
        <w:t>P9_</w:t>
      </w:r>
      <w:proofErr w:type="gramStart"/>
      <w:r w:rsidRPr="00E25679">
        <w:t>TA(</w:t>
      </w:r>
      <w:proofErr w:type="gramEnd"/>
      <w:r w:rsidRPr="00E25679">
        <w:t>2024)00</w:t>
      </w:r>
      <w:r w:rsidR="00B4404D">
        <w:t>10</w:t>
      </w:r>
      <w:bookmarkEnd w:id="0"/>
    </w:p>
    <w:p w:rsidR="005507C0" w:rsidRPr="00E25679" w:rsidRDefault="005507C0" w:rsidP="005507C0">
      <w:pPr>
        <w:pStyle w:val="ATHeading2"/>
      </w:pPr>
      <w:bookmarkStart w:id="1" w:name="title"/>
      <w:r w:rsidRPr="00E25679">
        <w:t>Ejecución del desarrollo territorial (RDC, título III, capítulo II) y su aplicación en la Agenda Territorial de la Unión Europea 2030</w:t>
      </w:r>
      <w:bookmarkEnd w:id="1"/>
    </w:p>
    <w:p w:rsidR="005507C0" w:rsidRPr="00E25679" w:rsidRDefault="005507C0" w:rsidP="005507C0">
      <w:pPr>
        <w:rPr>
          <w:i/>
          <w:vanish/>
        </w:rPr>
      </w:pPr>
      <w:r w:rsidRPr="00E25679">
        <w:rPr>
          <w:i/>
        </w:rPr>
        <w:fldChar w:fldCharType="begin"/>
      </w:r>
      <w:r w:rsidRPr="00E25679">
        <w:rPr>
          <w:i/>
        </w:rPr>
        <w:instrText xml:space="preserve"> TC"(</w:instrText>
      </w:r>
      <w:bookmarkStart w:id="2" w:name="DocNumber"/>
      <w:r w:rsidRPr="00E25679">
        <w:rPr>
          <w:i/>
        </w:rPr>
        <w:instrText>A9-0420/2023</w:instrText>
      </w:r>
      <w:bookmarkEnd w:id="2"/>
      <w:r w:rsidRPr="00E25679">
        <w:rPr>
          <w:i/>
        </w:rPr>
        <w:instrText xml:space="preserve"> - Ponente: Marcos Ros </w:instrText>
      </w:r>
      <w:proofErr w:type="spellStart"/>
      <w:r w:rsidRPr="00E25679">
        <w:rPr>
          <w:i/>
        </w:rPr>
        <w:instrText>Sempere</w:instrText>
      </w:r>
      <w:proofErr w:type="spellEnd"/>
      <w:r w:rsidRPr="00E25679">
        <w:rPr>
          <w:i/>
        </w:rPr>
        <w:instrText xml:space="preserve">)"\l3 \n&gt; \* MERGEFORMAT </w:instrText>
      </w:r>
      <w:r w:rsidRPr="00E25679">
        <w:rPr>
          <w:i/>
        </w:rPr>
        <w:fldChar w:fldCharType="end"/>
      </w:r>
    </w:p>
    <w:p w:rsidR="005507C0" w:rsidRPr="00E25679" w:rsidRDefault="005507C0" w:rsidP="005507C0">
      <w:pPr>
        <w:rPr>
          <w:vanish/>
        </w:rPr>
      </w:pPr>
      <w:bookmarkStart w:id="3" w:name="Commission"/>
      <w:r w:rsidRPr="00E25679">
        <w:rPr>
          <w:vanish/>
        </w:rPr>
        <w:t>Comisión de Desarrollo Regional</w:t>
      </w:r>
      <w:bookmarkEnd w:id="3"/>
    </w:p>
    <w:p w:rsidR="005507C0" w:rsidRPr="00E25679" w:rsidRDefault="005507C0" w:rsidP="005507C0">
      <w:pPr>
        <w:rPr>
          <w:vanish/>
        </w:rPr>
      </w:pPr>
      <w:bookmarkStart w:id="4" w:name="PE"/>
      <w:r w:rsidRPr="00E25679">
        <w:rPr>
          <w:vanish/>
        </w:rPr>
        <w:t>PE750.084</w:t>
      </w:r>
      <w:bookmarkEnd w:id="4"/>
    </w:p>
    <w:p w:rsidR="005507C0" w:rsidRPr="00E25679" w:rsidRDefault="005507C0" w:rsidP="005507C0">
      <w:pPr>
        <w:pStyle w:val="ATHeading3"/>
      </w:pPr>
      <w:bookmarkStart w:id="5" w:name="Sujet"/>
      <w:r w:rsidRPr="00E25679">
        <w:t xml:space="preserve">Resolución del Parlamento Europeo, de </w:t>
      </w:r>
      <w:r w:rsidR="00B4404D">
        <w:t>16</w:t>
      </w:r>
      <w:r w:rsidRPr="00E25679">
        <w:t xml:space="preserve"> de enero de 2024, sobre la ejecución del desarrollo territorial (RDC, título III, capítulo II) y su aplicación en la Agenda Territorial de la Unión Europea 2030</w:t>
      </w:r>
      <w:bookmarkEnd w:id="5"/>
      <w:r w:rsidRPr="00E25679">
        <w:t xml:space="preserve"> </w:t>
      </w:r>
      <w:bookmarkStart w:id="6" w:name="References"/>
      <w:r w:rsidRPr="00E25679">
        <w:t>(2023/2048(INI))</w:t>
      </w:r>
      <w:bookmarkEnd w:id="6"/>
    </w:p>
    <w:p w:rsidR="005507C0" w:rsidRPr="00E25679" w:rsidRDefault="005507C0" w:rsidP="005507C0"/>
    <w:p w:rsidR="00F57438" w:rsidRPr="00E25679" w:rsidRDefault="00F57438" w:rsidP="00F57438">
      <w:pPr>
        <w:widowControl/>
        <w:spacing w:after="240"/>
        <w:ind w:left="567" w:hanging="567"/>
      </w:pPr>
      <w:bookmarkStart w:id="7" w:name="TextBodyBegin"/>
      <w:bookmarkEnd w:id="7"/>
      <w:r w:rsidRPr="00E25679">
        <w:rPr>
          <w:i/>
        </w:rPr>
        <w:t>El Parlamento Europeo</w:t>
      </w:r>
      <w:r w:rsidRPr="00E25679">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Visto el Tratado de Funcionamiento de la Unión Europea, y en particular su título XVIII,</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Visto el 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w:t>
      </w:r>
      <w:r w:rsidRPr="00E25679">
        <w:rPr>
          <w:snapToGrid w:val="0"/>
          <w:vertAlign w:val="superscript"/>
          <w:lang w:eastAsia="en-US"/>
        </w:rPr>
        <w:footnoteReference w:id="1"/>
      </w:r>
      <w:r w:rsidRPr="00E25679">
        <w:rPr>
          <w:snapToGrid w:val="0"/>
        </w:rPr>
        <w:t xml:space="preserve"> (Reglamento sobre Disposiciones Comunes, RDC),</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Visto el Reglamento (UE) 2021/1058 del Parlamento Europeo y del Consejo, de 24 de junio de 2021, relativo al Fondo Europeo de Desarrollo Regional y al Fondo de Cohesión</w:t>
      </w:r>
      <w:r w:rsidRPr="00E25679">
        <w:rPr>
          <w:snapToGrid w:val="0"/>
          <w:vertAlign w:val="superscript"/>
          <w:lang w:eastAsia="en-US"/>
        </w:rPr>
        <w:footnoteReference w:id="2"/>
      </w:r>
      <w:r w:rsidRPr="00E25679">
        <w:rPr>
          <w:snapToGrid w:val="0"/>
        </w:rPr>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Visto el Reglamento (UE) 2021/1059 del Parlamento Europeo y del Consejo, de 24 de junio de 2021, sobre disposiciones específicas para el objetivo de cooperación territorial europea (Interreg) que recibe apoyo del Fondo Europeo de Desarrollo Regional y de los instrumentos de financiación exterior</w:t>
      </w:r>
      <w:r w:rsidRPr="00E25679">
        <w:rPr>
          <w:snapToGrid w:val="0"/>
          <w:vertAlign w:val="superscript"/>
          <w:lang w:eastAsia="en-US"/>
        </w:rPr>
        <w:footnoteReference w:id="3"/>
      </w:r>
      <w:r w:rsidRPr="00E25679">
        <w:rPr>
          <w:snapToGrid w:val="0"/>
        </w:rPr>
        <w:t>,</w:t>
      </w:r>
    </w:p>
    <w:p w:rsidR="00F57438" w:rsidRPr="00E25679" w:rsidRDefault="00F57438" w:rsidP="00F57438">
      <w:pPr>
        <w:widowControl/>
        <w:spacing w:after="240"/>
        <w:ind w:left="567" w:hanging="567"/>
      </w:pPr>
      <w:r w:rsidRPr="00E25679">
        <w:rPr>
          <w:snapToGrid w:val="0"/>
        </w:rPr>
        <w:lastRenderedPageBreak/>
        <w:t>–</w:t>
      </w:r>
      <w:r w:rsidRPr="00E25679">
        <w:rPr>
          <w:snapToGrid w:val="0"/>
        </w:rPr>
        <w:tab/>
      </w:r>
      <w:r w:rsidRPr="00E25679">
        <w:t>Visto el Reglamento (UE) 2021/1056 del Parlamento Europeo y del Consejo, de 24 de junio de 2021, por el que se establece el Fondo de Transición Justa</w:t>
      </w:r>
      <w:r w:rsidRPr="00E25679">
        <w:rPr>
          <w:vertAlign w:val="superscript"/>
        </w:rPr>
        <w:footnoteReference w:id="4"/>
      </w:r>
      <w:r w:rsidRPr="00E25679">
        <w:t>,</w:t>
      </w:r>
    </w:p>
    <w:p w:rsidR="00F57438" w:rsidRPr="00E25679" w:rsidRDefault="00F57438" w:rsidP="00F57438">
      <w:pPr>
        <w:pStyle w:val="NormalBold"/>
        <w:spacing w:after="240"/>
        <w:ind w:left="567" w:hanging="567"/>
        <w:rPr>
          <w:b w:val="0"/>
        </w:rPr>
      </w:pPr>
      <w:r w:rsidRPr="00E25679">
        <w:rPr>
          <w:b w:val="0"/>
        </w:rPr>
        <w:t>–</w:t>
      </w:r>
      <w:r w:rsidRPr="00E25679">
        <w:rPr>
          <w:b w:val="0"/>
        </w:rPr>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w:t>
      </w:r>
      <w:r w:rsidRPr="00E25679">
        <w:rPr>
          <w:rStyle w:val="FootnoteReference"/>
          <w:b w:val="0"/>
        </w:rPr>
        <w:footnoteReference w:id="5"/>
      </w:r>
      <w:r w:rsidRPr="00E25679">
        <w:rPr>
          <w:b w:val="0"/>
        </w:rPr>
        <w:t xml:space="preserve">, </w:t>
      </w:r>
    </w:p>
    <w:p w:rsidR="00F57438" w:rsidRPr="00E25679" w:rsidRDefault="00F57438" w:rsidP="00F57438">
      <w:pPr>
        <w:pStyle w:val="NormalHanging12a"/>
      </w:pPr>
      <w:r w:rsidRPr="00E25679">
        <w:t>–</w:t>
      </w:r>
      <w:r w:rsidRPr="00E25679">
        <w:tab/>
        <w:t>Visto el Reglamento (UE) 2020/2220 del Parlamento Europeo y del Consejo, de 23 de diciembre de 2020, por el que se establecen determinadas disposiciones transitorias para la ayuda del Fondo Europeo Agrícola de Desarrollo Rural (Feader) y del Fondo Europeo Agrícola de Garantía (FEAGA) en los años 2021 y 2022, y por el que se modifican los Reglamentos (UE) n.º 1305/2013, (UE) n.º 1306/2013 y (UE) n.º 1307/2013 en lo que respecta a sus recursos y a su aplicación en los años 2021 y 2022 y el Reglamento (UE) n.º 1308/2013 en lo que respecta a los recursos y la distribución de dicha ayuda en los años 2021 y 2022</w:t>
      </w:r>
      <w:r w:rsidRPr="00E25679">
        <w:rPr>
          <w:vertAlign w:val="superscript"/>
        </w:rPr>
        <w:footnoteReference w:id="6"/>
      </w:r>
      <w:r w:rsidRPr="00E25679">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Visto el Reglamento (UE) n.º 1303/2013 del Parlamento Europeo y del Consejo, de 17 de diciembre de 2013, por el que se establecen disposiciones comunes relativas al Fondo Europeo de Desarrollo Regional, al Fondo Social Europeo, al Fondo de Cohesión, al Fondo Europeo Agrícola de Desarrollo Rural y al Fondo Europeo Marítimo y de la Pesca, y por el que se establecen disposiciones generales relativas al Fondo Europeo de Desarrollo Regional, al Fondo Social Europeo, al Fondo de Cohesión y al Fondo Europeo Marítimo y de la Pesca, y se deroga el Reglamento (CE) n.º 1083/2006 del Consejo</w:t>
      </w:r>
      <w:r w:rsidRPr="00E25679">
        <w:rPr>
          <w:snapToGrid w:val="0"/>
          <w:vertAlign w:val="superscript"/>
          <w:lang w:eastAsia="en-US"/>
        </w:rPr>
        <w:footnoteReference w:id="7"/>
      </w:r>
      <w:r w:rsidRPr="00E25679">
        <w:rPr>
          <w:snapToGrid w:val="0"/>
        </w:rPr>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Visto el Acuerdo adoptado en la 21.ª Conferencia de las Partes en la Convención Marco de las Naciones Unidas sobre el Cambio Climático (COP21) en París el 12 de diciembre de 2015 (Acuerdo de París),</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Vista la Agenda 2030 de las Naciones Unidas para el Desarrollo Sostenible, en particular el Objetivo de Desarrollo Sostenible (ODS) n.º 11 sobre ciudades y comunidades sostenibles,</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r>
      <w:r w:rsidRPr="00E25679">
        <w:t>Vista la Agenda Territorial 2030 «Un futuro para todos los lugares», aprobada en la reunión informal de ministros responsables de ordenación del territorio, desarrollo territorial y cohesión territorial el 1 de diciembre de 2020,</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Visto el Pacto de Ámsterdam, que sienta los principios de la Agenda Urbana para la UE, acordado en la reunión informal de ministros de la Unión responsables de asuntos urbanos el 30 de mayo de 2016,</w:t>
      </w:r>
    </w:p>
    <w:p w:rsidR="00F57438" w:rsidRPr="00E25679" w:rsidRDefault="00F57438" w:rsidP="00F57438">
      <w:pPr>
        <w:widowControl/>
        <w:spacing w:after="240"/>
        <w:ind w:left="567" w:hanging="567"/>
        <w:rPr>
          <w:snapToGrid w:val="0"/>
        </w:rPr>
      </w:pPr>
      <w:r w:rsidRPr="00E25679">
        <w:rPr>
          <w:snapToGrid w:val="0"/>
        </w:rPr>
        <w:lastRenderedPageBreak/>
        <w:t>–</w:t>
      </w:r>
      <w:r w:rsidRPr="00E25679">
        <w:rPr>
          <w:snapToGrid w:val="0"/>
        </w:rPr>
        <w:tab/>
      </w:r>
      <w:r w:rsidRPr="00E25679">
        <w:t>Vista la Nueva Carta de Leipzig «El poder transformador de las ciudades por el bien común», aprobada en la reunión ministerial informal sobre asuntos urbanos celebrada el 30 de noviembre de 2020,</w:t>
      </w:r>
    </w:p>
    <w:p w:rsidR="00F57438" w:rsidRPr="00E25679" w:rsidRDefault="00F57438" w:rsidP="00F57438">
      <w:pPr>
        <w:widowControl/>
        <w:spacing w:after="240"/>
        <w:ind w:left="567" w:hanging="567"/>
        <w:rPr>
          <w:rFonts w:eastAsia="Calibri"/>
          <w:szCs w:val="24"/>
        </w:rPr>
      </w:pPr>
      <w:r w:rsidRPr="00E25679">
        <w:rPr>
          <w:snapToGrid w:val="0"/>
        </w:rPr>
        <w:t>–</w:t>
      </w:r>
      <w:r w:rsidRPr="00E25679">
        <w:rPr>
          <w:snapToGrid w:val="0"/>
        </w:rPr>
        <w:tab/>
      </w:r>
      <w:r w:rsidRPr="00E25679">
        <w:t>Visto el Acuerdo de Liubliana, adoptado en la reunión informal de ministros responsables de asuntos urbanos el 26 de noviembre de 2021,</w:t>
      </w:r>
    </w:p>
    <w:p w:rsidR="00F57438" w:rsidRPr="00E25679" w:rsidRDefault="00F57438" w:rsidP="00F57438">
      <w:pPr>
        <w:widowControl/>
        <w:spacing w:after="240"/>
        <w:ind w:left="567" w:hanging="567"/>
        <w:rPr>
          <w:rFonts w:eastAsia="Calibri"/>
          <w:szCs w:val="24"/>
        </w:rPr>
      </w:pPr>
      <w:r w:rsidRPr="00E25679">
        <w:rPr>
          <w:snapToGrid w:val="0"/>
        </w:rPr>
        <w:t>–</w:t>
      </w:r>
      <w:r w:rsidRPr="00E25679">
        <w:rPr>
          <w:snapToGrid w:val="0"/>
        </w:rPr>
        <w:tab/>
      </w:r>
      <w:r w:rsidRPr="00E25679">
        <w:t>Vista la Nueva Agenda Urbana aprobada por las Naciones Unidas el 20 de octubre de 2016,</w:t>
      </w:r>
    </w:p>
    <w:p w:rsidR="00F57438" w:rsidRPr="00E25679" w:rsidRDefault="00F57438" w:rsidP="00F57438">
      <w:pPr>
        <w:widowControl/>
        <w:spacing w:after="240"/>
        <w:ind w:left="567" w:hanging="567"/>
        <w:rPr>
          <w:rFonts w:eastAsia="Calibri"/>
          <w:szCs w:val="24"/>
        </w:rPr>
      </w:pPr>
      <w:r w:rsidRPr="00E25679">
        <w:rPr>
          <w:snapToGrid w:val="0"/>
        </w:rPr>
        <w:t>–</w:t>
      </w:r>
      <w:r w:rsidRPr="00E25679">
        <w:rPr>
          <w:snapToGrid w:val="0"/>
        </w:rPr>
        <w:tab/>
      </w:r>
      <w:r w:rsidRPr="00E25679">
        <w:t>Vista la Comunicación de la Comisión, de 17 de enero de 2023, titulada «El aprovechamiento del talento en las regiones de Europa» (</w:t>
      </w:r>
      <w:proofErr w:type="gramStart"/>
      <w:r w:rsidRPr="00E25679">
        <w:t>COM(</w:t>
      </w:r>
      <w:proofErr w:type="gramEnd"/>
      <w:r w:rsidRPr="00E25679">
        <w:t>2023)0032),</w:t>
      </w:r>
    </w:p>
    <w:p w:rsidR="00F57438" w:rsidRPr="00E25679" w:rsidRDefault="00F57438" w:rsidP="00F57438">
      <w:pPr>
        <w:widowControl/>
        <w:spacing w:after="240"/>
        <w:ind w:left="567" w:hanging="567"/>
        <w:rPr>
          <w:snapToGrid w:val="0"/>
          <w:szCs w:val="24"/>
        </w:rPr>
      </w:pPr>
      <w:r w:rsidRPr="00E25679">
        <w:rPr>
          <w:snapToGrid w:val="0"/>
        </w:rPr>
        <w:t>–</w:t>
      </w:r>
      <w:r w:rsidRPr="00E25679">
        <w:rPr>
          <w:snapToGrid w:val="0"/>
        </w:rPr>
        <w:tab/>
      </w:r>
      <w:r w:rsidRPr="00E25679">
        <w:t>Vista la Comunicación de la Comisión, de 4 de febrero de 2022, titulada «Octavo informe sobre la cohesión:</w:t>
      </w:r>
      <w:r w:rsidRPr="00E25679">
        <w:rPr>
          <w:shd w:val="clear" w:color="auto" w:fill="FFFFFF"/>
        </w:rPr>
        <w:t xml:space="preserve"> la cohesión en Europa en el horizonte de 2050» (</w:t>
      </w:r>
      <w:proofErr w:type="gramStart"/>
      <w:r w:rsidRPr="00E25679">
        <w:rPr>
          <w:shd w:val="clear" w:color="auto" w:fill="FFFFFF"/>
        </w:rPr>
        <w:t>COM(</w:t>
      </w:r>
      <w:proofErr w:type="gramEnd"/>
      <w:r w:rsidRPr="00E25679">
        <w:rPr>
          <w:shd w:val="clear" w:color="auto" w:fill="FFFFFF"/>
        </w:rPr>
        <w:t>2022)0034),</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Vista la Comunicación de la Comisión, de 30 de junio de 2021, titulada «Una Visión a largo plazo para las zonas rurales de la UE: hacia unas zonas rurales más fuertes, conectadas, resilientes y prósperas antes de 2040» (</w:t>
      </w:r>
      <w:proofErr w:type="gramStart"/>
      <w:r w:rsidRPr="00E25679">
        <w:rPr>
          <w:snapToGrid w:val="0"/>
        </w:rPr>
        <w:t>COM(</w:t>
      </w:r>
      <w:proofErr w:type="gramEnd"/>
      <w:r w:rsidRPr="00E25679">
        <w:rPr>
          <w:snapToGrid w:val="0"/>
        </w:rPr>
        <w:t>2021)0345),</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Vista la Comunicación de la Comisión, de 3 de marzo de 2021, titulada «Una Unión de la Igualdad: Estrategia sobre los Derechos de las Personas con Discapacidad para 2021</w:t>
      </w:r>
      <w:r w:rsidRPr="00E25679">
        <w:rPr>
          <w:snapToGrid w:val="0"/>
        </w:rPr>
        <w:noBreakHyphen/>
        <w:t>2030» (</w:t>
      </w:r>
      <w:proofErr w:type="gramStart"/>
      <w:r w:rsidRPr="00E25679">
        <w:rPr>
          <w:snapToGrid w:val="0"/>
        </w:rPr>
        <w:t>COM(</w:t>
      </w:r>
      <w:proofErr w:type="gramEnd"/>
      <w:r w:rsidRPr="00E25679">
        <w:rPr>
          <w:snapToGrid w:val="0"/>
        </w:rPr>
        <w:t>2021)0101),</w:t>
      </w:r>
    </w:p>
    <w:p w:rsidR="00F57438" w:rsidRPr="00E25679" w:rsidRDefault="00F57438" w:rsidP="00F57438">
      <w:pPr>
        <w:widowControl/>
        <w:spacing w:after="240"/>
        <w:ind w:left="567" w:hanging="567"/>
        <w:rPr>
          <w:rFonts w:eastAsia="Calibri" w:cs="Calibri"/>
          <w:szCs w:val="24"/>
        </w:rPr>
      </w:pPr>
      <w:r w:rsidRPr="00E25679">
        <w:rPr>
          <w:snapToGrid w:val="0"/>
        </w:rPr>
        <w:t>–</w:t>
      </w:r>
      <w:r w:rsidRPr="00E25679">
        <w:rPr>
          <w:snapToGrid w:val="0"/>
        </w:rPr>
        <w:tab/>
        <w:t>Vista la Comunicación de la Comisión, de 11 de diciembre de 2019, titulada «El Pacto Verde Europeo» (</w:t>
      </w:r>
      <w:proofErr w:type="gramStart"/>
      <w:r w:rsidRPr="00E25679">
        <w:rPr>
          <w:snapToGrid w:val="0"/>
        </w:rPr>
        <w:t>COM(</w:t>
      </w:r>
      <w:proofErr w:type="gramEnd"/>
      <w:r w:rsidRPr="00E25679">
        <w:rPr>
          <w:snapToGrid w:val="0"/>
        </w:rPr>
        <w:t>2019)0640),</w:t>
      </w:r>
      <w:r w:rsidRPr="00E25679">
        <w:t xml:space="preserve"> </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r>
      <w:r w:rsidRPr="00E25679">
        <w:t>Vista la Comunicación de la Comisión, de 17 de septiembre de 2020, titulada «Intensificar la ambición climática de Europa para 2030: Invertir en un futuro climáticamente neutro en beneficio de nuestros ciudadanos» (</w:t>
      </w:r>
      <w:proofErr w:type="gramStart"/>
      <w:r w:rsidRPr="00E25679">
        <w:t>COM(</w:t>
      </w:r>
      <w:proofErr w:type="gramEnd"/>
      <w:r w:rsidRPr="00E25679">
        <w:t>2020)0562),</w:t>
      </w:r>
    </w:p>
    <w:p w:rsidR="00F57438" w:rsidRPr="00E25679" w:rsidRDefault="00F57438" w:rsidP="00F57438">
      <w:pPr>
        <w:widowControl/>
        <w:spacing w:after="240"/>
        <w:ind w:left="567" w:hanging="567"/>
        <w:rPr>
          <w:rFonts w:eastAsia="Calibri" w:cs="Calibri"/>
          <w:szCs w:val="24"/>
        </w:rPr>
      </w:pPr>
      <w:r w:rsidRPr="00E25679">
        <w:rPr>
          <w:snapToGrid w:val="0"/>
        </w:rPr>
        <w:t>–</w:t>
      </w:r>
      <w:r w:rsidRPr="00E25679">
        <w:rPr>
          <w:snapToGrid w:val="0"/>
        </w:rPr>
        <w:tab/>
      </w:r>
      <w:r w:rsidRPr="00E25679">
        <w:t>Vista la iniciativa de la Comisión de la Nueva Bauhaus Europea, puesta en marcha el 16 de septiembre de 2020,</w:t>
      </w:r>
    </w:p>
    <w:p w:rsidR="00F57438" w:rsidRPr="00E25679" w:rsidRDefault="00F57438" w:rsidP="00F57438">
      <w:pPr>
        <w:spacing w:after="240"/>
        <w:ind w:left="567" w:hanging="567"/>
      </w:pPr>
      <w:r w:rsidRPr="00E25679">
        <w:rPr>
          <w:snapToGrid w:val="0"/>
        </w:rPr>
        <w:t>–</w:t>
      </w:r>
      <w:r w:rsidRPr="00E25679">
        <w:rPr>
          <w:snapToGrid w:val="0"/>
        </w:rPr>
        <w:tab/>
      </w:r>
      <w:r w:rsidRPr="00E25679">
        <w:t xml:space="preserve">Visto el documento de trabajo de los servicios de la Comisión, de 17 de junio de 2022, titulado «New </w:t>
      </w:r>
      <w:proofErr w:type="spellStart"/>
      <w:r w:rsidRPr="00E25679">
        <w:t>European</w:t>
      </w:r>
      <w:proofErr w:type="spellEnd"/>
      <w:r w:rsidRPr="00E25679">
        <w:t xml:space="preserve"> Bauhaus territorial </w:t>
      </w:r>
      <w:proofErr w:type="spellStart"/>
      <w:r w:rsidRPr="00E25679">
        <w:t>development</w:t>
      </w:r>
      <w:proofErr w:type="spellEnd"/>
      <w:r w:rsidRPr="00E25679">
        <w:t xml:space="preserve"> </w:t>
      </w:r>
      <w:proofErr w:type="spellStart"/>
      <w:r w:rsidRPr="00E25679">
        <w:t>model</w:t>
      </w:r>
      <w:proofErr w:type="spellEnd"/>
      <w:r w:rsidRPr="00E25679">
        <w:t xml:space="preserve"> (NEB TDM) </w:t>
      </w:r>
      <w:proofErr w:type="spellStart"/>
      <w:r w:rsidRPr="00E25679">
        <w:t>financial</w:t>
      </w:r>
      <w:proofErr w:type="spellEnd"/>
      <w:r w:rsidRPr="00E25679">
        <w:t xml:space="preserve"> </w:t>
      </w:r>
      <w:proofErr w:type="spellStart"/>
      <w:r w:rsidRPr="00E25679">
        <w:t>instrument</w:t>
      </w:r>
      <w:proofErr w:type="spellEnd"/>
      <w:r w:rsidRPr="00E25679">
        <w:t>» (Instrumento financiero del modelo de desarrollo territorial de la Nueva Bauhaus Europea [NEB TDM, por sus siglas en inglés]) (</w:t>
      </w:r>
      <w:proofErr w:type="gramStart"/>
      <w:r w:rsidRPr="00E25679">
        <w:t>SWD(</w:t>
      </w:r>
      <w:proofErr w:type="gramEnd"/>
      <w:r w:rsidRPr="00E25679">
        <w:t>2022)0172),</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Vista su Resolución, de 14 de septiembre de 2022, sobre la Nueva Bauhaus Europea</w:t>
      </w:r>
      <w:r w:rsidRPr="00E25679">
        <w:rPr>
          <w:snapToGrid w:val="0"/>
          <w:vertAlign w:val="superscript"/>
          <w:lang w:eastAsia="en-US"/>
        </w:rPr>
        <w:footnoteReference w:id="8"/>
      </w:r>
      <w:r w:rsidRPr="00E25679">
        <w:rPr>
          <w:snapToGrid w:val="0"/>
        </w:rPr>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r>
      <w:r w:rsidRPr="00E25679">
        <w:t>Vista su Resolución, de 13 de diciembre de 2022, sobre una visión a largo plazo para las zonas rurales de la UE: hacia unas zonas rurales más fuertes, conectadas, resilientes y prósperas antes de 2040</w:t>
      </w:r>
      <w:r w:rsidRPr="00E25679">
        <w:rPr>
          <w:snapToGrid w:val="0"/>
          <w:vertAlign w:val="superscript"/>
          <w:lang w:eastAsia="en-US"/>
        </w:rPr>
        <w:footnoteReference w:id="9"/>
      </w:r>
      <w:r w:rsidRPr="00E25679">
        <w:t>,</w:t>
      </w:r>
      <w:r w:rsidRPr="00E25679">
        <w:rPr>
          <w:snapToGrid w:val="0"/>
        </w:rPr>
        <w:t xml:space="preserve"> </w:t>
      </w:r>
    </w:p>
    <w:p w:rsidR="00F57438" w:rsidRPr="00E25679" w:rsidRDefault="00F57438" w:rsidP="00F57438">
      <w:pPr>
        <w:widowControl/>
        <w:spacing w:after="240"/>
        <w:ind w:left="567" w:hanging="567"/>
        <w:rPr>
          <w:snapToGrid w:val="0"/>
        </w:rPr>
      </w:pPr>
      <w:r w:rsidRPr="00E25679">
        <w:rPr>
          <w:snapToGrid w:val="0"/>
        </w:rPr>
        <w:lastRenderedPageBreak/>
        <w:t>–</w:t>
      </w:r>
      <w:r w:rsidRPr="00E25679">
        <w:rPr>
          <w:snapToGrid w:val="0"/>
        </w:rPr>
        <w:tab/>
      </w:r>
      <w:r w:rsidRPr="00E25679">
        <w:t>Vista su Resolución, de 15 de septiembre de 2022, sobre la cohesión económica, social y territorial en la UE:</w:t>
      </w:r>
      <w:r w:rsidRPr="00E25679">
        <w:rPr>
          <w:snapToGrid w:val="0"/>
        </w:rPr>
        <w:t xml:space="preserve"> octavo informe sobre la cohesión</w:t>
      </w:r>
      <w:r w:rsidRPr="00E25679">
        <w:rPr>
          <w:snapToGrid w:val="0"/>
          <w:vertAlign w:val="superscript"/>
          <w:lang w:eastAsia="en-US"/>
        </w:rPr>
        <w:footnoteReference w:id="10"/>
      </w:r>
      <w:r w:rsidRPr="00E25679">
        <w:rPr>
          <w:snapToGrid w:val="0"/>
        </w:rPr>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Vista su Resolución, de 15 de febrero de 2022, sobre los retos para las zonas urbanas después de la pandemia de COVID-19</w:t>
      </w:r>
      <w:r w:rsidRPr="00E25679">
        <w:rPr>
          <w:snapToGrid w:val="0"/>
          <w:vertAlign w:val="superscript"/>
          <w:lang w:eastAsia="en-US"/>
        </w:rPr>
        <w:footnoteReference w:id="11"/>
      </w:r>
      <w:r w:rsidRPr="00E25679">
        <w:rPr>
          <w:snapToGrid w:val="0"/>
        </w:rPr>
        <w:t>,</w:t>
      </w:r>
    </w:p>
    <w:p w:rsidR="00F57438" w:rsidRPr="00E25679" w:rsidRDefault="00F57438" w:rsidP="00F57438">
      <w:pPr>
        <w:widowControl/>
        <w:spacing w:after="240"/>
        <w:ind w:left="567" w:hanging="567"/>
      </w:pPr>
      <w:r w:rsidRPr="00E25679">
        <w:rPr>
          <w:snapToGrid w:val="0"/>
        </w:rPr>
        <w:t>–</w:t>
      </w:r>
      <w:r w:rsidRPr="00E25679">
        <w:rPr>
          <w:snapToGrid w:val="0"/>
        </w:rPr>
        <w:tab/>
      </w:r>
      <w:r w:rsidRPr="00E25679">
        <w:t>Vista su Resolución, de 20 de mayo de 2021, sobre la inversión de las tendencias demográficas en las regiones de la Unión mediante los instrumentos de la política de cohesión</w:t>
      </w:r>
      <w:r w:rsidRPr="00E25679">
        <w:rPr>
          <w:rStyle w:val="FootnoteReference"/>
        </w:rPr>
        <w:footnoteReference w:id="12"/>
      </w:r>
      <w:r w:rsidRPr="00E25679">
        <w:t>,</w:t>
      </w:r>
    </w:p>
    <w:p w:rsidR="00F57438" w:rsidRPr="00E25679" w:rsidRDefault="00F57438" w:rsidP="00F57438">
      <w:pPr>
        <w:widowControl/>
        <w:spacing w:after="240"/>
        <w:ind w:left="567" w:hanging="567"/>
      </w:pPr>
      <w:r w:rsidRPr="00E25679">
        <w:rPr>
          <w:snapToGrid w:val="0"/>
        </w:rPr>
        <w:t>–</w:t>
      </w:r>
      <w:r w:rsidRPr="00E25679">
        <w:rPr>
          <w:snapToGrid w:val="0"/>
        </w:rPr>
        <w:tab/>
      </w:r>
      <w:r w:rsidRPr="00E25679">
        <w:t>Vista su Resolución, de 25 de marzo de 2021, sobre la política de cohesión y las estrategias medioambientales regionales en la lucha contra el cambio climático</w:t>
      </w:r>
      <w:r w:rsidRPr="00E25679">
        <w:rPr>
          <w:rStyle w:val="FootnoteReference"/>
        </w:rPr>
        <w:footnoteReference w:id="13"/>
      </w:r>
      <w:r w:rsidRPr="00E25679">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t>Vista su Resolución, de 13 de marzo de 2018, sobre el papel de las regiones y las ciudades de la UE en la aplicación del Acuerdo de París de la CP 21 sobre el cambio climático</w:t>
      </w:r>
      <w:r w:rsidRPr="00E25679">
        <w:rPr>
          <w:snapToGrid w:val="0"/>
          <w:vertAlign w:val="superscript"/>
          <w:lang w:eastAsia="en-US"/>
        </w:rPr>
        <w:footnoteReference w:id="14"/>
      </w:r>
      <w:r w:rsidRPr="00E25679">
        <w:rPr>
          <w:snapToGrid w:val="0"/>
        </w:rPr>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r>
      <w:r w:rsidRPr="00E25679">
        <w:t>Visto el Dictamen del Comité Económico y Social Europeo, de 18 de septiembre de 2020, sobre la revisión de la Agenda Territorial de la UE, la Carta de Leipzig y la Agenda Urbana para la UE</w:t>
      </w:r>
      <w:r w:rsidRPr="00E25679">
        <w:rPr>
          <w:rStyle w:val="FootnoteReference"/>
          <w:rFonts w:eastAsia="Calibri"/>
          <w:szCs w:val="24"/>
          <w:lang w:eastAsia="en-US"/>
        </w:rPr>
        <w:footnoteReference w:id="15"/>
      </w:r>
      <w:r w:rsidRPr="00E25679">
        <w:t>,</w:t>
      </w:r>
    </w:p>
    <w:p w:rsidR="00F57438" w:rsidRPr="00E25679" w:rsidRDefault="00F57438" w:rsidP="00F57438">
      <w:pPr>
        <w:widowControl/>
        <w:spacing w:after="240"/>
        <w:ind w:left="567" w:hanging="567"/>
        <w:rPr>
          <w:szCs w:val="32"/>
        </w:rPr>
      </w:pPr>
      <w:r w:rsidRPr="00E25679">
        <w:rPr>
          <w:snapToGrid w:val="0"/>
        </w:rPr>
        <w:t>–</w:t>
      </w:r>
      <w:r w:rsidRPr="00E25679">
        <w:rPr>
          <w:snapToGrid w:val="0"/>
        </w:rPr>
        <w:tab/>
      </w:r>
      <w:r w:rsidRPr="00E25679">
        <w:t xml:space="preserve">Visto el análisis en profundidad titulado «Territorial Agenda 2030 – </w:t>
      </w:r>
      <w:proofErr w:type="spellStart"/>
      <w:r w:rsidRPr="00E25679">
        <w:t>Implementation</w:t>
      </w:r>
      <w:proofErr w:type="spellEnd"/>
      <w:r w:rsidRPr="00E25679">
        <w:t xml:space="preserve"> </w:t>
      </w:r>
      <w:proofErr w:type="spellStart"/>
      <w:r w:rsidRPr="00E25679">
        <w:t>Review</w:t>
      </w:r>
      <w:proofErr w:type="spellEnd"/>
      <w:r w:rsidRPr="00E25679">
        <w:t>» (Agenda Territorial 2030: revisión de la ejecución), publicado por su Dirección General de Políticas Interiores el 7 de junio de 2023</w:t>
      </w:r>
      <w:r w:rsidRPr="00E25679">
        <w:rPr>
          <w:rStyle w:val="FootnoteReference"/>
          <w:szCs w:val="32"/>
        </w:rPr>
        <w:footnoteReference w:id="16"/>
      </w:r>
      <w:r w:rsidRPr="00E25679">
        <w:t>,</w:t>
      </w:r>
    </w:p>
    <w:p w:rsidR="00F57438" w:rsidRPr="00E25679" w:rsidRDefault="00F57438" w:rsidP="00F57438">
      <w:pPr>
        <w:widowControl/>
        <w:spacing w:after="240"/>
        <w:ind w:left="567" w:hanging="567"/>
        <w:rPr>
          <w:szCs w:val="32"/>
        </w:rPr>
      </w:pPr>
      <w:r w:rsidRPr="00E25679">
        <w:rPr>
          <w:snapToGrid w:val="0"/>
        </w:rPr>
        <w:t>–</w:t>
      </w:r>
      <w:r w:rsidRPr="00E25679">
        <w:rPr>
          <w:snapToGrid w:val="0"/>
        </w:rPr>
        <w:tab/>
      </w:r>
      <w:r w:rsidRPr="00E25679">
        <w:t>Visto el estudio realizado para la Dirección General de Política Regional y Urbana de la Comisión (DG REGIO) de la Comisión titulado «</w:t>
      </w:r>
      <w:proofErr w:type="spellStart"/>
      <w:r w:rsidRPr="00E25679">
        <w:t>Integrated</w:t>
      </w:r>
      <w:proofErr w:type="spellEnd"/>
      <w:r w:rsidRPr="00E25679">
        <w:t xml:space="preserve"> territorial and </w:t>
      </w:r>
      <w:proofErr w:type="spellStart"/>
      <w:r w:rsidRPr="00E25679">
        <w:t>urban</w:t>
      </w:r>
      <w:proofErr w:type="spellEnd"/>
      <w:r w:rsidRPr="00E25679">
        <w:t xml:space="preserve"> </w:t>
      </w:r>
      <w:proofErr w:type="spellStart"/>
      <w:r w:rsidRPr="00E25679">
        <w:t>strategies</w:t>
      </w:r>
      <w:proofErr w:type="spellEnd"/>
      <w:r w:rsidRPr="00E25679">
        <w:t xml:space="preserve">: </w:t>
      </w:r>
      <w:proofErr w:type="spellStart"/>
      <w:proofErr w:type="gramStart"/>
      <w:r w:rsidRPr="00E25679">
        <w:t>How</w:t>
      </w:r>
      <w:proofErr w:type="spellEnd"/>
      <w:r w:rsidRPr="00E25679">
        <w:t xml:space="preserve"> are ESIF </w:t>
      </w:r>
      <w:proofErr w:type="spellStart"/>
      <w:r w:rsidRPr="00E25679">
        <w:t>adding</w:t>
      </w:r>
      <w:proofErr w:type="spellEnd"/>
      <w:r w:rsidRPr="00E25679">
        <w:t xml:space="preserve"> </w:t>
      </w:r>
      <w:proofErr w:type="spellStart"/>
      <w:r w:rsidRPr="00E25679">
        <w:t>value</w:t>
      </w:r>
      <w:proofErr w:type="spellEnd"/>
      <w:r w:rsidRPr="00E25679">
        <w:t xml:space="preserve"> in 2014-2020?</w:t>
      </w:r>
      <w:proofErr w:type="gramEnd"/>
      <w:r w:rsidRPr="00E25679">
        <w:t>» (Estrategias territoriales y urbanas integradas: ¿cómo aportan valor añadido los fondos EIE en el período 2014-2020?), publicado en diciembre de 2017</w:t>
      </w:r>
      <w:r w:rsidRPr="00E25679">
        <w:rPr>
          <w:rFonts w:eastAsia="Calibri"/>
          <w:szCs w:val="24"/>
          <w:vertAlign w:val="superscript"/>
          <w:lang w:eastAsia="en-US"/>
        </w:rPr>
        <w:footnoteReference w:id="17"/>
      </w:r>
      <w:r w:rsidRPr="00E25679">
        <w:t>,</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r>
      <w:r w:rsidRPr="00E25679">
        <w:t>Vista la herramienta interactiva STRAT-</w:t>
      </w:r>
      <w:proofErr w:type="spellStart"/>
      <w:r w:rsidRPr="00E25679">
        <w:t>Board</w:t>
      </w:r>
      <w:proofErr w:type="spellEnd"/>
      <w:r w:rsidRPr="00E25679">
        <w:t>, desarrollada por el Centro Común de Investigación (JRC) de la Comisión Europea y la DG REGIO, que muestra cómo los Fondos Estructurales y de Inversión Europeos (Fondos EIE) apoyan el enfoque integrado del desarrollo urbano y territorial</w:t>
      </w:r>
      <w:r w:rsidRPr="00E25679">
        <w:rPr>
          <w:rStyle w:val="FootnoteReference"/>
          <w:snapToGrid w:val="0"/>
          <w:lang w:eastAsia="en-US"/>
        </w:rPr>
        <w:footnoteReference w:id="18"/>
      </w:r>
      <w:r w:rsidRPr="00E25679">
        <w:t>,</w:t>
      </w:r>
    </w:p>
    <w:p w:rsidR="00F57438" w:rsidRPr="00E25679" w:rsidRDefault="00F57438" w:rsidP="00F57438">
      <w:pPr>
        <w:widowControl/>
        <w:spacing w:after="240"/>
        <w:ind w:left="567" w:hanging="567"/>
      </w:pPr>
      <w:r w:rsidRPr="00E25679">
        <w:rPr>
          <w:snapToGrid w:val="0"/>
        </w:rPr>
        <w:lastRenderedPageBreak/>
        <w:t>–</w:t>
      </w:r>
      <w:r w:rsidRPr="00E25679">
        <w:rPr>
          <w:snapToGrid w:val="0"/>
        </w:rPr>
        <w:tab/>
      </w:r>
      <w:r w:rsidRPr="00E25679">
        <w:t>Vistas las publicaciones del JRC «</w:t>
      </w:r>
      <w:proofErr w:type="spellStart"/>
      <w:r w:rsidRPr="00E25679">
        <w:t>Handbook</w:t>
      </w:r>
      <w:proofErr w:type="spellEnd"/>
      <w:r w:rsidRPr="00E25679">
        <w:t xml:space="preserve"> of territorial and local </w:t>
      </w:r>
      <w:proofErr w:type="spellStart"/>
      <w:r w:rsidRPr="00E25679">
        <w:t>development</w:t>
      </w:r>
      <w:proofErr w:type="spellEnd"/>
      <w:r w:rsidRPr="00E25679">
        <w:t xml:space="preserve"> </w:t>
      </w:r>
      <w:proofErr w:type="spellStart"/>
      <w:r w:rsidRPr="00E25679">
        <w:t>strategies</w:t>
      </w:r>
      <w:proofErr w:type="spellEnd"/>
      <w:r w:rsidRPr="00E25679">
        <w:t>»</w:t>
      </w:r>
      <w:r w:rsidR="003C66A7">
        <w:rPr>
          <w:rStyle w:val="FootnoteReference"/>
        </w:rPr>
        <w:footnoteReference w:id="19"/>
      </w:r>
      <w:r w:rsidRPr="00E25679">
        <w:t xml:space="preserve"> (Manual de estrategias de desarrollo territorial y local) y «</w:t>
      </w:r>
      <w:proofErr w:type="spellStart"/>
      <w:r w:rsidRPr="00E25679">
        <w:t>Handbook</w:t>
      </w:r>
      <w:proofErr w:type="spellEnd"/>
      <w:r w:rsidRPr="00E25679">
        <w:t xml:space="preserve"> of territorial and local </w:t>
      </w:r>
      <w:proofErr w:type="spellStart"/>
      <w:r w:rsidRPr="00E25679">
        <w:t>development</w:t>
      </w:r>
      <w:proofErr w:type="spellEnd"/>
      <w:r w:rsidRPr="00E25679">
        <w:t xml:space="preserve"> </w:t>
      </w:r>
      <w:proofErr w:type="spellStart"/>
      <w:r w:rsidRPr="00E25679">
        <w:t>strategies</w:t>
      </w:r>
      <w:proofErr w:type="spellEnd"/>
      <w:r w:rsidRPr="00E25679">
        <w:t>»</w:t>
      </w:r>
      <w:r w:rsidR="003C66A7">
        <w:rPr>
          <w:rStyle w:val="FootnoteReference"/>
        </w:rPr>
        <w:footnoteReference w:id="20"/>
      </w:r>
      <w:r w:rsidRPr="00E25679">
        <w:t xml:space="preserve"> (Manual de estrategias de desarrollo urbano sostenible),</w:t>
      </w:r>
    </w:p>
    <w:p w:rsidR="00F57438" w:rsidRPr="00E25679" w:rsidRDefault="00F57438" w:rsidP="00F57438">
      <w:pPr>
        <w:pStyle w:val="NormalBold"/>
        <w:spacing w:after="240"/>
        <w:ind w:left="567" w:hanging="567"/>
        <w:jc w:val="both"/>
      </w:pPr>
      <w:r w:rsidRPr="00E25679">
        <w:rPr>
          <w:b w:val="0"/>
        </w:rPr>
        <w:t>–</w:t>
      </w:r>
      <w:r w:rsidRPr="00E25679">
        <w:rPr>
          <w:b w:val="0"/>
        </w:rPr>
        <w:tab/>
        <w:t>Visto el documento de trabajo elaborado por la DG REGIO titulado «</w:t>
      </w:r>
      <w:proofErr w:type="spellStart"/>
      <w:r w:rsidRPr="00E25679">
        <w:rPr>
          <w:b w:val="0"/>
        </w:rPr>
        <w:t>The</w:t>
      </w:r>
      <w:proofErr w:type="spellEnd"/>
      <w:r w:rsidRPr="00E25679">
        <w:rPr>
          <w:b w:val="0"/>
        </w:rPr>
        <w:t xml:space="preserve"> </w:t>
      </w:r>
      <w:proofErr w:type="spellStart"/>
      <w:r w:rsidRPr="00E25679">
        <w:rPr>
          <w:b w:val="0"/>
        </w:rPr>
        <w:t>geography</w:t>
      </w:r>
      <w:proofErr w:type="spellEnd"/>
      <w:r w:rsidRPr="00E25679">
        <w:rPr>
          <w:b w:val="0"/>
        </w:rPr>
        <w:t xml:space="preserve"> of EU </w:t>
      </w:r>
      <w:proofErr w:type="spellStart"/>
      <w:r w:rsidRPr="00E25679">
        <w:rPr>
          <w:b w:val="0"/>
        </w:rPr>
        <w:t>discontent</w:t>
      </w:r>
      <w:proofErr w:type="spellEnd"/>
      <w:r w:rsidRPr="00E25679">
        <w:rPr>
          <w:b w:val="0"/>
        </w:rPr>
        <w:t xml:space="preserve"> and </w:t>
      </w:r>
      <w:proofErr w:type="spellStart"/>
      <w:r w:rsidRPr="00E25679">
        <w:rPr>
          <w:b w:val="0"/>
        </w:rPr>
        <w:t>the</w:t>
      </w:r>
      <w:proofErr w:type="spellEnd"/>
      <w:r w:rsidRPr="00E25679">
        <w:rPr>
          <w:b w:val="0"/>
        </w:rPr>
        <w:t xml:space="preserve"> regional </w:t>
      </w:r>
      <w:proofErr w:type="spellStart"/>
      <w:r w:rsidRPr="00E25679">
        <w:rPr>
          <w:b w:val="0"/>
        </w:rPr>
        <w:t>development</w:t>
      </w:r>
      <w:proofErr w:type="spellEnd"/>
      <w:r w:rsidRPr="00E25679">
        <w:rPr>
          <w:b w:val="0"/>
        </w:rPr>
        <w:t xml:space="preserve"> </w:t>
      </w:r>
      <w:proofErr w:type="spellStart"/>
      <w:r w:rsidRPr="00E25679">
        <w:rPr>
          <w:b w:val="0"/>
        </w:rPr>
        <w:t>trap</w:t>
      </w:r>
      <w:proofErr w:type="spellEnd"/>
      <w:r w:rsidRPr="00E25679">
        <w:rPr>
          <w:b w:val="0"/>
        </w:rPr>
        <w:t>» (La geografía del descontento de la UE y la trampa para el desarrollo regional), publicado en marzo de 2023,</w:t>
      </w:r>
    </w:p>
    <w:p w:rsidR="00F57438" w:rsidRPr="00E25679" w:rsidRDefault="00F57438" w:rsidP="00B4404D">
      <w:pPr>
        <w:pStyle w:val="NormalBold"/>
        <w:spacing w:after="240"/>
        <w:ind w:left="567" w:hanging="567"/>
        <w:rPr>
          <w:b w:val="0"/>
        </w:rPr>
      </w:pPr>
      <w:r w:rsidRPr="00E25679">
        <w:rPr>
          <w:b w:val="0"/>
        </w:rPr>
        <w:t>–</w:t>
      </w:r>
      <w:r w:rsidRPr="00E25679">
        <w:rPr>
          <w:b w:val="0"/>
        </w:rPr>
        <w:tab/>
        <w:t xml:space="preserve">Visto el estudio realizado para el Consejo de Municipios y Regiones de Europa (CMRE) titulado «ITI and CLLD. </w:t>
      </w:r>
      <w:proofErr w:type="spellStart"/>
      <w:r w:rsidRPr="00E25679">
        <w:rPr>
          <w:b w:val="0"/>
        </w:rPr>
        <w:t>The</w:t>
      </w:r>
      <w:proofErr w:type="spellEnd"/>
      <w:r w:rsidRPr="00E25679">
        <w:rPr>
          <w:b w:val="0"/>
        </w:rPr>
        <w:t xml:space="preserve"> use of </w:t>
      </w:r>
      <w:proofErr w:type="spellStart"/>
      <w:r w:rsidRPr="00E25679">
        <w:rPr>
          <w:b w:val="0"/>
        </w:rPr>
        <w:t>integrated</w:t>
      </w:r>
      <w:proofErr w:type="spellEnd"/>
      <w:r w:rsidRPr="00E25679">
        <w:rPr>
          <w:b w:val="0"/>
        </w:rPr>
        <w:t xml:space="preserve"> territorial </w:t>
      </w:r>
      <w:proofErr w:type="spellStart"/>
      <w:r w:rsidRPr="00E25679">
        <w:rPr>
          <w:b w:val="0"/>
        </w:rPr>
        <w:t>tools</w:t>
      </w:r>
      <w:proofErr w:type="spellEnd"/>
      <w:r w:rsidRPr="00E25679">
        <w:rPr>
          <w:b w:val="0"/>
        </w:rPr>
        <w:t xml:space="preserve"> in </w:t>
      </w:r>
      <w:proofErr w:type="spellStart"/>
      <w:r w:rsidRPr="00E25679">
        <w:rPr>
          <w:b w:val="0"/>
        </w:rPr>
        <w:t>cohesion</w:t>
      </w:r>
      <w:proofErr w:type="spellEnd"/>
      <w:r w:rsidRPr="00E25679">
        <w:rPr>
          <w:b w:val="0"/>
        </w:rPr>
        <w:t xml:space="preserve"> </w:t>
      </w:r>
      <w:proofErr w:type="spellStart"/>
      <w:r w:rsidRPr="00E25679">
        <w:rPr>
          <w:b w:val="0"/>
        </w:rPr>
        <w:t>policy</w:t>
      </w:r>
      <w:proofErr w:type="spellEnd"/>
      <w:r w:rsidRPr="00E25679">
        <w:rPr>
          <w:b w:val="0"/>
        </w:rPr>
        <w:t>» (Inversiones territoriales integradas y desarrollo local participativo: el uso de herramientas territoriales integradas en la política de cohesión), publicado en diciembre de 2022,</w:t>
      </w:r>
    </w:p>
    <w:p w:rsidR="00F57438" w:rsidRPr="00E25679" w:rsidRDefault="00F57438" w:rsidP="00B4404D">
      <w:pPr>
        <w:pStyle w:val="NormalBold"/>
        <w:widowControl/>
        <w:spacing w:after="240"/>
        <w:ind w:left="567" w:hanging="567"/>
        <w:rPr>
          <w:b w:val="0"/>
        </w:rPr>
      </w:pPr>
      <w:r w:rsidRPr="00E25679">
        <w:rPr>
          <w:b w:val="0"/>
        </w:rPr>
        <w:t>–</w:t>
      </w:r>
      <w:r w:rsidRPr="00E25679">
        <w:rPr>
          <w:b w:val="0"/>
        </w:rPr>
        <w:tab/>
        <w:t>Vistas la Carta de Leipzig sobre Ciudades Europeas Sostenibles de 2007 y la Nueva Carta de Leipzig — el poder transformador de las ciudades por el bien común, de 30 de noviembre de 2020,</w:t>
      </w:r>
    </w:p>
    <w:p w:rsidR="00F57438" w:rsidRPr="00E25679" w:rsidRDefault="00F57438" w:rsidP="003C66A7">
      <w:pPr>
        <w:widowControl/>
        <w:spacing w:after="240"/>
        <w:ind w:left="567" w:hanging="567"/>
        <w:rPr>
          <w:snapToGrid w:val="0"/>
        </w:rPr>
      </w:pPr>
      <w:r w:rsidRPr="00E25679">
        <w:rPr>
          <w:snapToGrid w:val="0"/>
        </w:rPr>
        <w:t>–</w:t>
      </w:r>
      <w:r w:rsidRPr="00E25679">
        <w:rPr>
          <w:snapToGrid w:val="0"/>
        </w:rPr>
        <w:tab/>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rsidR="00F57438" w:rsidRPr="00E25679" w:rsidRDefault="00F57438" w:rsidP="003C66A7">
      <w:pPr>
        <w:widowControl/>
        <w:spacing w:after="240"/>
        <w:ind w:left="567" w:hanging="567"/>
        <w:rPr>
          <w:snapToGrid w:val="0"/>
        </w:rPr>
      </w:pPr>
      <w:r w:rsidRPr="00E25679">
        <w:rPr>
          <w:snapToGrid w:val="0"/>
        </w:rPr>
        <w:t>–</w:t>
      </w:r>
      <w:r w:rsidRPr="00E25679">
        <w:rPr>
          <w:snapToGrid w:val="0"/>
        </w:rPr>
        <w:tab/>
      </w:r>
      <w:r w:rsidRPr="00E25679">
        <w:t>Vista la opinión de la Comisión de Agricultura y Desarrollo Rural,</w:t>
      </w:r>
    </w:p>
    <w:p w:rsidR="00F57438" w:rsidRPr="00E25679" w:rsidRDefault="00F57438" w:rsidP="00F57438">
      <w:pPr>
        <w:widowControl/>
        <w:spacing w:after="240"/>
        <w:ind w:left="567" w:hanging="567"/>
        <w:rPr>
          <w:snapToGrid w:val="0"/>
        </w:rPr>
      </w:pPr>
      <w:r w:rsidRPr="00E25679">
        <w:rPr>
          <w:snapToGrid w:val="0"/>
        </w:rPr>
        <w:t>–</w:t>
      </w:r>
      <w:r w:rsidRPr="00E25679">
        <w:rPr>
          <w:snapToGrid w:val="0"/>
        </w:rPr>
        <w:tab/>
      </w:r>
      <w:r w:rsidRPr="00E25679">
        <w:t>Visto el informe de la Comisión de Desarrollo Regional (A9-0420/2023),</w:t>
      </w:r>
    </w:p>
    <w:p w:rsidR="00F57438" w:rsidRPr="00E25679" w:rsidRDefault="00F57438" w:rsidP="00F57438">
      <w:pPr>
        <w:pStyle w:val="NormalHanging12a"/>
        <w:ind w:hanging="709"/>
      </w:pPr>
      <w:r w:rsidRPr="00E25679">
        <w:t>A.</w:t>
      </w:r>
      <w:r w:rsidRPr="00E25679">
        <w:tab/>
        <w:t>Considerando que la política de cohesión sigue y debe seguir siendo la principal política de inversión para las regiones y ciudades de la Unión, y que no está prevista para servir sistemáticamente como primera opción de ayuda financiera para hacer frente a acontecimientos imprevistos que sacuden nuestra sociedad y nuestra economía; que la Agenda Territorial es el instrumento que guía la política territorial de la Unión —reflejada en sus programas y proyectos nacionales— y que proporciona orientación sobre la ordenación del territorio estratégica, pide que se refuerce la dimensión territorial de las políticas sectoriales en todos los niveles de gobernanza y busca promover un futuro inclusivo y sostenible para todos los lugares y contribuir a la consecución de los Objetivos de Desarrollo Sostenible en Europa;</w:t>
      </w:r>
    </w:p>
    <w:p w:rsidR="00F57438" w:rsidRPr="00E25679" w:rsidRDefault="00F57438" w:rsidP="00F57438">
      <w:pPr>
        <w:pStyle w:val="NormalHanging12a"/>
        <w:rPr>
          <w:szCs w:val="24"/>
        </w:rPr>
      </w:pPr>
      <w:r w:rsidRPr="00E25679">
        <w:t>B.</w:t>
      </w:r>
      <w:r w:rsidRPr="00E25679">
        <w:tab/>
        <w:t>Considerando que los retos a los que se enfrentan las regiones de la Unión se detectan y gestionan a nivel territorial;</w:t>
      </w:r>
    </w:p>
    <w:p w:rsidR="00F57438" w:rsidRPr="00E25679" w:rsidRDefault="00F57438" w:rsidP="00F57438">
      <w:pPr>
        <w:pStyle w:val="NormalHanging12a"/>
      </w:pPr>
      <w:r w:rsidRPr="00E25679">
        <w:t>C.</w:t>
      </w:r>
      <w:r w:rsidRPr="00E25679">
        <w:tab/>
        <w:t xml:space="preserve">Considerando que los Reglamentos sobre Disposiciones Comunes anterior y actual no hacen ninguna referencia específica a la Agenda Territorial 2020 ni a la Agenda Territorial 2030, respectivamente; que el título III, capítulo II, del vigente Reglamento sobre Disposiciones Comunes constituye la base para la utilización de los fondos de la política de cohesión a través de estrategias de desarrollo territorial; que el artículo 7 del </w:t>
      </w:r>
      <w:r w:rsidRPr="00E25679">
        <w:lastRenderedPageBreak/>
        <w:t>Reglamento (UE) n.º 1301/2013</w:t>
      </w:r>
      <w:r w:rsidRPr="00E25679">
        <w:rPr>
          <w:rStyle w:val="FootnoteReference"/>
        </w:rPr>
        <w:footnoteReference w:id="21"/>
      </w:r>
      <w:r w:rsidRPr="00E25679">
        <w:t xml:space="preserve"> se refiere al desarrollo urbano sostenible basado en estrategias urbanas integradas y sostenibles como marco para la selección de las operaciones;</w:t>
      </w:r>
    </w:p>
    <w:p w:rsidR="00F57438" w:rsidRPr="00E25679" w:rsidRDefault="00F57438" w:rsidP="00F57438">
      <w:pPr>
        <w:pStyle w:val="NormalHanging12a"/>
        <w:rPr>
          <w:szCs w:val="24"/>
        </w:rPr>
      </w:pPr>
      <w:r w:rsidRPr="00E25679">
        <w:t>D</w:t>
      </w:r>
      <w:r w:rsidR="00DD25A5">
        <w:t>.</w:t>
      </w:r>
      <w:r w:rsidRPr="00E25679">
        <w:tab/>
        <w:t>Considerando que el enfoque de base local para la elaboración de políticas, fundamentado en el desarrollo territorial integrado, tiene por objeto liberar un potencial único relacionado con los recursos, conocimientos y activos territoriales, al tiempo que reconoce la necesidad de soluciones adaptadas a los diferentes tipos de territorios;</w:t>
      </w:r>
    </w:p>
    <w:p w:rsidR="00F57438" w:rsidRPr="00E25679" w:rsidRDefault="00F57438" w:rsidP="00F57438">
      <w:pPr>
        <w:pStyle w:val="NormalHanging12a"/>
        <w:widowControl/>
        <w:ind w:hanging="641"/>
      </w:pPr>
      <w:r w:rsidRPr="00E25679">
        <w:t>E.</w:t>
      </w:r>
      <w:r w:rsidRPr="00E25679">
        <w:tab/>
        <w:t xml:space="preserve">Considerando que las principales dificultades a las que se enfrentaron las instituciones y la sociedad civil locales y regionales durante el período 2014-2020 fueron un apoyo técnico y administrativo insuficiente, unos obstáculos burocráticos desproporcionados, una falta de competencias, formación, conocimientos y desarrollo de capacidades y una cooperación deficiente entre los distintos niveles de gobierno, además de la lentitud en la absorción de fondos; </w:t>
      </w:r>
    </w:p>
    <w:p w:rsidR="00F57438" w:rsidRPr="00E25679" w:rsidRDefault="00F57438" w:rsidP="00F57438">
      <w:pPr>
        <w:pStyle w:val="NormalHanging12a"/>
        <w:rPr>
          <w:szCs w:val="24"/>
        </w:rPr>
      </w:pPr>
      <w:r w:rsidRPr="00E25679">
        <w:t>F.</w:t>
      </w:r>
      <w:r w:rsidRPr="00E25679">
        <w:tab/>
        <w:t>Considerando que, en las regiones y unidades administrativas en las que se aplica Leader, un gestor obligatorio de los grupos de acción local contribuye a mejorar el rendimiento y la absorción de la financiación regional;</w:t>
      </w:r>
    </w:p>
    <w:p w:rsidR="00F57438" w:rsidRPr="00E25679" w:rsidRDefault="00F57438" w:rsidP="00F57438">
      <w:pPr>
        <w:pStyle w:val="NormalHanging12a"/>
        <w:rPr>
          <w:szCs w:val="24"/>
        </w:rPr>
      </w:pPr>
      <w:r w:rsidRPr="00E25679">
        <w:t>G.</w:t>
      </w:r>
      <w:r w:rsidRPr="00E25679">
        <w:tab/>
        <w:t>Considerando que la riqueza de la diversidad territorial europea debe verse como un sistema dinámico y complejo en el que cada región se enfrenta a retos en materia de desarrollo en función de sus características particulares; que las crecientes desigualdades entre los lugares y entre las personas han alcanzado un nivel crítico y que es necesaria una acción concertada en todos los niveles geográficos y de gobernanza para garantizar perspectivas de futuro positivas para todas las personas y lugares de la Unión;</w:t>
      </w:r>
    </w:p>
    <w:p w:rsidR="00F57438" w:rsidRPr="00E25679" w:rsidRDefault="00F57438" w:rsidP="00F57438">
      <w:pPr>
        <w:pStyle w:val="NormalHanging12a"/>
        <w:ind w:left="570" w:hanging="570"/>
      </w:pPr>
      <w:r w:rsidRPr="00E25679">
        <w:t>H.</w:t>
      </w:r>
      <w:r w:rsidRPr="00E25679">
        <w:tab/>
        <w:t>Considerando que el «</w:t>
      </w:r>
      <w:proofErr w:type="spellStart"/>
      <w:r w:rsidRPr="00E25679">
        <w:t>Handbook</w:t>
      </w:r>
      <w:proofErr w:type="spellEnd"/>
      <w:r w:rsidRPr="00E25679">
        <w:t xml:space="preserve"> of territorial and local </w:t>
      </w:r>
      <w:proofErr w:type="spellStart"/>
      <w:r w:rsidRPr="00E25679">
        <w:t>development</w:t>
      </w:r>
      <w:proofErr w:type="spellEnd"/>
      <w:r w:rsidRPr="00E25679">
        <w:t xml:space="preserve"> </w:t>
      </w:r>
      <w:proofErr w:type="spellStart"/>
      <w:r w:rsidRPr="00E25679">
        <w:t>strategies</w:t>
      </w:r>
      <w:proofErr w:type="spellEnd"/>
      <w:r w:rsidRPr="00E25679">
        <w:t>» (Manual de estrategias de desarrollo territorial y local) ofrece apoyo metodológico a todos los niveles;</w:t>
      </w:r>
    </w:p>
    <w:p w:rsidR="00F57438" w:rsidRPr="00E25679" w:rsidRDefault="00F57438" w:rsidP="00F57438">
      <w:pPr>
        <w:pStyle w:val="NormalHanging12a"/>
        <w:rPr>
          <w:szCs w:val="24"/>
        </w:rPr>
      </w:pPr>
      <w:r w:rsidRPr="00E25679">
        <w:t>I.</w:t>
      </w:r>
      <w:r w:rsidRPr="00E25679">
        <w:tab/>
        <w:t xml:space="preserve">Considerando que la microcohesión supone una forma de equilibrio para las zonas </w:t>
      </w:r>
      <w:proofErr w:type="spellStart"/>
      <w:r w:rsidRPr="00E25679">
        <w:t>infradesarrolladas</w:t>
      </w:r>
      <w:proofErr w:type="spellEnd"/>
      <w:r w:rsidRPr="00E25679">
        <w:t xml:space="preserve"> situadas en una región con un mayor nivel de desarrollo; que, centrándose explícitamente en «los lugares y las personas», la Agenda Territorial (TA2030) es pionera en plantear la «idea de cohesión interpersonal» junto con la cohesión territorial, teniendo en cuenta que estas disparidades solo pueden abordarse prestando más atención a la diversidad y el potencial de los territorios, así como diseñando políticas y estrategias de base local, con el objetivo de integrar mejor la dimensión territorial en todos los fondos de la Unión;</w:t>
      </w:r>
    </w:p>
    <w:p w:rsidR="00F57438" w:rsidRPr="00E25679" w:rsidRDefault="00F57438" w:rsidP="00F57438">
      <w:pPr>
        <w:pStyle w:val="NormalHanging12a"/>
        <w:rPr>
          <w:szCs w:val="24"/>
        </w:rPr>
      </w:pPr>
      <w:r w:rsidRPr="00E25679">
        <w:t>J.</w:t>
      </w:r>
      <w:r w:rsidRPr="00E25679">
        <w:tab/>
        <w:t xml:space="preserve">Considerando que el artículo 28 del RDC designa las inversiones territoriales integradas y el desarrollo local participativo como los instrumentos para ejecutar las estrategias de desarrollo territorial y pide coherencia y coordinación entre los Fondos cuando se utilicen varios de ellos en una misma estrategia para el desarrollo regional o local; que </w:t>
      </w:r>
      <w:r w:rsidRPr="00E25679">
        <w:lastRenderedPageBreak/>
        <w:t>estos instrumentos tienen por objeto un desarrollo territorial ascendente y refuerzan la participación activa de las partes interesadas locales;</w:t>
      </w:r>
    </w:p>
    <w:p w:rsidR="00F57438" w:rsidRPr="00E25679" w:rsidRDefault="00F57438" w:rsidP="00F57438">
      <w:pPr>
        <w:pStyle w:val="NormalHanging12a"/>
        <w:ind w:left="570" w:hanging="570"/>
      </w:pPr>
      <w:r w:rsidRPr="00E25679">
        <w:t>K.</w:t>
      </w:r>
      <w:r w:rsidRPr="00E25679">
        <w:tab/>
        <w:t>Considerando que en el período 2014-2020 se programaron 1 975 estrategias entre los entonces veintiocho Estados miembros, financiadas con 19 000</w:t>
      </w:r>
      <w:r w:rsidR="00DD25A5">
        <w:t> 000 000</w:t>
      </w:r>
      <w:r w:rsidRPr="00E25679">
        <w:t xml:space="preserve"> EUR con cargo al Fondo Europeo de Desarrollo Regional (FEDER), de los que 13 800</w:t>
      </w:r>
      <w:r w:rsidR="00DD25A5">
        <w:t> 000 000</w:t>
      </w:r>
      <w:r w:rsidRPr="00E25679">
        <w:t xml:space="preserve"> EUR se asignaron a inversiones territoriales integradas en nueve Estados miembros;</w:t>
      </w:r>
    </w:p>
    <w:p w:rsidR="00F57438" w:rsidRPr="00E25679" w:rsidRDefault="00F57438" w:rsidP="00F57438">
      <w:pPr>
        <w:pStyle w:val="NormalHanging12a"/>
      </w:pPr>
      <w:r w:rsidRPr="00E25679">
        <w:t>L.</w:t>
      </w:r>
      <w:r w:rsidRPr="00E25679">
        <w:tab/>
        <w:t>Considerando que el desarrollo local participativo fue la segunda herramienta más utilizada por los Estados miembros para desarrollar estrategias territoriales o locales en el período 2014-2020 y garantiza que los gobiernos y partes interesadas locales y regionales participen de cerca en la preparación, la ejecución y el seguimiento de los fondos de la Unión que reciben; que no se han asignado fondos para el uso del desarrollo local participativo en el período de programación 2021-2027;</w:t>
      </w:r>
    </w:p>
    <w:p w:rsidR="00F57438" w:rsidRPr="00E25679" w:rsidRDefault="00F57438" w:rsidP="00F57438">
      <w:pPr>
        <w:pStyle w:val="NormalHanging12a"/>
      </w:pPr>
      <w:r w:rsidRPr="00E25679">
        <w:t>M.</w:t>
      </w:r>
      <w:r w:rsidRPr="00E25679">
        <w:tab/>
        <w:t>Considerando que la ejecución de las inversiones territoriales integradas y el desarrollo local participativo sigue siendo desigual en toda la Unión y que varios Estados miembros y autoridades de gestión no parecen muy comprometidos con su ejecución; que la interpretación y la aplicación del objetivo político 5 «Una Europa más cercana a los ciudadanos» (OP 5) difiere entre los Estados miembros, lo que da lugar a una aplicación escasa de las inversiones territoriales integradas y el desarrollo local participativo; que los colegisladores deben plantearse en el futuro una aplicación más flexible del OP 5 sin requisitos estrictos en materia de estrategias y gobernanza, que contribuya a abrirlo a todo tipo de iniciativas que contribuyan al desarrollo regional y local;</w:t>
      </w:r>
    </w:p>
    <w:p w:rsidR="00F57438" w:rsidRPr="00E25679" w:rsidRDefault="00F57438" w:rsidP="00F57438">
      <w:pPr>
        <w:pStyle w:val="NormalHanging12a"/>
        <w:rPr>
          <w:szCs w:val="24"/>
        </w:rPr>
      </w:pPr>
      <w:r w:rsidRPr="00E25679">
        <w:t>N.</w:t>
      </w:r>
      <w:r w:rsidRPr="00E25679">
        <w:tab/>
        <w:t>Considerando que las inversiones territoriales integradas y el desarrollo local participativo son instrumentos que no tienen por objeto únicamente facilitar un enfoque ascendente del desarrollo territorial mediante la promoción de la participación de los gobiernos locales y regionales desde el principio, sino también facilitar el diálogo entre las distintas partes interesadas y aumentar la cooperación entre los sectores público y privado, además de fomentar la cooperación y la transferencia de información entre todos los niveles de gobierno;</w:t>
      </w:r>
    </w:p>
    <w:p w:rsidR="00F57438" w:rsidRPr="00E25679" w:rsidRDefault="00F57438" w:rsidP="00F57438">
      <w:pPr>
        <w:pStyle w:val="NormalHanging12a"/>
      </w:pPr>
      <w:r w:rsidRPr="00E25679">
        <w:t>O.</w:t>
      </w:r>
      <w:r w:rsidRPr="00E25679">
        <w:tab/>
        <w:t>Considerando que la TA2030 invita al Parlamento y a su Comisión de Desarrollo Regional, como comisión responsable de la cohesión económica, social y territorial, a tener en cuenta los objetivos de dicha Agenda impulsando las prioridades de esta en los procesos legislativos de la Unión;</w:t>
      </w:r>
    </w:p>
    <w:p w:rsidR="00F57438" w:rsidRPr="00E25679" w:rsidRDefault="00F57438" w:rsidP="00F57438">
      <w:pPr>
        <w:pStyle w:val="NormalHanging12a"/>
      </w:pPr>
      <w:r w:rsidRPr="00E25679">
        <w:t>P.</w:t>
      </w:r>
      <w:r w:rsidRPr="00E25679">
        <w:tab/>
        <w:t>Considerando que la inversión territorial integrada y las políticas de base local son condiciones necesarias para lograr objetivos estratégicos de la Unión como las transiciones ecológica y digital; que las políticas de base local pueden ayudar a los territorios a escapar del declive económico a largo plazo y de la «trampa para el desarrollo regional», en la que una región no puede mantener su dinámica económica en términos de ingresos, productividad y empleo;</w:t>
      </w:r>
    </w:p>
    <w:p w:rsidR="00F57438" w:rsidRPr="00E25679" w:rsidRDefault="00F57438" w:rsidP="00F57438">
      <w:pPr>
        <w:pStyle w:val="NormalHanging12a"/>
      </w:pPr>
      <w:r w:rsidRPr="00E25679">
        <w:t>Q.</w:t>
      </w:r>
      <w:r w:rsidRPr="00E25679">
        <w:tab/>
        <w:t xml:space="preserve">Considerando que la TA2030 define dos objetivos generales, una Europa justa y una Europa ecológica, con seis prioridades (Europa equilibrada, regiones funcionales, integración más allá de las fronteras, entorno sano, economía circular y conectividad sostenible) para desarrollar el territorio europeo en su conjunto y todos sus lugares; que la TA2030 prosigue la alineación de los objetivos de desarrollo territorial de la Unión </w:t>
      </w:r>
      <w:r w:rsidRPr="00E25679">
        <w:lastRenderedPageBreak/>
        <w:t>con la Agenda 2030 para el Desarrollo Sostenible de las Naciones Unidas y el Pacto Verde Europeo; que la Agenda Urbana de la UE, a través de la Carta de Leipzig, apoya los objetivos de la TA2030;</w:t>
      </w:r>
    </w:p>
    <w:p w:rsidR="00F57438" w:rsidRPr="00E25679" w:rsidRDefault="00F57438" w:rsidP="00F57438">
      <w:pPr>
        <w:pStyle w:val="NormalHanging12a"/>
        <w:rPr>
          <w:szCs w:val="24"/>
        </w:rPr>
      </w:pPr>
      <w:r w:rsidRPr="00E25679">
        <w:t>R.</w:t>
      </w:r>
      <w:r w:rsidRPr="00E25679">
        <w:tab/>
        <w:t>Considerando que un sólido desarrollo territorial común a través del RDC y de la aplicación de la TA2030 puede servir de vehículo para reforzar la solidaridad y los procesos democráticos y para una Unión justa y ecológica; que los enfoques territoriales aportan valor al aplicar una perspectiva estratégica y espacial que refleja las combinaciones específicas de desafíos y oportunidades de carácter social, institucional, económico y medioambiental que influyen en el desarrollo de todo tipo de territorios;</w:t>
      </w:r>
    </w:p>
    <w:p w:rsidR="00F57438" w:rsidRPr="00E25679" w:rsidRDefault="00F57438" w:rsidP="00F57438">
      <w:pPr>
        <w:pStyle w:val="NormalHanging12a"/>
      </w:pPr>
      <w:r w:rsidRPr="00E25679">
        <w:t>S.</w:t>
      </w:r>
      <w:r w:rsidRPr="00E25679">
        <w:tab/>
        <w:t>Considerando que la puesta en práctica de las prioridades de la TA2030 sigue siendo desigual en la Unión, en particular teniendo en cuenta las disparidades espaciales, como la insularidad; Considerando que las conclusiones de la TA2030 muestran crecientes desigualdades dentro de la Unión, que acentúan las brechas entre personas y entre territorios;</w:t>
      </w:r>
    </w:p>
    <w:p w:rsidR="00F57438" w:rsidRPr="00E25679" w:rsidRDefault="00F57438" w:rsidP="00F57438">
      <w:pPr>
        <w:pStyle w:val="NormalHanging12a"/>
      </w:pPr>
      <w:r w:rsidRPr="00E25679">
        <w:t>T.</w:t>
      </w:r>
      <w:r w:rsidRPr="00E25679">
        <w:tab/>
        <w:t>Considerando que la TA2030 pide que se refuerce la dimensión territorial de las políticas sectoriales en todos los niveles de gobernanza; Considerando que los principios rectores de la TA2030 se incluyen en las dos prioridades «Las personas y los lugares se están alejando» y «Desarrollo sostenible y cambio climático»;</w:t>
      </w:r>
    </w:p>
    <w:p w:rsidR="00F57438" w:rsidRPr="00E25679" w:rsidRDefault="00F57438" w:rsidP="00F57438">
      <w:pPr>
        <w:pStyle w:val="NormalHanging12a"/>
      </w:pPr>
      <w:r w:rsidRPr="00E25679">
        <w:t>U.</w:t>
      </w:r>
      <w:r w:rsidRPr="00E25679">
        <w:tab/>
        <w:t xml:space="preserve">Considerando que con la adopción de la TA2030 se pusieron en marcha las siete acciones piloto siguientes, que sirvieron de ejemplo para la aplicación de los objetivos de la Agenda sobre el terreno a escala local y regional e inspiraron acciones conjuntas en toda la Unión: «Un futuro para las regiones rezagadas», «Comprender cómo las políticas sectoriales configuran los (des)equilibrios espaciales», «Los lugares pequeños son importantes», «Ordenación territorial transfronteriza», «Medidas climáticas en ciudades alpinas», «Adaptación al cambio climático y resiliencia a través de la transición paisajística» y «Reducir la </w:t>
      </w:r>
      <w:proofErr w:type="spellStart"/>
      <w:r w:rsidRPr="00E25679">
        <w:t>artificialización</w:t>
      </w:r>
      <w:proofErr w:type="spellEnd"/>
      <w:r w:rsidRPr="00E25679">
        <w:t xml:space="preserve"> de las tierras, la expansión urbana y el sellado del suelo en ciudades de diferentes tamaños y zonas urbanas funcionales»;</w:t>
      </w:r>
    </w:p>
    <w:p w:rsidR="00F57438" w:rsidRPr="00E25679" w:rsidRDefault="00F57438" w:rsidP="00F57438">
      <w:pPr>
        <w:pStyle w:val="NormalHanging12a"/>
        <w:rPr>
          <w:szCs w:val="24"/>
        </w:rPr>
      </w:pPr>
      <w:r w:rsidRPr="00E25679">
        <w:t>V.</w:t>
      </w:r>
      <w:r w:rsidRPr="00E25679">
        <w:tab/>
        <w:t>Considerando que, habida cuenta del limitado equilibrio geográfico en el desarrollo de estas acciones piloto y de las dificultades administrativas encontradas cuando las acciones piloto se financiaron con cargo a varios programas, hace falta una mejor recopilación de datos, así como una revisión coherente de la TA2030;</w:t>
      </w:r>
    </w:p>
    <w:p w:rsidR="00F57438" w:rsidRPr="00E25679" w:rsidRDefault="00F57438" w:rsidP="00F57438">
      <w:pPr>
        <w:pStyle w:val="NormalHanging12a"/>
      </w:pPr>
      <w:r w:rsidRPr="00E25679">
        <w:t>1.</w:t>
      </w:r>
      <w:r w:rsidRPr="00E25679">
        <w:tab/>
        <w:t>Destaca que, en el período 2014-2020, solo el 28 % de las estrategias de desarrollo urbano sostenible se ejecutaron a través de inversiones territoriales integradas; pide a la Comisión que tome medidas destinadas a fomentar el uso de estos instrumentos para desarrollar la TA2030, en particular mediante actividades de comunicación reforzadas;</w:t>
      </w:r>
    </w:p>
    <w:p w:rsidR="00F57438" w:rsidRPr="00E25679" w:rsidRDefault="00F57438" w:rsidP="00F57438">
      <w:pPr>
        <w:pStyle w:val="NormalHanging12a"/>
      </w:pPr>
      <w:r w:rsidRPr="00E25679">
        <w:t>2.</w:t>
      </w:r>
      <w:r w:rsidRPr="00E25679">
        <w:tab/>
        <w:t>Destaca la valiosa contribución al desarrollo territorial que aportan las acciones llevadas a cabo a través del desarrollo local participativo, como las del programa Leader; pide a la Comisión y a los Estados miembros que refuercen el programa Leader aumentando su dotación presupuestaria, garantizando un elevado nivel de autonomía de los grupos de acción local en relación con su constitución y toma de decisiones y reduciendo la carga administrativa;</w:t>
      </w:r>
    </w:p>
    <w:p w:rsidR="00F57438" w:rsidRPr="00E25679" w:rsidRDefault="00F57438" w:rsidP="00F57438">
      <w:pPr>
        <w:pStyle w:val="NormalHanging12a"/>
        <w:rPr>
          <w:szCs w:val="24"/>
        </w:rPr>
      </w:pPr>
      <w:r w:rsidRPr="00E25679">
        <w:t>3.</w:t>
      </w:r>
      <w:r w:rsidRPr="00E25679">
        <w:tab/>
        <w:t xml:space="preserve">Pide a la Comisión que utilice los resultados del próximo informe de evaluación de 2024 correspondiente al período de programación 2014-2020, así como los resultados </w:t>
      </w:r>
      <w:r w:rsidRPr="00E25679">
        <w:lastRenderedPageBreak/>
        <w:t>de las acciones llevadas a cabo a través del desarrollo local participativo y del programa Leader, para apoyar los programas para el período 2021-2027; señala la importancia del análisis cualitativo de las herramientas de desarrollo territorial; lamenta, a este respecto, la conclusión del Informe Especial del Tribunal de Cuentas Europeo sobre Leader y el desarrollo local participativo que señala que sus beneficios no están suficientemente demostrados;</w:t>
      </w:r>
    </w:p>
    <w:p w:rsidR="00F57438" w:rsidRPr="00E25679" w:rsidRDefault="00F57438" w:rsidP="00F57438">
      <w:pPr>
        <w:pStyle w:val="NormalHanging12a"/>
        <w:rPr>
          <w:szCs w:val="24"/>
        </w:rPr>
      </w:pPr>
      <w:r w:rsidRPr="00E25679">
        <w:t>4.</w:t>
      </w:r>
      <w:r w:rsidRPr="00E25679">
        <w:tab/>
        <w:t>Acoge con satisfacción las publicaciones «</w:t>
      </w:r>
      <w:proofErr w:type="spellStart"/>
      <w:r w:rsidRPr="00E25679">
        <w:t>Handbook</w:t>
      </w:r>
      <w:proofErr w:type="spellEnd"/>
      <w:r w:rsidRPr="00E25679">
        <w:t xml:space="preserve"> of territorial and local </w:t>
      </w:r>
      <w:proofErr w:type="spellStart"/>
      <w:r w:rsidRPr="00E25679">
        <w:t>development</w:t>
      </w:r>
      <w:proofErr w:type="spellEnd"/>
      <w:r w:rsidRPr="00E25679">
        <w:t xml:space="preserve"> </w:t>
      </w:r>
      <w:proofErr w:type="spellStart"/>
      <w:r w:rsidRPr="00E25679">
        <w:t>strategies</w:t>
      </w:r>
      <w:proofErr w:type="spellEnd"/>
      <w:r w:rsidRPr="00E25679">
        <w:t>» (Manual de estrategias de desarrollo territorial y local) y «</w:t>
      </w:r>
      <w:proofErr w:type="spellStart"/>
      <w:r w:rsidRPr="00E25679">
        <w:t>Handbook</w:t>
      </w:r>
      <w:proofErr w:type="spellEnd"/>
      <w:r w:rsidRPr="00E25679">
        <w:t xml:space="preserve"> of </w:t>
      </w:r>
      <w:proofErr w:type="spellStart"/>
      <w:r w:rsidRPr="00E25679">
        <w:t>Sustainable</w:t>
      </w:r>
      <w:proofErr w:type="spellEnd"/>
      <w:r w:rsidRPr="00E25679">
        <w:t xml:space="preserve"> </w:t>
      </w:r>
      <w:proofErr w:type="spellStart"/>
      <w:r w:rsidRPr="00E25679">
        <w:t>Urban</w:t>
      </w:r>
      <w:proofErr w:type="spellEnd"/>
      <w:r w:rsidRPr="00E25679">
        <w:t xml:space="preserve"> </w:t>
      </w:r>
      <w:proofErr w:type="spellStart"/>
      <w:r w:rsidRPr="00E25679">
        <w:t>Development</w:t>
      </w:r>
      <w:proofErr w:type="spellEnd"/>
      <w:r w:rsidRPr="00E25679">
        <w:t xml:space="preserve"> </w:t>
      </w:r>
      <w:proofErr w:type="spellStart"/>
      <w:r w:rsidRPr="00E25679">
        <w:t>Strategies</w:t>
      </w:r>
      <w:proofErr w:type="spellEnd"/>
      <w:r w:rsidRPr="00E25679">
        <w:t>» (Manual de estrategias de desarrollo urbano sostenible) como guías para todos los niveles administrativos para el diseño, la aplicación y el seguimiento de las estrategias de desarrollo territorial y local, incluidas las estrategias de desarrollo urbano; considera necesario fomentar la difusión de buenas prácticas de desarrollo territorial para garantizar que los proyectos sean eficaces y sostenibles; lamenta, no obstante, la publicación tardía de estos manuales y anima a la Comisión a que elabore directrices oportunas para simplificar el proceso de elaboración de los programas; destaca la necesidad de ofrecer más orientación y una mayor flexibilidad a los Estados miembros sobre la aplicación del OP 5 «Una Europa más cercana a los ciudadanos» y las acciones para lograrlo, así como de armonizarlas con las establecidas en la TA2030 y crear incentivos para asignar más financiación al OP 5;</w:t>
      </w:r>
    </w:p>
    <w:p w:rsidR="00F57438" w:rsidRPr="00E25679" w:rsidRDefault="00F57438" w:rsidP="00F57438">
      <w:pPr>
        <w:pStyle w:val="NormalHanging12a"/>
      </w:pPr>
      <w:r w:rsidRPr="00E25679">
        <w:t>5.</w:t>
      </w:r>
      <w:r w:rsidRPr="00E25679">
        <w:tab/>
        <w:t>Pide a los Estados miembros que promuevan una ordenación del territorio estratégica que tenga en cuenta los territorios en su conjunto más allá de las áreas metropolitanas, áreas urbanas y áreas urbanas funcionales; pide, además, a los Estados miembros que refuercen los vínculos entre zonas rurales y urbanas como medio para lograr un desarrollo territorial más equilibrado en toda la Unión y que consideren la planificación y aplicación transfronterizas a través de enfoques ascendentes, como el desarrollo local participativo y la inversión territorial integrada;</w:t>
      </w:r>
    </w:p>
    <w:p w:rsidR="00F57438" w:rsidRPr="00E25679" w:rsidRDefault="00F57438" w:rsidP="00F57438">
      <w:pPr>
        <w:pStyle w:val="NormalHanging12a"/>
        <w:rPr>
          <w:szCs w:val="24"/>
        </w:rPr>
      </w:pPr>
      <w:r w:rsidRPr="00E25679">
        <w:t>6.</w:t>
      </w:r>
      <w:r w:rsidRPr="00E25679">
        <w:tab/>
        <w:t>Pide a la Comisión y al Consejo que destinen fondos a las zonas rurales y a las regiones que padecen desventajas naturales o demográficas graves y permanentes igual que en el caso de los programas de la Agenda Urbana, a los que deben destinarse como mínimo el 8 % de los fondos de la política de cohesión; señala que estos fondos deben utilizarse predominantemente a través de instrumentos de desarrollo territorial integrado;</w:t>
      </w:r>
    </w:p>
    <w:p w:rsidR="00F57438" w:rsidRPr="00E25679" w:rsidRDefault="00F57438" w:rsidP="00F57438">
      <w:pPr>
        <w:pStyle w:val="NormalHanging12a"/>
        <w:rPr>
          <w:szCs w:val="24"/>
        </w:rPr>
      </w:pPr>
      <w:r w:rsidRPr="00E25679">
        <w:t>7.</w:t>
      </w:r>
      <w:r w:rsidRPr="00E25679">
        <w:tab/>
        <w:t xml:space="preserve">Tiene en cuenta las capacidades demostradas por los entes locales y regionales en la ejecución y gestión de los instrumentos territoriales y considera necesario un cambio de paradigma en cuanto a la participación de los entes locales y regionales en la planificación, ejecución y gestión de los instrumentos territoriales; pide una aplicación efectiva del principio de asociación y una consulta en profundidad con las autoridades y otras partes interesadas locales y regionales antes de definir las medidas de inversión territorial integrada y desarrollo local participativo; destaca la importancia del enfoque ascendente del desarrollo territorial y de empoderar al mismo tiempo a los ciudadanos para que asuman la responsabilidad del desarrollo de sus territorios; </w:t>
      </w:r>
    </w:p>
    <w:p w:rsidR="00F57438" w:rsidRPr="00E25679" w:rsidRDefault="00F57438" w:rsidP="00F57438">
      <w:pPr>
        <w:pStyle w:val="NormalHanging12a"/>
      </w:pPr>
      <w:r w:rsidRPr="00E25679">
        <w:t>8.</w:t>
      </w:r>
      <w:r w:rsidRPr="00E25679">
        <w:tab/>
        <w:t xml:space="preserve">Pide que las estrategias de desarrollo territorial o local financiadas por más de un programa se fusionen en una única vía, de conformidad con el artículo 28 del RDC, y con el apoyo de la Comisión en caso necesario, para evitar retrasos y obstáculos administrativos; acoge con satisfacción la posibilidad, introducida en el período de programación 2021-2027, de designar un fondo principal para estrategias financiadas </w:t>
      </w:r>
      <w:r w:rsidRPr="00E25679">
        <w:lastRenderedPageBreak/>
        <w:t>por más de un fondo;</w:t>
      </w:r>
    </w:p>
    <w:p w:rsidR="00F57438" w:rsidRPr="00E25679" w:rsidRDefault="00F57438" w:rsidP="00F57438">
      <w:pPr>
        <w:pStyle w:val="NormalHanging12a"/>
        <w:widowControl/>
        <w:rPr>
          <w:szCs w:val="24"/>
        </w:rPr>
      </w:pPr>
      <w:r w:rsidRPr="00E25679">
        <w:t>9.</w:t>
      </w:r>
      <w:r w:rsidRPr="00E25679">
        <w:tab/>
        <w:t>Observa que los instrumentos territoriales —como el desarrollo local participativo y las inversiones territoriales integradas— constituyen medidas probadas para acercar la Unión Europea a los ciudadanos; observa que los datos de STRAT-</w:t>
      </w:r>
      <w:proofErr w:type="spellStart"/>
      <w:r w:rsidRPr="00E25679">
        <w:t>Board</w:t>
      </w:r>
      <w:proofErr w:type="spellEnd"/>
      <w:r w:rsidRPr="00E25679">
        <w:t xml:space="preserve"> para el período 2014-2020 muestran que los planes de desarrollo local participativo desempeñaron un papel importante en la elaboración de estrategias territoriales y ponen de manifiesto el gran interés a nivel local por participar activamente en el desarrollo de estas estrategias; pide a los Estados miembros y a la Comisión que simplifiquen la gestión administrativa de los fondos, especialmente en los casos en los que los planes de desarrollo local participativo se financian con cargo a más de un fondo; hace hincapié en que las inversiones territoriales integradas son la principal herramienta utilizada por los Estados miembros con una mayor asignación de fondos del FEDER, ya que pueden absorber rápidamente los importes y son capaces de cubrir varios ejes principales presentes en uno o varios programas;</w:t>
      </w:r>
    </w:p>
    <w:p w:rsidR="00F57438" w:rsidRPr="00E25679" w:rsidRDefault="00F57438" w:rsidP="00F57438">
      <w:pPr>
        <w:pStyle w:val="NormalHanging12a"/>
        <w:widowControl/>
      </w:pPr>
      <w:r w:rsidRPr="00E25679">
        <w:t>10.</w:t>
      </w:r>
      <w:r w:rsidRPr="00E25679">
        <w:tab/>
        <w:t>Subraya la clara distinción que existe entre los Estados miembros que están comprometidos con el desarrollo de inversiones territoriales integradas o planes de desarrollo local participativo y los que no lo están; pide a la Comisión que aclare esta diferenciación con el fin de evitar disparidades geográficas y que prevea un apoyo técnico adaptado para los Estados miembros que no hayan hecho uso de estas herramientas territoriales; anima a todos los Estados miembros a que hagan un mayor uso del desarrollo territorial integrado, tal como se define en el artículo 28 del RDC, y a que garantice el respeto de la asociación, tal como se define en el artículo 8 del RDC; considera que los instrumentos de desarrollo territorial integrado deben ser obligatorios para los Estados miembros;</w:t>
      </w:r>
    </w:p>
    <w:p w:rsidR="00F57438" w:rsidRPr="00E25679" w:rsidRDefault="00F57438" w:rsidP="00F57438">
      <w:pPr>
        <w:pStyle w:val="NormalHanging12a"/>
        <w:rPr>
          <w:szCs w:val="24"/>
        </w:rPr>
      </w:pPr>
      <w:r w:rsidRPr="00E25679">
        <w:t>11.</w:t>
      </w:r>
      <w:r w:rsidRPr="00E25679">
        <w:tab/>
        <w:t xml:space="preserve">Acoge con satisfacción las simplificaciones técnicas en materia de desarrollo territorial introducidas en el período de programación 2021-2027; pide, no obstante, a la Comisión y a los Estados miembros que limiten al estricto mínimo las reglamentaciones administrativas adicionales necesarias y que se centren más en la proporcionalidad, ya que los proyectos pequeños conllevan actualmente unas cargas administrativas (para los beneficiarios) y unos costes administrativos (para las autoridades de los programas) proporcionalmente mayores que los proyectos de mayor envergadura; </w:t>
      </w:r>
    </w:p>
    <w:p w:rsidR="00F57438" w:rsidRPr="00E25679" w:rsidRDefault="00F57438" w:rsidP="00F57438">
      <w:pPr>
        <w:pStyle w:val="NormalHanging12a"/>
      </w:pPr>
      <w:r w:rsidRPr="00E25679">
        <w:t>12.</w:t>
      </w:r>
      <w:r w:rsidRPr="00E25679">
        <w:tab/>
        <w:t>Considera que la TA2030 es un instrumento real y adecuado destinado a reducir la dimensión espacial de las desigualdades y garantizar la cohesión de la Unión a través de la gestión de cada una de sus regiones con sus respectivas particularidades; considera, por tanto, que las sociedades y los territorios deben participar más en el reconocimiento de la importancia de esta Agenda; pide a la Comisión que modifique el papel de la TA2030 de modo que vaya más allá del de una guía de gestión territorial;</w:t>
      </w:r>
    </w:p>
    <w:p w:rsidR="00F57438" w:rsidRPr="00E25679" w:rsidRDefault="00F57438" w:rsidP="00F57438">
      <w:pPr>
        <w:pStyle w:val="NormalHanging12a"/>
      </w:pPr>
      <w:r w:rsidRPr="00E25679">
        <w:t>13.</w:t>
      </w:r>
      <w:r w:rsidRPr="00E25679">
        <w:tab/>
        <w:t>Observa que la TA2030 no solo aboga por respuestas políticas de base local a los retos territoriales, sino que también ofrece una visión y ambición para el objetivo de cohesión territorial a través de una mayor participación de los entes locales y regionales y de los ciudadanos;</w:t>
      </w:r>
    </w:p>
    <w:p w:rsidR="00F57438" w:rsidRPr="00E25679" w:rsidRDefault="00F57438" w:rsidP="00F57438">
      <w:pPr>
        <w:pStyle w:val="NormalHanging12a"/>
      </w:pPr>
      <w:r w:rsidRPr="00E25679">
        <w:t>14.</w:t>
      </w:r>
      <w:r w:rsidRPr="00E25679">
        <w:tab/>
        <w:t xml:space="preserve">Destaca que, aunque la financiación múltiple es uno de los principales objetivos de las herramientas territoriales integradas, las conclusiones actuales muestran que el uso de la financiación múltiple puede seguir resultando difícil en algunos países, especialmente porque en el período actual el Feader (desarrollo rural) ya no está incluido en el RDC y, </w:t>
      </w:r>
      <w:r w:rsidRPr="00E25679">
        <w:lastRenderedPageBreak/>
        <w:t>por tanto, serían necesarias medidas adicionales y específicas para armonizar las normas del Feader y de otros fondos de la política de cohesión (es decir, utilizar diferentes fondos de la Unión para proyectos integrados a nivel local que aborden varios objetivos políticos);</w:t>
      </w:r>
    </w:p>
    <w:p w:rsidR="00F57438" w:rsidRPr="00E25679" w:rsidRDefault="00F57438" w:rsidP="00F57438">
      <w:pPr>
        <w:pStyle w:val="NormalHanging12a"/>
      </w:pPr>
      <w:r w:rsidRPr="00E25679">
        <w:t>15.</w:t>
      </w:r>
      <w:r w:rsidRPr="00E25679">
        <w:tab/>
        <w:t>Pide a los Estados miembros que promuevan activamente la incorporación de la perspectiva de género en la preparación y aplicación de los proyectos piloto de la TA2030 sobre el terreno;</w:t>
      </w:r>
    </w:p>
    <w:p w:rsidR="00F57438" w:rsidRPr="00E25679" w:rsidRDefault="00F57438" w:rsidP="00F57438">
      <w:pPr>
        <w:pStyle w:val="NormalHanging12a"/>
        <w:widowControl/>
      </w:pPr>
      <w:r w:rsidRPr="00E25679">
        <w:t>16.</w:t>
      </w:r>
      <w:r w:rsidRPr="00E25679">
        <w:tab/>
        <w:t>Subraya que una renta y una calidad de vida justas y dignas para los ciudadanos y sus familias en las zonas rurales son esenciales para garantizar el progreso social y un desarrollo territorial y local satisfactorio; insiste en la necesidad de garantizar a todas las personas unas condiciones de vida y de trabajo dignas, así como la protección social;</w:t>
      </w:r>
    </w:p>
    <w:p w:rsidR="00F57438" w:rsidRPr="00E25679" w:rsidRDefault="00F57438" w:rsidP="00F57438">
      <w:pPr>
        <w:pStyle w:val="NormalHanging12a"/>
      </w:pPr>
      <w:r w:rsidRPr="00E25679">
        <w:t>17.</w:t>
      </w:r>
      <w:r w:rsidRPr="00E25679">
        <w:tab/>
        <w:t>Destaca la importancia de mejorar la coherencia de las políticas y de aplicar una verificación rural de las futuras iniciativas de desarrollo territorial integrado y otras iniciativas pertinentes de la Unión para evaluar la coherencia y complementariedad de las políticas de la Unión y su posible impacto en las zonas rurales, evitando así eficazmente la despoblación rural y facilitando el relevo generacional, el acceso en condiciones de igualdad a servicios esenciales de calidad y la creación de empleo en las zonas rurales; destaca la importancia del mecanismo de verificación rural, también cuando los Estados miembros evalúan el impacto de la legislación propuesta en las zonas rurales; insiste en la importancia de fomentar la participación de las autoridades locales y regionales en la definición y aplicación de los mecanismos de verificación rural, así como en su gobernanza, tanto a escala de la Unión como nacional, para luchar contra la exclusión social relacionada con el transporte y mejorar la accesibilidad territorial de las zonas en cuestión a fin de mejorar la cooperación transfronteriza y entre zonas rurales y urbanas, el acceso a internet de banda ancha y a servicios adecuados —en particular sanitarios y educativos— e impulsar la diversificación de la economía rural y la revitalización de las zonas rurales para así aumentar el atractivo de estas zonas y garantizar un futuro sostenible para sus comunidades;</w:t>
      </w:r>
    </w:p>
    <w:p w:rsidR="00F57438" w:rsidRPr="00E25679" w:rsidRDefault="00F57438" w:rsidP="00F57438">
      <w:pPr>
        <w:pStyle w:val="NormalHanging12a"/>
        <w:rPr>
          <w:szCs w:val="24"/>
        </w:rPr>
      </w:pPr>
      <w:r w:rsidRPr="00E25679">
        <w:t>18.</w:t>
      </w:r>
      <w:r w:rsidRPr="00E25679">
        <w:tab/>
        <w:t>Subraya que las acciones de la TA2030 deben desempeñar un papel central en los acuerdos de asociación y los programas operativos; destaca que estas acciones deben ser más decisivas en cuanto a la asignación de fondos y a la necesidad de promover la integración de la TA2030 en las políticas de la Unión, centrándose en los niveles de gobernanza más pegados al terreno; considera que en el futuro marco financiero plurianual se debe dotar a la TA2030 de una financiación adecuada y una metodología de asignación;</w:t>
      </w:r>
    </w:p>
    <w:p w:rsidR="00F57438" w:rsidRPr="00E25679" w:rsidRDefault="00F57438" w:rsidP="00F57438">
      <w:pPr>
        <w:pStyle w:val="NormalHanging12a"/>
        <w:rPr>
          <w:szCs w:val="24"/>
        </w:rPr>
      </w:pPr>
      <w:r w:rsidRPr="00E25679">
        <w:t>19.</w:t>
      </w:r>
      <w:r w:rsidRPr="00E25679">
        <w:tab/>
        <w:t>Destaca que es esencial incluir las prioridades y los objetivos de la TA2030 en los instrumentos legislativos y los programas de los fondos de la política de cohesión, que deben adaptarse a cada territorio; acoge con satisfacción las acciones piloto de la TA2030 que se han desarrollado y pide a los Estados miembros y a la Comisión que sigan invirtiendo en estas acciones, mejorando su equilibrio geográfico y coordinándolas mejor con los principios de dicha Agenda;</w:t>
      </w:r>
    </w:p>
    <w:p w:rsidR="00F57438" w:rsidRPr="00E25679" w:rsidRDefault="00F57438" w:rsidP="00F57438">
      <w:pPr>
        <w:pStyle w:val="NormalHanging12a"/>
        <w:rPr>
          <w:szCs w:val="24"/>
        </w:rPr>
      </w:pPr>
      <w:r w:rsidRPr="00E25679">
        <w:t>20.</w:t>
      </w:r>
      <w:r w:rsidRPr="00E25679">
        <w:tab/>
        <w:t xml:space="preserve">Subraya la necesidad de que el Parlamento —en particular su Comisión de Desarrollo Regional, competente en la materia— participe en las acciones piloto, con el fin de garantizar que estén en consonancia con las prioridades actuales de la Unión, y promueva y comunique los resultados de las acciones piloto a escala de la Unión, </w:t>
      </w:r>
      <w:r w:rsidRPr="00E25679">
        <w:lastRenderedPageBreak/>
        <w:t>integrándolas y coordinándolas con iniciativas como la política de cohesión, en particular el FEDER e Interreg;</w:t>
      </w:r>
    </w:p>
    <w:p w:rsidR="00F57438" w:rsidRPr="00E25679" w:rsidRDefault="00F57438" w:rsidP="00F57438">
      <w:pPr>
        <w:pStyle w:val="NormalHanging12a"/>
      </w:pPr>
      <w:r w:rsidRPr="00E25679">
        <w:t>21.</w:t>
      </w:r>
      <w:r w:rsidRPr="00E25679">
        <w:tab/>
        <w:t>Pide una estrategia para facilitar las sinergias entre los distintos fondos de la Unión para proyectos ejecutados a través de instrumentos territoriales y para simplificar los trámites administrativos en el caso de las acciones piloto financiadas por más de un fondo a fin de reducir los obstáculos administrativos y facilitar las solicitudes de dichos proyectos;</w:t>
      </w:r>
    </w:p>
    <w:p w:rsidR="00F57438" w:rsidRPr="00E25679" w:rsidRDefault="00F57438" w:rsidP="00F57438">
      <w:pPr>
        <w:pStyle w:val="NormalHanging12a"/>
      </w:pPr>
      <w:r w:rsidRPr="00E25679">
        <w:t>22.</w:t>
      </w:r>
      <w:r w:rsidRPr="00E25679">
        <w:tab/>
        <w:t>Considera que las empresas podrían desempeñar un papel clave en las estrategias de desarrollo territorial; pide a la Comisión que favorezca sistemas de colaboración entre las empresas y las autoridades locales y regionales con el fin de elaborar proyectos de desarrollo territorial que fomenten la creación de empleo y el crecimiento económico;</w:t>
      </w:r>
    </w:p>
    <w:p w:rsidR="00F57438" w:rsidRPr="00E25679" w:rsidRDefault="00F57438" w:rsidP="00F57438">
      <w:pPr>
        <w:pStyle w:val="NormalHanging12a"/>
        <w:rPr>
          <w:szCs w:val="24"/>
        </w:rPr>
      </w:pPr>
      <w:r w:rsidRPr="00E25679">
        <w:t>23.</w:t>
      </w:r>
      <w:r w:rsidRPr="00E25679">
        <w:tab/>
        <w:t>Señala el enorme potencial de la TA2030 y sus proyectos piloto actuales y futuros para abordar las muy diversas necesidades de las zonas no urbanas, que abarcan las zonas rurales, las zonas montañosas, las islas y las zonas costeras, las zonas remotas y escasamente pobladas y muchos otros tipos de territorios en los que coexiste una combinación de características urbanas y rurales; destaca, en particular, el hecho de que las zonas rurales a menudo se enfrentan a retos demográficos, baja densidad de población y limitaciones en el acceso a los servicios de interés general y en la calidad de los mismos y no siempre tienen capacidad para diseñar y aplicar soluciones innovadoras, por lo que pueden beneficiarse enormemente del intercambio de buenas prácticas;</w:t>
      </w:r>
    </w:p>
    <w:p w:rsidR="00F57438" w:rsidRPr="00E25679" w:rsidRDefault="00F57438" w:rsidP="00F57438">
      <w:pPr>
        <w:pStyle w:val="NormalHanging12a"/>
        <w:rPr>
          <w:szCs w:val="24"/>
        </w:rPr>
      </w:pPr>
      <w:r w:rsidRPr="00E25679">
        <w:t>24.</w:t>
      </w:r>
      <w:r w:rsidRPr="00E25679">
        <w:tab/>
        <w:t>Subraya la necesidad de una mayor difusión de las acciones y los logros de los proyectos piloto como ejemplos de la ejecución de los fondos de la Unión; apoya la idea de una conferencia bienal para mostrar las acciones piloto a los entes locales y regionales, así como a los agentes pertinentes a escala nacional y de la Unión, vinculándola con otros eventos como los organizados en el marco del Pacto Rural o el Foro de Ciudades;</w:t>
      </w:r>
    </w:p>
    <w:p w:rsidR="00F57438" w:rsidRPr="00E25679" w:rsidRDefault="00F57438" w:rsidP="00F57438">
      <w:pPr>
        <w:pStyle w:val="NormalHanging12a"/>
      </w:pPr>
      <w:r w:rsidRPr="00E25679">
        <w:t>25.</w:t>
      </w:r>
      <w:r w:rsidRPr="00E25679">
        <w:tab/>
        <w:t>Pide a los Estados miembros que elaboren sus agendas territoriales en consonancia con la TA2030 como base para programar sus estrategias territoriales, teniendo en cuenta las especificidades y las necesidades extremadamente diversas de cada una de sus regiones y a modo de incentivo, además de para estimular el proceso de toma de decisiones y el diseño de las políticas territoriales y urbanas; pide también a los Estados miembros que permitan diferentes estrategias territoriales para todas las regiones de la Unión, incluidas las zonas rurales, las zonas afectadas por una transición industrial, las regiones que padecen desventajas naturales o demográficas graves y permanentes como, por ejemplo, las regiones más septentrionales y aquellas de muy baja densidad demográfica, las islas, las regiones transfronterizas y las regiones montañosas;</w:t>
      </w:r>
    </w:p>
    <w:p w:rsidR="00F57438" w:rsidRPr="00E25679" w:rsidRDefault="00F57438" w:rsidP="00F57438">
      <w:pPr>
        <w:pStyle w:val="NormalHanging12a"/>
      </w:pPr>
      <w:r w:rsidRPr="00E25679">
        <w:t>26.</w:t>
      </w:r>
      <w:r w:rsidRPr="00E25679">
        <w:tab/>
        <w:t>Destaca que el buen funcionamiento de las estructuras de gobernanza puede determinar la combinación óptima de prioridades de inversión con el fin de lograr la coordinación vertical y horizontal multinivel necesaria para diseñar y aplicar estrategias de desarrollo integradas;</w:t>
      </w:r>
    </w:p>
    <w:p w:rsidR="00F57438" w:rsidRPr="00E25679" w:rsidRDefault="00F57438" w:rsidP="00F57438">
      <w:pPr>
        <w:pStyle w:val="NormalHanging12a"/>
      </w:pPr>
      <w:r w:rsidRPr="00E25679">
        <w:t>27.</w:t>
      </w:r>
      <w:r w:rsidRPr="00E25679">
        <w:tab/>
        <w:t xml:space="preserve">Pide a los Estados miembros y a la Comisión que promuevan la aplicación de la TA2030 más allá de las acciones piloto y hagan de este instrumento un marco de acción de referencia que proporcione directrices concretas y adaptadas para que los territorios de la Unión mejoren sus resultados; destaca la oportunidad de vincular la financiación </w:t>
      </w:r>
      <w:r w:rsidRPr="00E25679">
        <w:lastRenderedPageBreak/>
        <w:t>regional a la consecución de las prioridades de la TA2030 y pide a la Comisión que desarrolle indicadores de seguimiento que vinculen la TA2030 con el uso de los fondos de la política de cohesión, en particular el FEDER;</w:t>
      </w:r>
    </w:p>
    <w:p w:rsidR="00F57438" w:rsidRPr="00E25679" w:rsidRDefault="00F57438" w:rsidP="00F57438">
      <w:pPr>
        <w:pStyle w:val="NormalHanging12a"/>
      </w:pPr>
      <w:r w:rsidRPr="00E25679">
        <w:t>28.</w:t>
      </w:r>
      <w:r w:rsidRPr="00E25679">
        <w:tab/>
        <w:t>Reitera la necesidad de reforzar urgentemente la política de la Unión en materia de mitigación y adaptación al cambio climático, también a la luz de la tendencia al aumento de los fenómenos meteorológicos extremos en la Unión en los últimos años y meses; pide, por tanto, a las autoridades públicas que prosigan la lucha contra el cambio climático; destaca, en este contexto, la necesidad de aumentar la ambición y la calidad de los proyectos piloto en el marco del objetivo «Una Europa ecológica» y de su primera prioridad («entorno sano»); destaca que el desarrollo territorial es fundamental para construir regiones resilientes y garantizar una ejecución sostenible de la financiación de la política de cohesión;</w:t>
      </w:r>
    </w:p>
    <w:p w:rsidR="00F57438" w:rsidRPr="00E25679" w:rsidRDefault="00F57438" w:rsidP="00B4404D">
      <w:pPr>
        <w:pStyle w:val="NormalHanging12a"/>
      </w:pPr>
      <w:r w:rsidRPr="00E25679">
        <w:t>29.</w:t>
      </w:r>
      <w:r w:rsidRPr="00E25679">
        <w:tab/>
        <w:t>Acoge favorablemente la propuesta del Comité Económico y Social Europeo de promover una Carta europea de derechos y responsabilidades rurales y urbanos; expresa asimismo su convicción de que hace falta aumentar la cooperación con las zonas urbanas para garantizar que ninguna persona ni ciudadano se quede atrás en la transición justa hacia una Unión Europea climáticamente neutra, sostenible y próspera, velando por lograr un compromiso rural y urbano respecto de un enfoque justo y mostrando el valor añadido que aportan las organizaciones rurales y urbanas al trabajar conjuntamente;</w:t>
      </w:r>
    </w:p>
    <w:p w:rsidR="00F57438" w:rsidRPr="00E25679" w:rsidRDefault="00F57438" w:rsidP="00F57438">
      <w:pPr>
        <w:pStyle w:val="NormalHanging12a"/>
      </w:pPr>
      <w:r w:rsidRPr="00E25679">
        <w:t>30.</w:t>
      </w:r>
      <w:r w:rsidRPr="00E25679">
        <w:tab/>
        <w:t>Subraya la necesidad de garantizar un desarrollo más equilibrado de las regiones de la Unión garantizando una mejor distribución —entre los Estados miembros y en cada uno de ellos— de los fondos de la Unión, incluida la ayuda de la política agrícola común; hace hincapié en que es imposible lograr un desarrollo territorial sostenible y a largo plazo si el apoyo se asigna a diferentes regiones sobre la base de datos históricos;</w:t>
      </w:r>
    </w:p>
    <w:p w:rsidR="00F57438" w:rsidRPr="00E25679" w:rsidRDefault="00F57438" w:rsidP="00F57438">
      <w:pPr>
        <w:pStyle w:val="NormalHanging12a"/>
      </w:pPr>
      <w:r w:rsidRPr="00E25679">
        <w:t>31.</w:t>
      </w:r>
      <w:r w:rsidRPr="00E25679">
        <w:tab/>
        <w:t>Señala que cada vez más personas optan por vivir en ciudades y trabajar en zonas rurales; pide a la Comisión que diseñe programas que tengan en cuenta todos los territorios, incluidas las áreas metropolitanas, urbanas y funcionales; animar a la Comisión a diseñar Leader de manera que permita su utilización por ciudades pequeñas;</w:t>
      </w:r>
    </w:p>
    <w:p w:rsidR="00F57438" w:rsidRPr="00E25679" w:rsidRDefault="00F57438" w:rsidP="00F57438">
      <w:pPr>
        <w:pStyle w:val="NormalHanging12a"/>
      </w:pPr>
      <w:r w:rsidRPr="00E25679">
        <w:t>32.</w:t>
      </w:r>
      <w:r w:rsidRPr="00E25679">
        <w:tab/>
        <w:t>Pide a la Comisión que vincule la experiencia adquirida en la ejecución de la Agenda Territorial 2030 con la futura política de cohesión y con las recomendaciones del Grupo de Alto Nivel sobre el Futuro de la Política de Cohesión, con el fin de superar más eficazmente los desequilibrios territoriales y los desajustes funcionales; señala la oportunidad que ofrece la Agenda Territorial 2030 como instrumento para evaluar el impacto de la política de cohesión en lo que atañe al objetivo de cohesión territorial;</w:t>
      </w:r>
    </w:p>
    <w:p w:rsidR="00F57438" w:rsidRPr="00E25679" w:rsidRDefault="00F57438" w:rsidP="00F57438">
      <w:pPr>
        <w:pStyle w:val="NormalHanging12a"/>
        <w:rPr>
          <w:szCs w:val="24"/>
        </w:rPr>
      </w:pPr>
      <w:r w:rsidRPr="00E25679">
        <w:t>33.</w:t>
      </w:r>
      <w:r w:rsidRPr="00E25679">
        <w:tab/>
        <w:t>Pide a la Comisión y a los Estados miembros que lleven a cabo antes del fin de 2024 una revisión coherente de la TA2030, que incluya una revisión exhaustiva de su sistema de gobernanza, los progresos realizados en la ejecución, así como la pertinencia de sus prioridades, tal como se indica en la TA2030;</w:t>
      </w:r>
    </w:p>
    <w:p w:rsidR="00F57438" w:rsidRPr="00E25679" w:rsidRDefault="00F57438" w:rsidP="00F57438">
      <w:pPr>
        <w:pStyle w:val="NormalHanging12a"/>
      </w:pPr>
      <w:r w:rsidRPr="00E25679">
        <w:t>34.</w:t>
      </w:r>
      <w:r w:rsidRPr="00E25679">
        <w:tab/>
        <w:t>Acoge con satisfacción el carácter vinculante de la metodología descrita en el «</w:t>
      </w:r>
      <w:proofErr w:type="spellStart"/>
      <w:r w:rsidRPr="00E25679">
        <w:t>Handbook</w:t>
      </w:r>
      <w:proofErr w:type="spellEnd"/>
      <w:r w:rsidRPr="00E25679">
        <w:t xml:space="preserve"> of territorial and local </w:t>
      </w:r>
      <w:proofErr w:type="spellStart"/>
      <w:r w:rsidRPr="00E25679">
        <w:t>development</w:t>
      </w:r>
      <w:proofErr w:type="spellEnd"/>
      <w:r w:rsidRPr="00E25679">
        <w:t xml:space="preserve"> </w:t>
      </w:r>
      <w:proofErr w:type="spellStart"/>
      <w:r w:rsidRPr="00E25679">
        <w:t>strategies</w:t>
      </w:r>
      <w:proofErr w:type="spellEnd"/>
      <w:r w:rsidRPr="00E25679">
        <w:t>» (Manual de estrategias de desarrollo territorial y local), que otorga a las políticas territoriales la misma importancia que a las políticas urbanas;</w:t>
      </w:r>
    </w:p>
    <w:p w:rsidR="00F57438" w:rsidRPr="00E25679" w:rsidRDefault="00F57438" w:rsidP="00F57438">
      <w:pPr>
        <w:pStyle w:val="NormalHanging12a"/>
      </w:pPr>
      <w:r w:rsidRPr="00E25679">
        <w:lastRenderedPageBreak/>
        <w:t>35.</w:t>
      </w:r>
      <w:r w:rsidRPr="00E25679">
        <w:tab/>
        <w:t>Pide un marco único para las estrategias destinadas tanto al desarrollo urbano como al desarrollo territorial más amplio, que aborde los requisitos territoriales como un todo; subraya que esto podría reducir significativamente las barreras burocráticas en la obtención de fondos;</w:t>
      </w:r>
    </w:p>
    <w:p w:rsidR="00F57438" w:rsidRPr="00E25679" w:rsidRDefault="00F57438" w:rsidP="00F57438">
      <w:pPr>
        <w:pStyle w:val="NormalHanging12a"/>
      </w:pPr>
      <w:r w:rsidRPr="00E25679">
        <w:t>36.</w:t>
      </w:r>
      <w:r w:rsidRPr="00E25679">
        <w:tab/>
        <w:t>Pide a la Comisión que garantice la correcta ejecución de los fondos y la aplicación de los instrumentos territoriales, favoreciendo una gestión eficiente sin una burocracia desproporcionada; subraya la necesidad de simplificar el acceso a los fondos mediante la detección de «ventanillas únicas» para beneficiarios potenciales de los fondos de cohesión de la Unión y proyectos de inversiones territoriales integradas o desarrollo local participativo, en particular para acceder a información sobre el tipo de financiación, los requisitos administrativos y los criterios de admisibilidad;</w:t>
      </w:r>
    </w:p>
    <w:p w:rsidR="00F57438" w:rsidRPr="00E25679" w:rsidRDefault="00F57438" w:rsidP="00F57438">
      <w:pPr>
        <w:pStyle w:val="NormalHanging12a"/>
        <w:widowControl/>
      </w:pPr>
      <w:r w:rsidRPr="00E25679">
        <w:t>37.</w:t>
      </w:r>
      <w:r w:rsidRPr="00E25679">
        <w:tab/>
        <w:t>Reconoce el papel del Consejo Europeo en el desarrollo de las actividades territoriales de los Estados miembros; pide a los Estados miembros que prevean recursos humanos suficientes tanto en los entes de gestión como en los organismos de ejecución encargados de las inversiones territoriales integradas o el desarrollo local participativo, con el fin de garantizar el apoyo técnico y el servicio de asesoramiento específico para los grupos de acción local y para los socios de las inversiones territoriales integradas a fin de hacer posible que se cumpla la normativa;</w:t>
      </w:r>
    </w:p>
    <w:p w:rsidR="00F57438" w:rsidRPr="00E25679" w:rsidRDefault="00F57438" w:rsidP="00F57438">
      <w:pPr>
        <w:pStyle w:val="NormalHanging12a"/>
      </w:pPr>
      <w:r w:rsidRPr="00E25679">
        <w:t>38.</w:t>
      </w:r>
      <w:r w:rsidRPr="00E25679">
        <w:tab/>
        <w:t>Pide a la Comisión que aumente su participación en la política territorial a través de la política de cohesión y que refuerce la gobernanza de las regiones con el fin de promover la cohesión y la microcohesión teniendo en cuenta las particularidades de cada región, mejorando la toma de decisiones a nivel local y regional y aplicando las herramientas existentes para mejorar la gestión de los instrumentos legislativos; pide, además, a la Comisión y a los Estados miembros que sigan apoyando los fondos de la política de cohesión con el fin de aumentar la resiliencia del desarrollo territorial, en particular para poder amortiguar los efectos de acontecimientos imprevistos, proteger a las regiones de las consecuencias y defender el principio de «no perjudicar a la cohesión»;</w:t>
      </w:r>
    </w:p>
    <w:p w:rsidR="00F57438" w:rsidRPr="00E25679" w:rsidRDefault="00F57438" w:rsidP="00F57438">
      <w:pPr>
        <w:pStyle w:val="NormalHanging12a"/>
        <w:rPr>
          <w:szCs w:val="24"/>
        </w:rPr>
      </w:pPr>
      <w:r w:rsidRPr="00E25679">
        <w:t>39.</w:t>
      </w:r>
      <w:r w:rsidRPr="00E25679">
        <w:tab/>
        <w:t xml:space="preserve">Es consciente de la repercusión de las decisiones del Semestre Europeo en la cohesión territorial y, por consiguiente, en la capacidad para desarrollar programas territoriales; reitera, por tanto, la necesidad de reforzar la dimensión territorial en el Semestre Europeo y mejorar la correlación entre la política de cohesión y la gobernanza económica europea, implicando a los entes locales y regionales en todas las fases de los procedimientos relacionados con el Semestre Europeo y las recomendaciones específicas por país; </w:t>
      </w:r>
    </w:p>
    <w:p w:rsidR="00F57438" w:rsidRPr="00E25679" w:rsidRDefault="00F57438" w:rsidP="00F57438">
      <w:pPr>
        <w:pStyle w:val="NormalHanging12a"/>
        <w:rPr>
          <w:szCs w:val="24"/>
        </w:rPr>
      </w:pPr>
      <w:r w:rsidRPr="00E25679">
        <w:t>40.</w:t>
      </w:r>
      <w:r w:rsidRPr="00E25679">
        <w:tab/>
        <w:t>Pide que el Comité Europeo de las Regiones y el Comité Económico y Social Europeo desempeñen un papel más activo en el seguimiento y el desarrollo de la TA2030; pide a la Comisión que lleve a cabo un estudio sobre la capacidad de cada región para amortiguar los futuros retos mundiales que afectan a la cohesión territorial; observa que esto proporcionaría una herramienta de respuesta rápida que permitiría una flexibilidad en la asignación o el refuerzo de los recursos en función de la situación en tiempo real de las regiones de la Unión;</w:t>
      </w:r>
    </w:p>
    <w:p w:rsidR="00F57438" w:rsidRPr="00E25679" w:rsidRDefault="00F57438" w:rsidP="00F57438">
      <w:pPr>
        <w:pStyle w:val="NormalHanging12a"/>
        <w:rPr>
          <w:szCs w:val="24"/>
        </w:rPr>
      </w:pPr>
      <w:r w:rsidRPr="00E25679">
        <w:t>41.</w:t>
      </w:r>
      <w:r w:rsidRPr="00E25679">
        <w:tab/>
        <w:t xml:space="preserve">Destaca la importancia de las herramientas territoriales en términos de una participación creciente e inclusiva de la sociedad civil y los gobiernos locales y regionales; pide a la Comisión que estudie nuevas formas de aumentar la sensibilización sobre su justificación y de incrementar sustancialmente el uso de las inversiones territoriales </w:t>
      </w:r>
      <w:r w:rsidRPr="00E25679">
        <w:lastRenderedPageBreak/>
        <w:t>integradas y el desarrollo local participativo, también mediante la posible asignación de un porcentaje para su uso en el marco de la política de cohesión posterior a 2027;</w:t>
      </w:r>
    </w:p>
    <w:p w:rsidR="00F57438" w:rsidRPr="00E25679" w:rsidRDefault="00F57438" w:rsidP="00F57438">
      <w:pPr>
        <w:pStyle w:val="NormalHanging12a"/>
        <w:keepNext/>
        <w:widowControl/>
        <w:rPr>
          <w:szCs w:val="24"/>
        </w:rPr>
      </w:pPr>
      <w:r w:rsidRPr="00E25679">
        <w:t>42.</w:t>
      </w:r>
      <w:r w:rsidRPr="00E25679">
        <w:tab/>
        <w:t>Pide al Banco Europeo de Inversiones que aumente la dotación financiera prevista</w:t>
      </w:r>
      <w:bookmarkStart w:id="8" w:name="_GoBack"/>
      <w:bookmarkEnd w:id="8"/>
      <w:r w:rsidRPr="00E25679">
        <w:t xml:space="preserve"> para los fondos de la política de cohesión, dedicados a salvaguardar el equilibrio y el correcto funcionamiento de las regiones; </w:t>
      </w:r>
    </w:p>
    <w:p w:rsidR="00F57438" w:rsidRPr="00E25679" w:rsidRDefault="00F57438" w:rsidP="00F57438">
      <w:pPr>
        <w:pStyle w:val="NormalHanging12a"/>
      </w:pPr>
      <w:r w:rsidRPr="00E25679">
        <w:t>43.</w:t>
      </w:r>
      <w:r w:rsidRPr="00E25679">
        <w:tab/>
        <w:t xml:space="preserve">Encarga a su presidenta que transmita la presente Resolución al Consejo, a la Comisión, así como a los Parlamentos nacionales y regionales de los Estados miembros. </w:t>
      </w:r>
    </w:p>
    <w:sectPr w:rsidR="00F57438" w:rsidRPr="00E25679" w:rsidSect="00E256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7C0" w:rsidRPr="00E25679" w:rsidRDefault="005507C0">
      <w:r w:rsidRPr="00E25679">
        <w:separator/>
      </w:r>
    </w:p>
  </w:endnote>
  <w:endnote w:type="continuationSeparator" w:id="0">
    <w:p w:rsidR="005507C0" w:rsidRPr="00E25679" w:rsidRDefault="005507C0">
      <w:r w:rsidRPr="00E256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6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6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6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7C0" w:rsidRPr="00E25679" w:rsidRDefault="005507C0">
      <w:r w:rsidRPr="00E25679">
        <w:separator/>
      </w:r>
    </w:p>
  </w:footnote>
  <w:footnote w:type="continuationSeparator" w:id="0">
    <w:p w:rsidR="005507C0" w:rsidRPr="00E25679" w:rsidRDefault="005507C0">
      <w:r w:rsidRPr="00E25679">
        <w:continuationSeparator/>
      </w:r>
    </w:p>
  </w:footnote>
  <w:footnote w:id="1">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00DD25A5" w:rsidRPr="00B4404D">
        <w:rPr>
          <w:sz w:val="24"/>
          <w:szCs w:val="24"/>
        </w:rPr>
        <w:t>DO L 231 de 30.6.2021, p. 159</w:t>
      </w:r>
      <w:r w:rsidRPr="00B4404D">
        <w:rPr>
          <w:sz w:val="24"/>
          <w:szCs w:val="24"/>
          <w:lang w:val="es-ES_tradnl"/>
        </w:rPr>
        <w:t>.</w:t>
      </w:r>
    </w:p>
  </w:footnote>
  <w:footnote w:id="2">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00DD25A5" w:rsidRPr="00B4404D">
        <w:rPr>
          <w:sz w:val="24"/>
          <w:szCs w:val="24"/>
        </w:rPr>
        <w:t>DO L 231 de 30.6.2021, p. 60</w:t>
      </w:r>
      <w:r w:rsidRPr="00B4404D">
        <w:rPr>
          <w:sz w:val="24"/>
          <w:szCs w:val="24"/>
          <w:lang w:val="es-ES_tradnl"/>
        </w:rPr>
        <w:t>.</w:t>
      </w:r>
    </w:p>
  </w:footnote>
  <w:footnote w:id="3">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00DD25A5" w:rsidRPr="00B4404D">
        <w:rPr>
          <w:sz w:val="24"/>
          <w:szCs w:val="24"/>
        </w:rPr>
        <w:t>DO L 231 de 30.6.2021, p. 94</w:t>
      </w:r>
      <w:r w:rsidRPr="00B4404D">
        <w:rPr>
          <w:sz w:val="24"/>
          <w:szCs w:val="24"/>
          <w:lang w:val="es-ES_tradnl"/>
        </w:rPr>
        <w:t>.</w:t>
      </w:r>
    </w:p>
  </w:footnote>
  <w:footnote w:id="4">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L 231 de 30.6.2021, p. 1.</w:t>
      </w:r>
    </w:p>
  </w:footnote>
  <w:footnote w:id="5">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L 435 de 6.12.2021, p. 1.</w:t>
      </w:r>
    </w:p>
  </w:footnote>
  <w:footnote w:id="6">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L 437 de 28.12.2020, p. 1.</w:t>
      </w:r>
    </w:p>
  </w:footnote>
  <w:footnote w:id="7">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L 347 de 20.12.2013, p. 320.</w:t>
      </w:r>
    </w:p>
  </w:footnote>
  <w:footnote w:id="8">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C 125 de 5.4.2023, p. 56.</w:t>
      </w:r>
    </w:p>
  </w:footnote>
  <w:footnote w:id="9">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C 177 de 17.5.2023, p. 35.</w:t>
      </w:r>
    </w:p>
  </w:footnote>
  <w:footnote w:id="10">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C 125 de 5.4.2023, p. 100.</w:t>
      </w:r>
    </w:p>
  </w:footnote>
  <w:footnote w:id="11">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C 342 de 6.9.2022, p. 2.</w:t>
      </w:r>
    </w:p>
  </w:footnote>
  <w:footnote w:id="12">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C 15 de 12.1.2022, p. 125.</w:t>
      </w:r>
    </w:p>
  </w:footnote>
  <w:footnote w:id="13">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C 494 de 8.12.2021, p. 26.</w:t>
      </w:r>
    </w:p>
  </w:footnote>
  <w:footnote w:id="14">
    <w:p w:rsidR="00F57438" w:rsidRPr="00B4404D" w:rsidRDefault="00F57438" w:rsidP="00E25679">
      <w:pPr>
        <w:pStyle w:val="FootnoteText1"/>
        <w:ind w:left="567" w:hanging="567"/>
        <w:jc w:val="left"/>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00DD25A5" w:rsidRPr="00B4404D">
        <w:rPr>
          <w:sz w:val="24"/>
          <w:szCs w:val="24"/>
        </w:rPr>
        <w:t>DO C 162 de 10.5.2019, p. 31</w:t>
      </w:r>
      <w:r w:rsidRPr="00B4404D">
        <w:rPr>
          <w:sz w:val="24"/>
          <w:szCs w:val="24"/>
          <w:lang w:val="es-ES_tradnl"/>
        </w:rPr>
        <w:t>.</w:t>
      </w:r>
    </w:p>
  </w:footnote>
  <w:footnote w:id="15">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DO C 429 de 11.12.2020, p. 145.</w:t>
      </w:r>
    </w:p>
  </w:footnote>
  <w:footnote w:id="16">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 xml:space="preserve">Análisis en profundidad «Territorial Agenda 2030 – </w:t>
      </w:r>
      <w:proofErr w:type="spellStart"/>
      <w:r w:rsidRPr="00B4404D">
        <w:rPr>
          <w:sz w:val="24"/>
          <w:szCs w:val="24"/>
          <w:lang w:val="es-ES_tradnl"/>
        </w:rPr>
        <w:t>Implementation</w:t>
      </w:r>
      <w:proofErr w:type="spellEnd"/>
      <w:r w:rsidRPr="00B4404D">
        <w:rPr>
          <w:sz w:val="24"/>
          <w:szCs w:val="24"/>
          <w:lang w:val="es-ES_tradnl"/>
        </w:rPr>
        <w:t xml:space="preserve"> </w:t>
      </w:r>
      <w:proofErr w:type="spellStart"/>
      <w:r w:rsidRPr="00B4404D">
        <w:rPr>
          <w:sz w:val="24"/>
          <w:szCs w:val="24"/>
          <w:lang w:val="es-ES_tradnl"/>
        </w:rPr>
        <w:t>Review</w:t>
      </w:r>
      <w:proofErr w:type="spellEnd"/>
      <w:r w:rsidRPr="00B4404D">
        <w:rPr>
          <w:sz w:val="24"/>
          <w:szCs w:val="24"/>
          <w:lang w:val="es-ES_tradnl"/>
        </w:rPr>
        <w:t>» (Agenda Territorial 2030: revisión de la ejecución), Parlamento Europeo, Dirección General de Políticas Interiores, Departamento Temático B – Políticas Estructurales y de Cohesión, 7 de junio de 2023.</w:t>
      </w:r>
    </w:p>
  </w:footnote>
  <w:footnote w:id="17">
    <w:p w:rsidR="00F57438" w:rsidRPr="00B4404D" w:rsidRDefault="00F57438" w:rsidP="00E25679">
      <w:pPr>
        <w:pStyle w:val="FootnoteText1"/>
        <w:ind w:left="567" w:hanging="567"/>
        <w:jc w:val="left"/>
        <w:rPr>
          <w:sz w:val="24"/>
          <w:szCs w:val="24"/>
          <w:u w:val="single"/>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 xml:space="preserve">Comisión Europea, </w:t>
      </w:r>
      <w:hyperlink r:id="rId1" w:history="1">
        <w:r w:rsidRPr="00B4404D">
          <w:rPr>
            <w:rStyle w:val="Hyperlink"/>
            <w:sz w:val="24"/>
            <w:szCs w:val="24"/>
            <w:lang w:val="es-ES_tradnl"/>
          </w:rPr>
          <w:t>«</w:t>
        </w:r>
        <w:proofErr w:type="spellStart"/>
        <w:r w:rsidRPr="00B4404D">
          <w:rPr>
            <w:rStyle w:val="Hyperlink"/>
            <w:sz w:val="24"/>
            <w:szCs w:val="24"/>
            <w:lang w:val="es-ES_tradnl"/>
          </w:rPr>
          <w:t>Integrated</w:t>
        </w:r>
        <w:proofErr w:type="spellEnd"/>
        <w:r w:rsidRPr="00B4404D">
          <w:rPr>
            <w:rStyle w:val="Hyperlink"/>
            <w:sz w:val="24"/>
            <w:szCs w:val="24"/>
            <w:lang w:val="es-ES_tradnl"/>
          </w:rPr>
          <w:t xml:space="preserve"> territorial and </w:t>
        </w:r>
        <w:proofErr w:type="spellStart"/>
        <w:r w:rsidRPr="00B4404D">
          <w:rPr>
            <w:rStyle w:val="Hyperlink"/>
            <w:sz w:val="24"/>
            <w:szCs w:val="24"/>
            <w:lang w:val="es-ES_tradnl"/>
          </w:rPr>
          <w:t>urban</w:t>
        </w:r>
        <w:proofErr w:type="spellEnd"/>
        <w:r w:rsidRPr="00B4404D">
          <w:rPr>
            <w:rStyle w:val="Hyperlink"/>
            <w:sz w:val="24"/>
            <w:szCs w:val="24"/>
            <w:lang w:val="es-ES_tradnl"/>
          </w:rPr>
          <w:t xml:space="preserve"> </w:t>
        </w:r>
        <w:proofErr w:type="spellStart"/>
        <w:r w:rsidRPr="00B4404D">
          <w:rPr>
            <w:rStyle w:val="Hyperlink"/>
            <w:sz w:val="24"/>
            <w:szCs w:val="24"/>
            <w:lang w:val="es-ES_tradnl"/>
          </w:rPr>
          <w:t>strategies</w:t>
        </w:r>
        <w:proofErr w:type="spellEnd"/>
        <w:r w:rsidRPr="00B4404D">
          <w:rPr>
            <w:rStyle w:val="Hyperlink"/>
            <w:sz w:val="24"/>
            <w:szCs w:val="24"/>
            <w:lang w:val="es-ES_tradnl"/>
          </w:rPr>
          <w:t xml:space="preserve">: </w:t>
        </w:r>
        <w:proofErr w:type="spellStart"/>
        <w:r w:rsidRPr="00B4404D">
          <w:rPr>
            <w:rStyle w:val="Hyperlink"/>
            <w:sz w:val="24"/>
            <w:szCs w:val="24"/>
            <w:lang w:val="es-ES_tradnl"/>
          </w:rPr>
          <w:t>how</w:t>
        </w:r>
        <w:proofErr w:type="spellEnd"/>
        <w:r w:rsidRPr="00B4404D">
          <w:rPr>
            <w:rStyle w:val="Hyperlink"/>
            <w:sz w:val="24"/>
            <w:szCs w:val="24"/>
            <w:lang w:val="es-ES_tradnl"/>
          </w:rPr>
          <w:t xml:space="preserve"> are ESIF </w:t>
        </w:r>
        <w:proofErr w:type="spellStart"/>
        <w:r w:rsidRPr="00B4404D">
          <w:rPr>
            <w:rStyle w:val="Hyperlink"/>
            <w:sz w:val="24"/>
            <w:szCs w:val="24"/>
            <w:lang w:val="es-ES_tradnl"/>
          </w:rPr>
          <w:t>adding</w:t>
        </w:r>
        <w:proofErr w:type="spellEnd"/>
        <w:r w:rsidRPr="00B4404D">
          <w:rPr>
            <w:rStyle w:val="Hyperlink"/>
            <w:sz w:val="24"/>
            <w:szCs w:val="24"/>
            <w:lang w:val="es-ES_tradnl"/>
          </w:rPr>
          <w:t xml:space="preserve"> </w:t>
        </w:r>
        <w:proofErr w:type="spellStart"/>
        <w:r w:rsidRPr="00B4404D">
          <w:rPr>
            <w:rStyle w:val="Hyperlink"/>
            <w:sz w:val="24"/>
            <w:szCs w:val="24"/>
            <w:lang w:val="es-ES_tradnl"/>
          </w:rPr>
          <w:t>value</w:t>
        </w:r>
        <w:proofErr w:type="spellEnd"/>
        <w:r w:rsidRPr="00B4404D">
          <w:rPr>
            <w:rStyle w:val="Hyperlink"/>
            <w:sz w:val="24"/>
            <w:szCs w:val="24"/>
            <w:lang w:val="es-ES_tradnl"/>
          </w:rPr>
          <w:t xml:space="preserve"> in 2014-2020? – Final </w:t>
        </w:r>
        <w:proofErr w:type="spellStart"/>
        <w:r w:rsidRPr="00B4404D">
          <w:rPr>
            <w:rStyle w:val="Hyperlink"/>
            <w:sz w:val="24"/>
            <w:szCs w:val="24"/>
            <w:lang w:val="es-ES_tradnl"/>
          </w:rPr>
          <w:t>report</w:t>
        </w:r>
        <w:proofErr w:type="spellEnd"/>
        <w:r w:rsidRPr="00B4404D">
          <w:rPr>
            <w:rStyle w:val="Hyperlink"/>
            <w:sz w:val="24"/>
            <w:szCs w:val="24"/>
            <w:lang w:val="es-ES_tradnl"/>
          </w:rPr>
          <w:t>»</w:t>
        </w:r>
      </w:hyperlink>
      <w:r w:rsidRPr="00B4404D">
        <w:rPr>
          <w:sz w:val="24"/>
          <w:szCs w:val="24"/>
          <w:lang w:val="es-ES_tradnl"/>
        </w:rPr>
        <w:t>, diciembre de 2017.</w:t>
      </w:r>
      <w:r w:rsidRPr="00B4404D">
        <w:rPr>
          <w:sz w:val="24"/>
          <w:szCs w:val="24"/>
          <w:u w:val="single"/>
          <w:lang w:val="es-ES_tradnl"/>
        </w:rPr>
        <w:t xml:space="preserve"> </w:t>
      </w:r>
    </w:p>
  </w:footnote>
  <w:footnote w:id="18">
    <w:p w:rsidR="00F57438" w:rsidRPr="00B4404D" w:rsidRDefault="00F57438" w:rsidP="00E25679">
      <w:pPr>
        <w:pStyle w:val="FootnoteText"/>
        <w:ind w:left="567" w:hanging="567"/>
        <w:rPr>
          <w:sz w:val="24"/>
          <w:szCs w:val="24"/>
          <w:u w:val="single"/>
          <w:lang w:val="es-ES_tradnl"/>
        </w:rPr>
      </w:pPr>
      <w:r w:rsidRPr="00B4404D">
        <w:rPr>
          <w:rStyle w:val="FootnoteReference"/>
          <w:sz w:val="24"/>
          <w:szCs w:val="24"/>
          <w:u w:val="single"/>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Comisión Europea, «</w:t>
      </w:r>
      <w:hyperlink r:id="rId2" w:history="1">
        <w:r w:rsidRPr="00B4404D">
          <w:rPr>
            <w:rStyle w:val="Hyperlink"/>
            <w:sz w:val="24"/>
            <w:szCs w:val="24"/>
            <w:lang w:val="es-ES_tradnl"/>
          </w:rPr>
          <w:t>STRAT-</w:t>
        </w:r>
        <w:proofErr w:type="spellStart"/>
        <w:r w:rsidRPr="00B4404D">
          <w:rPr>
            <w:rStyle w:val="Hyperlink"/>
            <w:sz w:val="24"/>
            <w:szCs w:val="24"/>
            <w:lang w:val="es-ES_tradnl"/>
          </w:rPr>
          <w:t>Board</w:t>
        </w:r>
        <w:proofErr w:type="spellEnd"/>
      </w:hyperlink>
      <w:r w:rsidRPr="00B4404D">
        <w:rPr>
          <w:sz w:val="24"/>
          <w:szCs w:val="24"/>
          <w:lang w:val="es-ES_tradnl"/>
        </w:rPr>
        <w:t>».</w:t>
      </w:r>
    </w:p>
  </w:footnote>
  <w:footnote w:id="19">
    <w:p w:rsidR="003C66A7" w:rsidRPr="00B4404D" w:rsidRDefault="003C66A7" w:rsidP="00B4404D">
      <w:pPr>
        <w:pStyle w:val="FootnoteText"/>
        <w:ind w:left="567" w:hanging="567"/>
        <w:rPr>
          <w:sz w:val="24"/>
          <w:szCs w:val="24"/>
          <w:lang w:val="en-GB"/>
        </w:rPr>
      </w:pPr>
      <w:r w:rsidRPr="00B4404D">
        <w:rPr>
          <w:rStyle w:val="FootnoteReference"/>
          <w:sz w:val="24"/>
          <w:szCs w:val="24"/>
        </w:rPr>
        <w:footnoteRef/>
      </w:r>
      <w:r w:rsidRPr="00B4404D">
        <w:rPr>
          <w:sz w:val="24"/>
          <w:szCs w:val="24"/>
        </w:rPr>
        <w:t xml:space="preserve"> </w:t>
      </w:r>
      <w:r w:rsidRPr="00B4404D">
        <w:rPr>
          <w:sz w:val="24"/>
          <w:szCs w:val="24"/>
          <w:lang w:val="en-GB"/>
        </w:rPr>
        <w:tab/>
      </w:r>
      <w:r w:rsidRPr="00B4404D">
        <w:rPr>
          <w:sz w:val="24"/>
          <w:szCs w:val="24"/>
          <w:lang w:val="es-ES_tradnl"/>
        </w:rPr>
        <w:t>Comisión Europea, «</w:t>
      </w:r>
      <w:proofErr w:type="spellStart"/>
      <w:r w:rsidRPr="00B4404D">
        <w:fldChar w:fldCharType="begin"/>
      </w:r>
      <w:r w:rsidRPr="00B4404D">
        <w:rPr>
          <w:sz w:val="24"/>
          <w:szCs w:val="24"/>
        </w:rPr>
        <w:instrText xml:space="preserve"> HYPERLINK "https://urban.jrc.ec.europa.eu/territorialstrategies/executive-summary" \l "the-chapter" </w:instrText>
      </w:r>
      <w:r w:rsidRPr="00B4404D">
        <w:fldChar w:fldCharType="separate"/>
      </w:r>
      <w:r w:rsidRPr="00B4404D">
        <w:rPr>
          <w:rStyle w:val="Hyperlink"/>
          <w:sz w:val="24"/>
          <w:szCs w:val="24"/>
          <w:lang w:val="es-ES_tradnl"/>
        </w:rPr>
        <w:t>Handbook</w:t>
      </w:r>
      <w:proofErr w:type="spellEnd"/>
      <w:r w:rsidRPr="00B4404D">
        <w:rPr>
          <w:rStyle w:val="Hyperlink"/>
          <w:sz w:val="24"/>
          <w:szCs w:val="24"/>
          <w:lang w:val="es-ES_tradnl"/>
        </w:rPr>
        <w:t xml:space="preserve"> of territorial and local </w:t>
      </w:r>
      <w:proofErr w:type="spellStart"/>
      <w:r w:rsidRPr="00B4404D">
        <w:rPr>
          <w:rStyle w:val="Hyperlink"/>
          <w:sz w:val="24"/>
          <w:szCs w:val="24"/>
          <w:lang w:val="es-ES_tradnl"/>
        </w:rPr>
        <w:t>development</w:t>
      </w:r>
      <w:proofErr w:type="spellEnd"/>
      <w:r w:rsidRPr="00B4404D">
        <w:rPr>
          <w:rStyle w:val="Hyperlink"/>
          <w:sz w:val="24"/>
          <w:szCs w:val="24"/>
          <w:lang w:val="es-ES_tradnl"/>
        </w:rPr>
        <w:t xml:space="preserve"> </w:t>
      </w:r>
      <w:proofErr w:type="spellStart"/>
      <w:r w:rsidRPr="00B4404D">
        <w:rPr>
          <w:rStyle w:val="Hyperlink"/>
          <w:sz w:val="24"/>
          <w:szCs w:val="24"/>
          <w:lang w:val="es-ES_tradnl"/>
        </w:rPr>
        <w:t>strategies</w:t>
      </w:r>
      <w:proofErr w:type="spellEnd"/>
      <w:r w:rsidRPr="00B4404D">
        <w:rPr>
          <w:rStyle w:val="Hyperlink"/>
          <w:sz w:val="24"/>
          <w:szCs w:val="24"/>
          <w:lang w:val="es-ES_tradnl"/>
        </w:rPr>
        <w:fldChar w:fldCharType="end"/>
      </w:r>
      <w:r w:rsidRPr="00B4404D">
        <w:rPr>
          <w:sz w:val="24"/>
          <w:szCs w:val="24"/>
          <w:lang w:val="es-ES_tradnl"/>
        </w:rPr>
        <w:t>».</w:t>
      </w:r>
    </w:p>
  </w:footnote>
  <w:footnote w:id="20">
    <w:p w:rsidR="003C66A7" w:rsidRPr="00B4404D" w:rsidRDefault="003C66A7" w:rsidP="00B4404D">
      <w:pPr>
        <w:pStyle w:val="FootnoteText"/>
        <w:ind w:left="567" w:hanging="567"/>
        <w:rPr>
          <w:sz w:val="24"/>
          <w:szCs w:val="24"/>
          <w:lang w:val="en-GB"/>
        </w:rPr>
      </w:pPr>
      <w:r w:rsidRPr="00B4404D">
        <w:rPr>
          <w:rStyle w:val="FootnoteReference"/>
          <w:sz w:val="24"/>
          <w:szCs w:val="24"/>
        </w:rPr>
        <w:footnoteRef/>
      </w:r>
      <w:r w:rsidRPr="00B4404D">
        <w:rPr>
          <w:sz w:val="24"/>
          <w:szCs w:val="24"/>
        </w:rPr>
        <w:t xml:space="preserve"> </w:t>
      </w:r>
      <w:r w:rsidRPr="00B4404D">
        <w:rPr>
          <w:sz w:val="24"/>
          <w:szCs w:val="24"/>
          <w:lang w:val="en-GB"/>
        </w:rPr>
        <w:tab/>
      </w:r>
      <w:r w:rsidRPr="00B4404D">
        <w:rPr>
          <w:sz w:val="24"/>
          <w:szCs w:val="24"/>
          <w:lang w:val="es-ES_tradnl"/>
        </w:rPr>
        <w:t>Comisión Europea, «</w:t>
      </w:r>
      <w:proofErr w:type="spellStart"/>
      <w:r w:rsidRPr="00B4404D">
        <w:rPr>
          <w:lang w:val="en-GB"/>
        </w:rPr>
        <w:fldChar w:fldCharType="begin"/>
      </w:r>
      <w:r w:rsidRPr="00B4404D">
        <w:rPr>
          <w:sz w:val="24"/>
          <w:szCs w:val="24"/>
          <w:lang w:val="en-GB"/>
        </w:rPr>
        <w:instrText xml:space="preserve"> HYPERLINK "https://urban.jrc.ec.europa.eu/urbanstrategies/" </w:instrText>
      </w:r>
      <w:r w:rsidRPr="00B4404D">
        <w:rPr>
          <w:lang w:val="en-GB"/>
        </w:rPr>
        <w:fldChar w:fldCharType="separate"/>
      </w:r>
      <w:r w:rsidRPr="00B4404D">
        <w:rPr>
          <w:rStyle w:val="Hyperlink"/>
          <w:sz w:val="24"/>
          <w:szCs w:val="24"/>
          <w:lang w:val="es-ES_tradnl"/>
        </w:rPr>
        <w:t>Handbook</w:t>
      </w:r>
      <w:proofErr w:type="spellEnd"/>
      <w:r w:rsidRPr="00B4404D">
        <w:rPr>
          <w:rStyle w:val="Hyperlink"/>
          <w:sz w:val="24"/>
          <w:szCs w:val="24"/>
          <w:lang w:val="es-ES_tradnl"/>
        </w:rPr>
        <w:t xml:space="preserve"> of </w:t>
      </w:r>
      <w:proofErr w:type="spellStart"/>
      <w:r w:rsidRPr="00B4404D">
        <w:rPr>
          <w:rStyle w:val="Hyperlink"/>
          <w:sz w:val="24"/>
          <w:szCs w:val="24"/>
          <w:lang w:val="es-ES_tradnl"/>
        </w:rPr>
        <w:t>Sustainable</w:t>
      </w:r>
      <w:proofErr w:type="spellEnd"/>
      <w:r w:rsidRPr="00B4404D">
        <w:rPr>
          <w:rStyle w:val="Hyperlink"/>
          <w:sz w:val="24"/>
          <w:szCs w:val="24"/>
          <w:lang w:val="es-ES_tradnl"/>
        </w:rPr>
        <w:t xml:space="preserve"> </w:t>
      </w:r>
      <w:proofErr w:type="spellStart"/>
      <w:r w:rsidRPr="00B4404D">
        <w:rPr>
          <w:rStyle w:val="Hyperlink"/>
          <w:sz w:val="24"/>
          <w:szCs w:val="24"/>
          <w:lang w:val="es-ES_tradnl"/>
        </w:rPr>
        <w:t>Urban</w:t>
      </w:r>
      <w:proofErr w:type="spellEnd"/>
      <w:r w:rsidRPr="00B4404D">
        <w:rPr>
          <w:rStyle w:val="Hyperlink"/>
          <w:sz w:val="24"/>
          <w:szCs w:val="24"/>
          <w:lang w:val="es-ES_tradnl"/>
        </w:rPr>
        <w:t xml:space="preserve"> </w:t>
      </w:r>
      <w:proofErr w:type="spellStart"/>
      <w:r w:rsidRPr="00B4404D">
        <w:rPr>
          <w:rStyle w:val="Hyperlink"/>
          <w:sz w:val="24"/>
          <w:szCs w:val="24"/>
          <w:lang w:val="es-ES_tradnl"/>
        </w:rPr>
        <w:t>Development</w:t>
      </w:r>
      <w:proofErr w:type="spellEnd"/>
      <w:r w:rsidRPr="00B4404D">
        <w:rPr>
          <w:rStyle w:val="Hyperlink"/>
          <w:sz w:val="24"/>
          <w:szCs w:val="24"/>
          <w:lang w:val="es-ES_tradnl"/>
        </w:rPr>
        <w:t xml:space="preserve"> </w:t>
      </w:r>
      <w:proofErr w:type="spellStart"/>
      <w:r w:rsidRPr="00B4404D">
        <w:rPr>
          <w:rStyle w:val="Hyperlink"/>
          <w:sz w:val="24"/>
          <w:szCs w:val="24"/>
          <w:lang w:val="es-ES_tradnl"/>
        </w:rPr>
        <w:t>Strategies</w:t>
      </w:r>
      <w:proofErr w:type="spellEnd"/>
      <w:r w:rsidRPr="00B4404D">
        <w:rPr>
          <w:rStyle w:val="Hyperlink"/>
          <w:sz w:val="24"/>
          <w:szCs w:val="24"/>
          <w:lang w:val="es-ES_tradnl"/>
        </w:rPr>
        <w:fldChar w:fldCharType="end"/>
      </w:r>
      <w:r w:rsidRPr="00B4404D">
        <w:rPr>
          <w:sz w:val="24"/>
          <w:szCs w:val="24"/>
          <w:lang w:val="es-ES_tradnl"/>
        </w:rPr>
        <w:t>».</w:t>
      </w:r>
    </w:p>
  </w:footnote>
  <w:footnote w:id="21">
    <w:p w:rsidR="00F57438" w:rsidRPr="00B4404D" w:rsidRDefault="00F57438" w:rsidP="00E25679">
      <w:pPr>
        <w:pStyle w:val="FootnoteText"/>
        <w:ind w:left="567" w:hanging="567"/>
        <w:rPr>
          <w:sz w:val="24"/>
          <w:szCs w:val="24"/>
          <w:lang w:val="es-ES_tradnl"/>
        </w:rPr>
      </w:pPr>
      <w:r w:rsidRPr="00B4404D">
        <w:rPr>
          <w:rStyle w:val="FootnoteReference"/>
          <w:sz w:val="24"/>
          <w:szCs w:val="24"/>
          <w:lang w:val="es-ES_tradnl"/>
        </w:rPr>
        <w:footnoteRef/>
      </w:r>
      <w:r w:rsidR="00E25679" w:rsidRPr="00B4404D">
        <w:rPr>
          <w:sz w:val="24"/>
          <w:szCs w:val="24"/>
          <w:lang w:val="es-ES_tradnl"/>
        </w:rPr>
        <w:t xml:space="preserve"> </w:t>
      </w:r>
      <w:r w:rsidR="00E25679" w:rsidRPr="00B4404D">
        <w:rPr>
          <w:sz w:val="24"/>
          <w:szCs w:val="24"/>
          <w:lang w:val="es-ES_tradnl"/>
        </w:rPr>
        <w:tab/>
      </w:r>
      <w:r w:rsidRPr="00B4404D">
        <w:rPr>
          <w:sz w:val="24"/>
          <w:szCs w:val="24"/>
          <w:lang w:val="es-ES_tradnl"/>
        </w:rPr>
        <w:t>Reglamento (UE) n.º 1301/2013 del Parlamento Europeo y del Consejo, de 17 de diciembre de 2013, sobre el Fondo Europeo de Desarrollo Regional y sobre disposiciones específicas relativas al objetivo de inversión en crecimiento y empleo y por el que se deroga el Reglamento (CE) n.º 1080/2006 (DO L 347 de 20.12.2013, p.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6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6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56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ES"/>
    <w:docVar w:name="dvnumam" w:val="0"/>
    <w:docVar w:name="dvpe" w:val="750.084"/>
    <w:docVar w:name="dvrapporteur" w:val="Ponente: "/>
    <w:docVar w:name="dvtitre" w:val="Resolución del Parlamento Europeo, de x de enero de 2024, sobre la ejecución del desarrollo territorial (RDC, título III, capítulo II) y su aplicación en la Agenda Territorial de la Unión Europea 2030(2023/2048(INI))"/>
  </w:docVars>
  <w:rsids>
    <w:rsidRoot w:val="005507C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66A7"/>
    <w:rsid w:val="003E15D4"/>
    <w:rsid w:val="00411CCE"/>
    <w:rsid w:val="0041666E"/>
    <w:rsid w:val="00421060"/>
    <w:rsid w:val="00471C19"/>
    <w:rsid w:val="004867E3"/>
    <w:rsid w:val="00494A28"/>
    <w:rsid w:val="004C0004"/>
    <w:rsid w:val="004C5D52"/>
    <w:rsid w:val="0050519A"/>
    <w:rsid w:val="005072A1"/>
    <w:rsid w:val="00514517"/>
    <w:rsid w:val="00545827"/>
    <w:rsid w:val="005507C0"/>
    <w:rsid w:val="00560270"/>
    <w:rsid w:val="005C2568"/>
    <w:rsid w:val="006037C0"/>
    <w:rsid w:val="0065301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04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5A5"/>
    <w:rsid w:val="00E25679"/>
    <w:rsid w:val="00E365E1"/>
    <w:rsid w:val="00E820A4"/>
    <w:rsid w:val="00EB006A"/>
    <w:rsid w:val="00EB4772"/>
    <w:rsid w:val="00ED169E"/>
    <w:rsid w:val="00ED4235"/>
    <w:rsid w:val="00EF717E"/>
    <w:rsid w:val="00F04346"/>
    <w:rsid w:val="00F075DC"/>
    <w:rsid w:val="00F149E9"/>
    <w:rsid w:val="00F5134D"/>
    <w:rsid w:val="00F5743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01337C-0849-42A5-900E-5BDECAFD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743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57438"/>
    <w:pPr>
      <w:spacing w:after="240"/>
    </w:pPr>
  </w:style>
  <w:style w:type="paragraph" w:customStyle="1" w:styleId="PageHeading">
    <w:name w:val="PageHeading"/>
    <w:basedOn w:val="Normal"/>
    <w:rsid w:val="00F57438"/>
    <w:pPr>
      <w:keepNext/>
      <w:spacing w:after="480"/>
      <w:jc w:val="center"/>
    </w:pPr>
    <w:rPr>
      <w:rFonts w:ascii="Arial" w:hAnsi="Arial" w:cs="Arial"/>
      <w:b/>
    </w:rPr>
  </w:style>
  <w:style w:type="paragraph" w:customStyle="1" w:styleId="NormalBold">
    <w:name w:val="NormalBold"/>
    <w:basedOn w:val="Normal"/>
    <w:rsid w:val="00F57438"/>
    <w:rPr>
      <w:b/>
    </w:rPr>
  </w:style>
  <w:style w:type="paragraph" w:customStyle="1" w:styleId="NormalHanging12a">
    <w:name w:val="NormalHanging12a"/>
    <w:basedOn w:val="Normal"/>
    <w:link w:val="NormalHanging12aChar"/>
    <w:rsid w:val="00F57438"/>
    <w:pPr>
      <w:spacing w:after="240"/>
      <w:ind w:left="567" w:hanging="567"/>
    </w:pPr>
  </w:style>
  <w:style w:type="paragraph" w:styleId="Header">
    <w:name w:val="header"/>
    <w:basedOn w:val="Normal"/>
    <w:link w:val="HeaderChar"/>
    <w:rsid w:val="00F57438"/>
    <w:pPr>
      <w:tabs>
        <w:tab w:val="center" w:pos="4513"/>
        <w:tab w:val="right" w:pos="9026"/>
      </w:tabs>
    </w:pPr>
  </w:style>
  <w:style w:type="character" w:customStyle="1" w:styleId="HeaderChar">
    <w:name w:val="Header Char"/>
    <w:basedOn w:val="DefaultParagraphFont"/>
    <w:link w:val="Header"/>
    <w:rsid w:val="00F57438"/>
    <w:rPr>
      <w:sz w:val="24"/>
      <w:lang w:val="es-ES_tradnl"/>
    </w:rPr>
  </w:style>
  <w:style w:type="paragraph" w:customStyle="1" w:styleId="EPFooter">
    <w:name w:val="EPFooter"/>
    <w:basedOn w:val="Normal"/>
    <w:rsid w:val="00F57438"/>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F57438"/>
    <w:rPr>
      <w:color w:val="0000FF"/>
      <w:u w:val="single"/>
    </w:rPr>
  </w:style>
  <w:style w:type="paragraph" w:customStyle="1" w:styleId="FootnoteText1">
    <w:name w:val="Footnote Text1"/>
    <w:basedOn w:val="Normal"/>
    <w:next w:val="FootnoteText"/>
    <w:semiHidden/>
    <w:rsid w:val="00F57438"/>
    <w:pPr>
      <w:widowControl/>
      <w:jc w:val="both"/>
    </w:pPr>
    <w:rPr>
      <w:sz w:val="20"/>
      <w:lang w:val="en-GB"/>
    </w:rPr>
  </w:style>
  <w:style w:type="character" w:customStyle="1" w:styleId="FootnoteTextChar1">
    <w:name w:val="Footnote Text Char1"/>
    <w:basedOn w:val="DefaultParagraphFont"/>
    <w:locked/>
    <w:rsid w:val="00F57438"/>
    <w:rPr>
      <w:lang w:val="es-ES_tradnl"/>
    </w:rPr>
  </w:style>
  <w:style w:type="character" w:customStyle="1" w:styleId="NormalHanging12aChar">
    <w:name w:val="NormalHanging12a Char"/>
    <w:basedOn w:val="DefaultParagraphFont"/>
    <w:link w:val="NormalHanging12a"/>
    <w:rsid w:val="00F57438"/>
    <w:rPr>
      <w:sz w:val="24"/>
      <w:lang w:val="es-ES_tradnl"/>
    </w:rPr>
  </w:style>
  <w:style w:type="paragraph" w:customStyle="1" w:styleId="Normal24a">
    <w:name w:val="Normal24a"/>
    <w:basedOn w:val="Normal"/>
    <w:rsid w:val="00F57438"/>
    <w:pPr>
      <w:spacing w:after="480"/>
    </w:pPr>
  </w:style>
  <w:style w:type="paragraph" w:customStyle="1" w:styleId="PageHeadingNotTOC">
    <w:name w:val="PageHeadingNotTOC"/>
    <w:basedOn w:val="Normal"/>
    <w:rsid w:val="00F57438"/>
    <w:pPr>
      <w:keepNext/>
      <w:spacing w:after="480"/>
      <w:jc w:val="center"/>
    </w:pPr>
    <w:rPr>
      <w:rFonts w:ascii="Arial" w:hAnsi="Arial" w:cs="Arial"/>
      <w:b/>
    </w:rPr>
  </w:style>
  <w:style w:type="paragraph" w:styleId="Footer">
    <w:name w:val="footer"/>
    <w:basedOn w:val="Normal"/>
    <w:link w:val="FooterChar"/>
    <w:rsid w:val="00E25679"/>
    <w:pPr>
      <w:tabs>
        <w:tab w:val="center" w:pos="4513"/>
        <w:tab w:val="right" w:pos="9026"/>
      </w:tabs>
    </w:pPr>
  </w:style>
  <w:style w:type="character" w:customStyle="1" w:styleId="FooterChar">
    <w:name w:val="Footer Char"/>
    <w:basedOn w:val="DefaultParagraphFont"/>
    <w:link w:val="Footer"/>
    <w:rsid w:val="00E25679"/>
    <w:rPr>
      <w:sz w:val="24"/>
      <w:lang w:val="es-ES_tradnl"/>
    </w:rPr>
  </w:style>
  <w:style w:type="paragraph" w:styleId="BalloonText">
    <w:name w:val="Balloon Text"/>
    <w:basedOn w:val="Normal"/>
    <w:link w:val="BalloonTextChar"/>
    <w:rsid w:val="00DD25A5"/>
    <w:rPr>
      <w:rFonts w:ascii="Segoe UI" w:hAnsi="Segoe UI" w:cs="Segoe UI"/>
      <w:sz w:val="18"/>
      <w:szCs w:val="18"/>
    </w:rPr>
  </w:style>
  <w:style w:type="character" w:customStyle="1" w:styleId="BalloonTextChar">
    <w:name w:val="Balloon Text Char"/>
    <w:basedOn w:val="DefaultParagraphFont"/>
    <w:link w:val="BalloonText"/>
    <w:rsid w:val="00DD25A5"/>
    <w:rPr>
      <w:rFonts w:ascii="Segoe UI" w:hAnsi="Segoe UI" w:cs="Segoe UI"/>
      <w:sz w:val="18"/>
      <w:szCs w:val="18"/>
      <w:lang w:val="es-ES_tradnl"/>
    </w:rPr>
  </w:style>
  <w:style w:type="paragraph" w:styleId="ListParagraph">
    <w:name w:val="List Paragraph"/>
    <w:basedOn w:val="Normal"/>
    <w:uiPriority w:val="34"/>
    <w:qFormat/>
    <w:rsid w:val="00DD25A5"/>
    <w:pPr>
      <w:ind w:left="720"/>
      <w:contextualSpacing/>
    </w:pPr>
  </w:style>
  <w:style w:type="character" w:styleId="FollowedHyperlink">
    <w:name w:val="FollowedHyperlink"/>
    <w:basedOn w:val="DefaultParagraphFont"/>
    <w:rsid w:val="003C66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urban.jrc.ec.europa.eu/strat-board/?lng=es" TargetMode="External"/><Relationship Id="rId1" Type="http://schemas.openxmlformats.org/officeDocument/2006/relationships/hyperlink" Target="https://ec.europa.eu/regional_policy/sources/studies/integrated_strategies/integrated_strategie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44093-3539-46E5-A8C4-86B83B2C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6783</Words>
  <Characters>36584</Characters>
  <Application>Microsoft Office Word</Application>
  <DocSecurity>0</DocSecurity>
  <Lines>304</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2024-01-16T14:39:00Z</dcterms:created>
  <dcterms:modified xsi:type="dcterms:W3CDTF">2024-01-16T14:39:00Z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A9-0420/2023</vt:lpwstr>
  </property>
  <property fmtid="{D5CDD505-2E9C-101B-9397-08002B2CF9AE}" pid="4" name="&lt;Type&gt;">
    <vt:lpwstr>RR</vt:lpwstr>
  </property>
</Properties>
</file>