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7B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97BD8" w:rsidRDefault="009F3589" w:rsidP="0010095E">
            <w:pPr>
              <w:pStyle w:val="EPName"/>
            </w:pPr>
            <w:r w:rsidRPr="00497BD8">
              <w:t>Europski parlament</w:t>
            </w:r>
          </w:p>
          <w:p w:rsidR="00751A4A" w:rsidRPr="00497BD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7BD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97BD8" w:rsidRDefault="00187494" w:rsidP="0010095E">
            <w:pPr>
              <w:pStyle w:val="EPLogo"/>
            </w:pPr>
            <w:r w:rsidRPr="00497BD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97BD8" w:rsidRDefault="00D058B8" w:rsidP="004C5D52">
      <w:pPr>
        <w:pStyle w:val="LineTop"/>
      </w:pPr>
    </w:p>
    <w:p w:rsidR="00680577" w:rsidRPr="00497BD8" w:rsidRDefault="009F3589" w:rsidP="00680577">
      <w:pPr>
        <w:pStyle w:val="EPBodyTA1"/>
      </w:pPr>
      <w:r w:rsidRPr="00497BD8">
        <w:t>USVOJENI TEKSTOVI</w:t>
      </w:r>
    </w:p>
    <w:p w:rsidR="00D058B8" w:rsidRPr="00497BD8" w:rsidRDefault="00D058B8" w:rsidP="00D058B8">
      <w:pPr>
        <w:pStyle w:val="LineBottom"/>
      </w:pPr>
    </w:p>
    <w:p w:rsidR="009F3589" w:rsidRPr="00497BD8" w:rsidRDefault="009F3589" w:rsidP="009F3589">
      <w:pPr>
        <w:pStyle w:val="ATHeading1"/>
      </w:pPr>
      <w:bookmarkStart w:id="0" w:name="TANumber"/>
      <w:r w:rsidRPr="00497BD8">
        <w:t>P9_TA(2024)00</w:t>
      </w:r>
      <w:r w:rsidR="001A73C4">
        <w:t>1</w:t>
      </w:r>
      <w:r w:rsidRPr="00497BD8">
        <w:t>0</w:t>
      </w:r>
      <w:bookmarkEnd w:id="0"/>
    </w:p>
    <w:p w:rsidR="009F3589" w:rsidRPr="00497BD8" w:rsidRDefault="009F3589" w:rsidP="009F3589">
      <w:pPr>
        <w:pStyle w:val="ATHeading2"/>
      </w:pPr>
      <w:bookmarkStart w:id="1" w:name="title"/>
      <w:r w:rsidRPr="00497BD8">
        <w:t>Provedba teritorijalnog razvoja (Uredba o zajedničkim odredbama, glava III. poglavlje II.) i njegova primjena u Teritorijalnom programu Europske unije 2030.</w:t>
      </w:r>
      <w:bookmarkEnd w:id="1"/>
    </w:p>
    <w:p w:rsidR="009F3589" w:rsidRPr="00497BD8" w:rsidRDefault="009F3589" w:rsidP="009F3589">
      <w:pPr>
        <w:rPr>
          <w:i/>
          <w:vanish/>
        </w:rPr>
      </w:pPr>
      <w:r w:rsidRPr="00497BD8">
        <w:rPr>
          <w:i/>
        </w:rPr>
        <w:fldChar w:fldCharType="begin"/>
      </w:r>
      <w:r w:rsidRPr="00497BD8">
        <w:rPr>
          <w:i/>
        </w:rPr>
        <w:instrText xml:space="preserve"> TC"(</w:instrText>
      </w:r>
      <w:bookmarkStart w:id="2" w:name="DocNumber"/>
      <w:r w:rsidRPr="00497BD8">
        <w:rPr>
          <w:i/>
        </w:rPr>
        <w:instrText>A9-0420/2023</w:instrText>
      </w:r>
      <w:bookmarkEnd w:id="2"/>
      <w:r w:rsidRPr="00497BD8">
        <w:rPr>
          <w:i/>
        </w:rPr>
        <w:instrText xml:space="preserve"> - Izvjestitelj: </w:instrText>
      </w:r>
      <w:proofErr w:type="spellStart"/>
      <w:r w:rsidRPr="00497BD8">
        <w:rPr>
          <w:i/>
        </w:rPr>
        <w:instrText>Marcos</w:instrText>
      </w:r>
      <w:proofErr w:type="spellEnd"/>
      <w:r w:rsidRPr="00497BD8">
        <w:rPr>
          <w:i/>
        </w:rPr>
        <w:instrText xml:space="preserve"> </w:instrText>
      </w:r>
      <w:proofErr w:type="spellStart"/>
      <w:r w:rsidRPr="00497BD8">
        <w:rPr>
          <w:i/>
        </w:rPr>
        <w:instrText>Ros</w:instrText>
      </w:r>
      <w:proofErr w:type="spellEnd"/>
      <w:r w:rsidRPr="00497BD8">
        <w:rPr>
          <w:i/>
        </w:rPr>
        <w:instrText> </w:instrText>
      </w:r>
      <w:proofErr w:type="spellStart"/>
      <w:r w:rsidRPr="00497BD8">
        <w:rPr>
          <w:i/>
        </w:rPr>
        <w:instrText>Sempere</w:instrText>
      </w:r>
      <w:proofErr w:type="spellEnd"/>
      <w:r w:rsidRPr="00497BD8">
        <w:rPr>
          <w:i/>
        </w:rPr>
        <w:instrText xml:space="preserve">)"\l3 \n&gt; \* MERGEFORMAT </w:instrText>
      </w:r>
      <w:r w:rsidRPr="00497BD8">
        <w:rPr>
          <w:i/>
        </w:rPr>
        <w:fldChar w:fldCharType="end"/>
      </w:r>
    </w:p>
    <w:p w:rsidR="009F3589" w:rsidRPr="00497BD8" w:rsidRDefault="009F3589" w:rsidP="009F3589">
      <w:pPr>
        <w:rPr>
          <w:vanish/>
        </w:rPr>
      </w:pPr>
      <w:bookmarkStart w:id="3" w:name="Commission"/>
      <w:r w:rsidRPr="00497BD8">
        <w:rPr>
          <w:vanish/>
        </w:rPr>
        <w:t>Odbor za regionalni razvoj</w:t>
      </w:r>
      <w:bookmarkEnd w:id="3"/>
    </w:p>
    <w:p w:rsidR="009F3589" w:rsidRPr="00497BD8" w:rsidRDefault="009F3589" w:rsidP="009F3589">
      <w:pPr>
        <w:rPr>
          <w:vanish/>
        </w:rPr>
      </w:pPr>
      <w:bookmarkStart w:id="4" w:name="PE"/>
      <w:r w:rsidRPr="00497BD8">
        <w:rPr>
          <w:vanish/>
        </w:rPr>
        <w:t>PE750.084</w:t>
      </w:r>
      <w:bookmarkEnd w:id="4"/>
    </w:p>
    <w:p w:rsidR="009F3589" w:rsidRPr="00497BD8" w:rsidRDefault="009F3589" w:rsidP="009F3589">
      <w:pPr>
        <w:pStyle w:val="ATHeading3"/>
      </w:pPr>
      <w:bookmarkStart w:id="5" w:name="Sujet"/>
      <w:r w:rsidRPr="00497BD8">
        <w:t>Rezolu</w:t>
      </w:r>
      <w:r w:rsidR="00497BD8">
        <w:t>cija Europskog parlamenta od 16</w:t>
      </w:r>
      <w:r w:rsidRPr="00497BD8">
        <w:t xml:space="preserve">. </w:t>
      </w:r>
      <w:r w:rsidR="00497BD8">
        <w:t xml:space="preserve">siječnja </w:t>
      </w:r>
      <w:r w:rsidRPr="00497BD8">
        <w:t>2024. o provedbi teritorijalnog razvoja (Uredba o zajedničkim odredbama, glava III. poglavlje II.) i njegovoj primjeni u Teritorijalnom programu Europske unije 2030.</w:t>
      </w:r>
      <w:bookmarkEnd w:id="5"/>
      <w:r w:rsidRPr="00497BD8">
        <w:t xml:space="preserve"> </w:t>
      </w:r>
      <w:bookmarkStart w:id="6" w:name="References"/>
      <w:r w:rsidRPr="00497BD8">
        <w:t>(2023/2048(INI))</w:t>
      </w:r>
      <w:bookmarkEnd w:id="6"/>
    </w:p>
    <w:p w:rsidR="00B0036B" w:rsidRPr="00497BD8" w:rsidRDefault="00B0036B" w:rsidP="00B0036B">
      <w:pPr>
        <w:pStyle w:val="EPComma"/>
      </w:pPr>
      <w:bookmarkStart w:id="7" w:name="TextBodyBegin"/>
      <w:bookmarkEnd w:id="7"/>
      <w:r w:rsidRPr="00497BD8">
        <w:rPr>
          <w:i/>
        </w:rPr>
        <w:t>Europski parlament</w:t>
      </w:r>
      <w:r w:rsidRPr="00497BD8"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Ugovor o funkcioniranju Europske unije, a posebno njegovu glavu XVIII.,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 xml:space="preserve">uzimajući u obzir Uredbu (EU) 2021/1060 Europskog parlamenta i Vijeća od 24. lipnja 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Instrument za financijsku potporu u području upravljanja granicama i </w:t>
      </w:r>
      <w:proofErr w:type="spellStart"/>
      <w:r w:rsidRPr="00497BD8">
        <w:rPr>
          <w:snapToGrid w:val="0"/>
        </w:rPr>
        <w:t>vizne</w:t>
      </w:r>
      <w:proofErr w:type="spellEnd"/>
      <w:r w:rsidRPr="00497BD8">
        <w:rPr>
          <w:snapToGrid w:val="0"/>
        </w:rPr>
        <w:t xml:space="preserve"> politike</w:t>
      </w:r>
      <w:r w:rsidRPr="00497BD8">
        <w:rPr>
          <w:snapToGrid w:val="0"/>
          <w:vertAlign w:val="superscript"/>
          <w:lang w:eastAsia="en-US"/>
        </w:rPr>
        <w:footnoteReference w:id="1"/>
      </w:r>
      <w:r w:rsidRPr="00497BD8">
        <w:rPr>
          <w:snapToGrid w:val="0"/>
        </w:rPr>
        <w:t xml:space="preserve"> (Uredba o zajedničkim odredbama),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Uredbu (EU) 2021/1058 Europskog parlamenta i Vijeća od 24. lipnja 2021. o Europskom fondu za regionalni razvoj i Kohezijskom fondu</w:t>
      </w:r>
      <w:r w:rsidRPr="00497BD8">
        <w:rPr>
          <w:snapToGrid w:val="0"/>
          <w:vertAlign w:val="superscript"/>
          <w:lang w:eastAsia="en-US"/>
        </w:rPr>
        <w:footnoteReference w:id="2"/>
      </w:r>
      <w:r w:rsidRPr="00497BD8">
        <w:rPr>
          <w:snapToGrid w:val="0"/>
        </w:rPr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Uredbu (EU) 2021/1059 Europskog parlamenta i Vijeća od 24. lipnja 2021. o posebnim odredbama za cilj „Europska teritorijalna suradnja (</w:t>
      </w:r>
      <w:proofErr w:type="spellStart"/>
      <w:r w:rsidRPr="00497BD8">
        <w:rPr>
          <w:snapToGrid w:val="0"/>
        </w:rPr>
        <w:t>Interreg</w:t>
      </w:r>
      <w:proofErr w:type="spellEnd"/>
      <w:r w:rsidRPr="00497BD8">
        <w:rPr>
          <w:snapToGrid w:val="0"/>
        </w:rPr>
        <w:t>)” koji se podupire iz Europskog fonda za regionalni razvoj i iz instrumenata za financiranje vanjskog djelovanja</w:t>
      </w:r>
      <w:r w:rsidRPr="00497BD8">
        <w:rPr>
          <w:snapToGrid w:val="0"/>
          <w:vertAlign w:val="superscript"/>
          <w:lang w:eastAsia="en-US"/>
        </w:rPr>
        <w:footnoteReference w:id="3"/>
      </w:r>
      <w:r w:rsidRPr="00497BD8">
        <w:rPr>
          <w:snapToGrid w:val="0"/>
        </w:rPr>
        <w:t>,</w:t>
      </w:r>
    </w:p>
    <w:p w:rsidR="00B0036B" w:rsidRPr="00497BD8" w:rsidRDefault="00B0036B" w:rsidP="00861BE9">
      <w:pPr>
        <w:widowControl/>
        <w:spacing w:after="240"/>
        <w:ind w:left="567" w:hanging="567"/>
      </w:pPr>
      <w:r w:rsidRPr="00497BD8">
        <w:rPr>
          <w:snapToGrid w:val="0"/>
        </w:rPr>
        <w:lastRenderedPageBreak/>
        <w:t>–</w:t>
      </w:r>
      <w:r w:rsidRPr="00497BD8">
        <w:rPr>
          <w:snapToGrid w:val="0"/>
        </w:rPr>
        <w:tab/>
      </w:r>
      <w:r w:rsidRPr="00497BD8">
        <w:t>uzimajući u obzir Uredbu (EU) 2021/1056 Europskog parlamenta i Vijeća od 24. lipnja 2021. o uspostavi Fonda za pravednu tranziciju</w:t>
      </w:r>
      <w:r w:rsidRPr="00497BD8">
        <w:rPr>
          <w:vertAlign w:val="superscript"/>
        </w:rPr>
        <w:footnoteReference w:id="4"/>
      </w:r>
      <w:r w:rsidRPr="00497BD8">
        <w:t>,</w:t>
      </w:r>
    </w:p>
    <w:p w:rsidR="00B0036B" w:rsidRPr="00497BD8" w:rsidRDefault="00B0036B" w:rsidP="00861BE9">
      <w:pPr>
        <w:pStyle w:val="NormalBold"/>
        <w:widowControl/>
        <w:spacing w:after="240"/>
        <w:ind w:left="567" w:hanging="567"/>
        <w:rPr>
          <w:b w:val="0"/>
        </w:rPr>
      </w:pPr>
      <w:r w:rsidRPr="00497BD8">
        <w:rPr>
          <w:b w:val="0"/>
        </w:rPr>
        <w:t>–</w:t>
      </w:r>
      <w:r w:rsidRPr="00497BD8">
        <w:rPr>
          <w:b w:val="0"/>
        </w:rPr>
        <w:tab/>
        <w:t>uzimajući u obzir Uredbu (EU) 2021/2115 Europskog parlamenta i Vijeća od 2. prosinca 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uredbi (EU) br. 1305/2013 i (EU) br. 1307/2013</w:t>
      </w:r>
      <w:r w:rsidRPr="00497BD8">
        <w:rPr>
          <w:rStyle w:val="FootnoteReference"/>
          <w:b w:val="0"/>
        </w:rPr>
        <w:footnoteReference w:id="5"/>
      </w:r>
      <w:r w:rsidRPr="00497BD8">
        <w:rPr>
          <w:b w:val="0"/>
        </w:rPr>
        <w:t xml:space="preserve">; </w:t>
      </w:r>
    </w:p>
    <w:p w:rsidR="00B0036B" w:rsidRPr="00497BD8" w:rsidRDefault="00B0036B" w:rsidP="00861BE9">
      <w:pPr>
        <w:pStyle w:val="NormalHanging12a"/>
        <w:widowControl/>
      </w:pPr>
      <w:r w:rsidRPr="00497BD8">
        <w:t>–</w:t>
      </w:r>
      <w:r w:rsidRPr="00497BD8">
        <w:tab/>
        <w:t>uzimajući u obzir Uredbu (EU) 2020/2220 Europskog parlamenta i Vijeća od 23. prosinca 2020. o utvrđivanju određenih prijelaznih odredaba za potporu iz Europskog poljoprivrednog fonda za ruralni razvoj (EPFRR) i Europskog fonda za jamstva u poljoprivredi (EFJP) u godinama 2021. i 2022. i izmjeni uredaba (EU) br. 1305/2013, (EU) br. 1306/2013 i (EU) br. 1307/2013 u pogledu sredstava i primjene u godinama 2021. i 2022. te Uredbe (EU) br. 1308/2013 u pogledu sredstava i raspodjele takve potpore u godinama 2021. i 2022.</w:t>
      </w:r>
      <w:r w:rsidRPr="00497BD8">
        <w:rPr>
          <w:vertAlign w:val="superscript"/>
        </w:rPr>
        <w:footnoteReference w:id="6"/>
      </w:r>
      <w:r w:rsidRPr="00497BD8"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Uredbu (EU) br. 1303/2013 Europskog parlamenta i Vijeća od 17. prosinca 2013. o utvrđivanju zajedničkih odredbi o Europskom fondu za regionalni razvoj, Europskom socijalnom fondu, Kohezijskom fondu, Europskom poljoprivrednom fondu za ruralni razvoj i Europskom fondu za pomorstvo i ribarstvo i o utvrđivanju općih odredbi o Europskom fondu za regionalni razvoj, Europskom socijalnom fondu, Kohezijskom fondu i Europskom fondu za pomorstvo i ribarstvo te o stavljanju izvan snage Uredbe Vijeća (EZ) br. 1083/2006</w:t>
      </w:r>
      <w:r w:rsidRPr="00497BD8">
        <w:rPr>
          <w:snapToGrid w:val="0"/>
          <w:vertAlign w:val="superscript"/>
          <w:lang w:eastAsia="en-US"/>
        </w:rPr>
        <w:footnoteReference w:id="7"/>
      </w:r>
      <w:r w:rsidRPr="00497BD8">
        <w:rPr>
          <w:snapToGrid w:val="0"/>
        </w:rPr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sporazum postignut 12. prosinca 2015. u Parizu na 21. zasjedanju Konferencije stranaka (COP 21) Okvirne konvencije Ujedinjenih naroda o klimatskim promjenama (Pariški sporazum),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UN-ov Program održivog razvoja do 2030., posebno 11. cilj održivog razvoja o održivim gradovima i zajednicama,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</w:t>
      </w:r>
      <w:r w:rsidRPr="00497BD8">
        <w:t xml:space="preserve"> u obzir </w:t>
      </w:r>
      <w:r w:rsidRPr="00497BD8">
        <w:rPr>
          <w:snapToGrid w:val="0"/>
        </w:rPr>
        <w:t>Teritorijalni program 2030.</w:t>
      </w:r>
      <w:r w:rsidRPr="00497BD8">
        <w:t xml:space="preserve"> – Budućnost za sva mjesta, usvojen </w:t>
      </w:r>
      <w:r w:rsidRPr="00497BD8">
        <w:rPr>
          <w:snapToGrid w:val="0"/>
        </w:rPr>
        <w:t>1. prosinca 2020.</w:t>
      </w:r>
      <w:r w:rsidRPr="00497BD8">
        <w:t xml:space="preserve"> </w:t>
      </w:r>
      <w:r w:rsidRPr="00497BD8">
        <w:rPr>
          <w:snapToGrid w:val="0"/>
        </w:rPr>
        <w:t>na neformalnom sastanku ministara nadležnih za prostorno planiranje, teritorijalni razvoj</w:t>
      </w:r>
      <w:r w:rsidRPr="00497BD8">
        <w:t xml:space="preserve"> i/ili teritorijalnu koheziju,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Amsterdamski pakt kojim se uspostavlja Plan EU-a za gradove koji su na neformalnom sastanku održanom 30. svibnja 2016. odobrili ministri EU-a odgovorni za urbana pitanja,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 xml:space="preserve">uzimajući u obzir Novu povelju iz </w:t>
      </w:r>
      <w:proofErr w:type="spellStart"/>
      <w:r w:rsidRPr="00497BD8">
        <w:rPr>
          <w:snapToGrid w:val="0"/>
        </w:rPr>
        <w:t>Leipziga</w:t>
      </w:r>
      <w:proofErr w:type="spellEnd"/>
      <w:r w:rsidRPr="00497BD8">
        <w:rPr>
          <w:snapToGrid w:val="0"/>
        </w:rPr>
        <w:t xml:space="preserve"> – </w:t>
      </w:r>
      <w:proofErr w:type="spellStart"/>
      <w:r w:rsidRPr="00497BD8">
        <w:rPr>
          <w:snapToGrid w:val="0"/>
        </w:rPr>
        <w:t>transformativna</w:t>
      </w:r>
      <w:proofErr w:type="spellEnd"/>
      <w:r w:rsidRPr="00497BD8">
        <w:rPr>
          <w:snapToGrid w:val="0"/>
        </w:rPr>
        <w:t xml:space="preserve"> snaga gradova za opće dobro, donesenu na neformalnom sastanku ministara</w:t>
      </w:r>
      <w:r w:rsidRPr="00497BD8">
        <w:t xml:space="preserve"> nadležnih za urbana pitanja </w:t>
      </w:r>
      <w:r w:rsidRPr="00497BD8">
        <w:rPr>
          <w:snapToGrid w:val="0"/>
        </w:rPr>
        <w:t>30. studenoga 2020.,</w:t>
      </w:r>
    </w:p>
    <w:p w:rsidR="00B0036B" w:rsidRPr="00497BD8" w:rsidRDefault="00B0036B" w:rsidP="00861BE9">
      <w:pPr>
        <w:widowControl/>
        <w:spacing w:after="240"/>
        <w:ind w:left="567" w:hanging="567"/>
        <w:rPr>
          <w:rFonts w:eastAsia="Calibri"/>
          <w:szCs w:val="24"/>
        </w:rPr>
      </w:pPr>
      <w:r w:rsidRPr="00497BD8">
        <w:rPr>
          <w:snapToGrid w:val="0"/>
        </w:rPr>
        <w:lastRenderedPageBreak/>
        <w:t>–</w:t>
      </w:r>
      <w:r w:rsidRPr="00497BD8">
        <w:rPr>
          <w:snapToGrid w:val="0"/>
        </w:rPr>
        <w:tab/>
        <w:t>uzimajući u obzir</w:t>
      </w:r>
      <w:r w:rsidRPr="00497BD8">
        <w:t xml:space="preserve"> Ljubljanski sporazum usvojen 26. studenoga 2021. na neformalnom sastanku ministara nadležnih za urbana pitanja,</w:t>
      </w:r>
    </w:p>
    <w:p w:rsidR="00B0036B" w:rsidRPr="00497BD8" w:rsidRDefault="00B0036B" w:rsidP="00861BE9">
      <w:pPr>
        <w:widowControl/>
        <w:spacing w:after="240"/>
        <w:ind w:left="567" w:hanging="567"/>
        <w:rPr>
          <w:rFonts w:eastAsia="Calibri"/>
          <w:szCs w:val="24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</w:t>
      </w:r>
      <w:r w:rsidRPr="00497BD8">
        <w:t xml:space="preserve"> Novi program za gradove koji su 20. listopada 2016. usvojili Ujedinjeni narodi,</w:t>
      </w:r>
    </w:p>
    <w:p w:rsidR="00B0036B" w:rsidRPr="00497BD8" w:rsidRDefault="00B0036B" w:rsidP="00861BE9">
      <w:pPr>
        <w:widowControl/>
        <w:spacing w:after="240"/>
        <w:ind w:left="567" w:hanging="567"/>
        <w:rPr>
          <w:rFonts w:eastAsia="Calibri"/>
          <w:szCs w:val="24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</w:t>
      </w:r>
      <w:r w:rsidRPr="00497BD8">
        <w:t xml:space="preserve"> </w:t>
      </w:r>
      <w:r w:rsidRPr="00497BD8">
        <w:rPr>
          <w:shd w:val="clear" w:color="auto" w:fill="FFFFFF"/>
        </w:rPr>
        <w:t>komunikaciju Komisije od 17.</w:t>
      </w:r>
      <w:r w:rsidRPr="00497BD8">
        <w:t> </w:t>
      </w:r>
      <w:r w:rsidRPr="00497BD8">
        <w:rPr>
          <w:shd w:val="clear" w:color="auto" w:fill="FFFFFF"/>
        </w:rPr>
        <w:t>siječnja 2023.</w:t>
      </w:r>
      <w:r w:rsidRPr="00497BD8">
        <w:t xml:space="preserve"> naslovljenu „Iskorištavanje talenta u europskim regijama” (COM(2023)0032),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  <w:szCs w:val="24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 xml:space="preserve">uzimajući u obzir </w:t>
      </w:r>
      <w:r w:rsidRPr="00497BD8">
        <w:rPr>
          <w:shd w:val="clear" w:color="auto" w:fill="FFFFFF"/>
        </w:rPr>
        <w:t>komunikaciju Komisije od 4. veljače</w:t>
      </w:r>
      <w:r w:rsidRPr="00497BD8">
        <w:t> </w:t>
      </w:r>
      <w:r w:rsidRPr="00497BD8">
        <w:rPr>
          <w:shd w:val="clear" w:color="auto" w:fill="FFFFFF"/>
        </w:rPr>
        <w:t>2022. o osmom izvješću o koheziji: kohezija u Europi do 2050.(COM(2022)0034),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komunikaciju Komisije od 30. lipnja 2021. naslovljenu „Dugoročna vizija za ruralna područja EU-a – Do 2040. ostvariti jača, povezana, otporna i prosperitetna ruralna područja” (COM(2021)0345),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komunikaciju Komisije od 3. ožujka 2021. naslovljenu „Unija ravnopravnosti: Strategija o pravima osoba s invaliditetom za razdoblje 2021. – 2030.” (COM(2021)0101),</w:t>
      </w:r>
    </w:p>
    <w:p w:rsidR="00B0036B" w:rsidRPr="00497BD8" w:rsidRDefault="00B0036B" w:rsidP="00861BE9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komunikaciju Komisije od 11. prosinca 2019. naslovljenu „Europski zeleni plan” (COM(2019)0640),</w:t>
      </w:r>
      <w:r w:rsidRPr="00497BD8">
        <w:t xml:space="preserve"> 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komunikaciju Komisije od 17. rujna 2020. naslovljenu „P</w:t>
      </w:r>
      <w:r w:rsidRPr="00497BD8">
        <w:t>ovećanje klimatskih ambicija Europe za 2030. – Ulaganje u klimatski neutralnu budućnost za dobrobit naših građana”</w:t>
      </w:r>
      <w:r w:rsidRPr="00497BD8">
        <w:rPr>
          <w:snapToGrid w:val="0"/>
        </w:rPr>
        <w:t xml:space="preserve"> (COM(2020)0562),</w:t>
      </w:r>
    </w:p>
    <w:p w:rsidR="00B0036B" w:rsidRPr="00497BD8" w:rsidRDefault="00B0036B" w:rsidP="00861BE9">
      <w:pPr>
        <w:widowControl/>
        <w:spacing w:after="240"/>
        <w:ind w:left="567" w:hanging="567"/>
        <w:rPr>
          <w:rFonts w:eastAsia="Calibri" w:cs="Calibri"/>
          <w:szCs w:val="24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 xml:space="preserve">uzimajući </w:t>
      </w:r>
      <w:r w:rsidRPr="00497BD8">
        <w:t>u obzir inicijativu Komisije Novi europski Bauhaus pokrenutu 16. rujna 2020.,</w:t>
      </w:r>
    </w:p>
    <w:p w:rsidR="00B0036B" w:rsidRPr="00497BD8" w:rsidRDefault="00B0036B" w:rsidP="00861BE9">
      <w:pPr>
        <w:widowControl/>
        <w:spacing w:after="240"/>
        <w:ind w:left="567" w:hanging="567"/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</w:t>
      </w:r>
      <w:r w:rsidRPr="00497BD8">
        <w:t xml:space="preserve"> u obzir radni dokument osoblja Komisije od 17. lipnja 2022. naslovljen „New European Bauhaus </w:t>
      </w:r>
      <w:proofErr w:type="spellStart"/>
      <w:r w:rsidRPr="00497BD8">
        <w:t>territorial</w:t>
      </w:r>
      <w:proofErr w:type="spellEnd"/>
      <w:r w:rsidRPr="00497BD8">
        <w:t xml:space="preserve"> development model (NEB TDM) </w:t>
      </w:r>
      <w:proofErr w:type="spellStart"/>
      <w:r w:rsidRPr="00497BD8">
        <w:t>financial</w:t>
      </w:r>
      <w:proofErr w:type="spellEnd"/>
      <w:r w:rsidRPr="00497BD8">
        <w:t xml:space="preserve"> instrument” (Financijski instrument za model teritorijalnog razvoja u okviru novog europskog Bauhausa) (SWD(2022)0172),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svoju Rezoluciju od 14. rujna 2022. o Novom europskom Bauhausu</w:t>
      </w:r>
      <w:r w:rsidRPr="00497BD8">
        <w:rPr>
          <w:snapToGrid w:val="0"/>
          <w:vertAlign w:val="superscript"/>
          <w:lang w:eastAsia="en-US"/>
        </w:rPr>
        <w:footnoteReference w:id="8"/>
      </w:r>
      <w:r w:rsidRPr="00497BD8">
        <w:rPr>
          <w:snapToGrid w:val="0"/>
        </w:rPr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svoju Rezoluciju od 13. prosinca 2022. o dugoročnoj viziji za ruralna područja EU-a</w:t>
      </w:r>
      <w:r w:rsidRPr="00497BD8">
        <w:rPr>
          <w:shd w:val="clear" w:color="auto" w:fill="FFFFFF"/>
        </w:rPr>
        <w:t> – do 2040. ostvariti jača, povezana, otporna i prosperitetna ruralna područja</w:t>
      </w:r>
      <w:r w:rsidRPr="00497BD8">
        <w:rPr>
          <w:snapToGrid w:val="0"/>
          <w:vertAlign w:val="superscript"/>
          <w:lang w:eastAsia="en-US"/>
        </w:rPr>
        <w:footnoteReference w:id="9"/>
      </w:r>
      <w:r w:rsidRPr="00497BD8">
        <w:rPr>
          <w:snapToGrid w:val="0"/>
        </w:rPr>
        <w:t xml:space="preserve">, 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svoju Rezoluciju od 15. rujna</w:t>
      </w:r>
      <w:r w:rsidRPr="00497BD8">
        <w:t> </w:t>
      </w:r>
      <w:r w:rsidRPr="00497BD8">
        <w:rPr>
          <w:snapToGrid w:val="0"/>
        </w:rPr>
        <w:t>2022. o gospodarskoj, socijalnoj i teritorijalnoj koheziji u EU-u: Osmo izvješće o koheziji</w:t>
      </w:r>
      <w:r w:rsidRPr="00497BD8">
        <w:rPr>
          <w:snapToGrid w:val="0"/>
          <w:vertAlign w:val="superscript"/>
          <w:lang w:eastAsia="en-US"/>
        </w:rPr>
        <w:footnoteReference w:id="10"/>
      </w:r>
      <w:r w:rsidRPr="00497BD8">
        <w:rPr>
          <w:snapToGrid w:val="0"/>
        </w:rPr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 xml:space="preserve">uzimajući u obzir svoju Rezoluciju od 15. veljače 2022. o izazovima za urbana područja u razdoblju nakon </w:t>
      </w:r>
      <w:proofErr w:type="spellStart"/>
      <w:r w:rsidRPr="00497BD8">
        <w:rPr>
          <w:snapToGrid w:val="0"/>
        </w:rPr>
        <w:t>pandemije</w:t>
      </w:r>
      <w:proofErr w:type="spellEnd"/>
      <w:r w:rsidRPr="00497BD8">
        <w:rPr>
          <w:snapToGrid w:val="0"/>
        </w:rPr>
        <w:t xml:space="preserve"> bolesti COVID-19</w:t>
      </w:r>
      <w:r w:rsidRPr="00497BD8">
        <w:rPr>
          <w:snapToGrid w:val="0"/>
          <w:vertAlign w:val="superscript"/>
          <w:lang w:eastAsia="en-US"/>
        </w:rPr>
        <w:footnoteReference w:id="11"/>
      </w:r>
      <w:r w:rsidRPr="00497BD8">
        <w:rPr>
          <w:snapToGrid w:val="0"/>
        </w:rPr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  <w:lang w:eastAsia="en-US"/>
        </w:rPr>
      </w:pPr>
    </w:p>
    <w:p w:rsidR="00B0036B" w:rsidRPr="00497BD8" w:rsidRDefault="00B0036B" w:rsidP="00861BE9">
      <w:pPr>
        <w:widowControl/>
        <w:spacing w:after="240"/>
        <w:ind w:left="567" w:hanging="567"/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</w:r>
      <w:r w:rsidRPr="00497BD8">
        <w:t>uzimajući u obzir svoju Rezoluciju od 20. svibnja 2021. o preokretanju demografskih trendova u regijama EU-a uz pomoć instrumenata kohezijske politike</w:t>
      </w:r>
      <w:r w:rsidRPr="00497BD8">
        <w:rPr>
          <w:rStyle w:val="FootnoteReference"/>
        </w:rPr>
        <w:footnoteReference w:id="12"/>
      </w:r>
      <w:r w:rsidRPr="00497BD8">
        <w:t>,</w:t>
      </w:r>
    </w:p>
    <w:p w:rsidR="00B0036B" w:rsidRPr="00497BD8" w:rsidRDefault="00B0036B" w:rsidP="00861BE9">
      <w:pPr>
        <w:widowControl/>
        <w:spacing w:after="240"/>
        <w:ind w:left="567" w:hanging="567"/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</w:r>
      <w:r w:rsidRPr="00497BD8">
        <w:t>uzimajući u obzir svoju Rezoluciju od 25. ožujka 2021. o kohezijskoj politici i regionalnim strategijama za okoliš u borbi protiv klimatskih promjena</w:t>
      </w:r>
      <w:r w:rsidRPr="00497BD8">
        <w:rPr>
          <w:rStyle w:val="FootnoteReference"/>
        </w:rPr>
        <w:footnoteReference w:id="13"/>
      </w:r>
      <w:r w:rsidRPr="00497BD8"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svoju Rezoluciju od 13. ožujka 2018. o ulozi regija i gradova EU-a u provođenju Pariškog sporazuma s konferencije COP 21 o klimatskim promjenama</w:t>
      </w:r>
      <w:r w:rsidRPr="00497BD8">
        <w:rPr>
          <w:snapToGrid w:val="0"/>
          <w:vertAlign w:val="superscript"/>
          <w:lang w:eastAsia="en-US"/>
        </w:rPr>
        <w:footnoteReference w:id="14"/>
      </w:r>
      <w:r w:rsidRPr="00497BD8">
        <w:rPr>
          <w:snapToGrid w:val="0"/>
        </w:rPr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</w:t>
      </w:r>
      <w:r w:rsidRPr="00497BD8">
        <w:t xml:space="preserve"> mišljenje Europskog gospodarskog i socijalnog odbora </w:t>
      </w:r>
      <w:r w:rsidR="002F7982">
        <w:t>od 18. rujna 2020. naslovljeno</w:t>
      </w:r>
      <w:r w:rsidRPr="00497BD8">
        <w:t xml:space="preserve"> „Revizija Teritorijalnog programa EU-a, Povelje iz </w:t>
      </w:r>
      <w:proofErr w:type="spellStart"/>
      <w:r w:rsidRPr="00497BD8">
        <w:t>Leipziga</w:t>
      </w:r>
      <w:proofErr w:type="spellEnd"/>
      <w:r w:rsidRPr="00497BD8">
        <w:t xml:space="preserve"> i Plana EU-a za gradove”</w:t>
      </w:r>
      <w:r w:rsidRPr="00497BD8">
        <w:rPr>
          <w:rStyle w:val="FootnoteReference"/>
          <w:rFonts w:eastAsia="Calibri"/>
          <w:szCs w:val="24"/>
          <w:lang w:eastAsia="en-US"/>
        </w:rPr>
        <w:footnoteReference w:id="15"/>
      </w:r>
      <w:r w:rsidRPr="00497BD8"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zCs w:val="32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</w:t>
      </w:r>
      <w:r w:rsidRPr="00497BD8">
        <w:t xml:space="preserve"> detaljnu analizu naslovljenu </w:t>
      </w:r>
      <w:proofErr w:type="spellStart"/>
      <w:r w:rsidRPr="00497BD8">
        <w:t>Territorial</w:t>
      </w:r>
      <w:proofErr w:type="spellEnd"/>
      <w:r w:rsidRPr="00497BD8">
        <w:t xml:space="preserve"> </w:t>
      </w:r>
      <w:proofErr w:type="spellStart"/>
      <w:r w:rsidRPr="00497BD8">
        <w:t>Agenda</w:t>
      </w:r>
      <w:proofErr w:type="spellEnd"/>
      <w:r w:rsidRPr="00497BD8">
        <w:t xml:space="preserve"> 2030 – </w:t>
      </w:r>
      <w:proofErr w:type="spellStart"/>
      <w:r w:rsidRPr="00497BD8">
        <w:t>Implementation</w:t>
      </w:r>
      <w:proofErr w:type="spellEnd"/>
      <w:r w:rsidRPr="00497BD8">
        <w:t xml:space="preserve"> </w:t>
      </w:r>
      <w:proofErr w:type="spellStart"/>
      <w:r w:rsidRPr="00497BD8">
        <w:t>Review</w:t>
      </w:r>
      <w:proofErr w:type="spellEnd"/>
      <w:r w:rsidRPr="00497BD8">
        <w:t xml:space="preserve"> (Teritorijalni program 2030. – Revizija provedbe), koju je 7. lipnja 2023. objavila Glavna uprava za unutarnju politiku</w:t>
      </w:r>
      <w:r w:rsidRPr="00497BD8">
        <w:rPr>
          <w:rStyle w:val="FootnoteReference"/>
          <w:szCs w:val="32"/>
        </w:rPr>
        <w:footnoteReference w:id="16"/>
      </w:r>
      <w:r w:rsidRPr="00497BD8"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zCs w:val="32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</w:t>
      </w:r>
      <w:r w:rsidRPr="00497BD8">
        <w:t xml:space="preserve"> studiju provedenu za Glavnu upravu Komisije za regionalnu i urbanu politiku (</w:t>
      </w:r>
      <w:r w:rsidRPr="00497BD8">
        <w:rPr>
          <w:snapToGrid w:val="0"/>
        </w:rPr>
        <w:t>GU REGIO</w:t>
      </w:r>
      <w:r w:rsidRPr="00497BD8">
        <w:t xml:space="preserve">) naslovljenu </w:t>
      </w:r>
      <w:proofErr w:type="spellStart"/>
      <w:r w:rsidRPr="00497BD8">
        <w:t>Integrated</w:t>
      </w:r>
      <w:proofErr w:type="spellEnd"/>
      <w:r w:rsidRPr="00497BD8">
        <w:t xml:space="preserve"> </w:t>
      </w:r>
      <w:proofErr w:type="spellStart"/>
      <w:r w:rsidRPr="00497BD8">
        <w:t>territorial</w:t>
      </w:r>
      <w:proofErr w:type="spellEnd"/>
      <w:r w:rsidRPr="00497BD8">
        <w:t xml:space="preserve"> </w:t>
      </w:r>
      <w:proofErr w:type="spellStart"/>
      <w:r w:rsidRPr="00497BD8">
        <w:t>and</w:t>
      </w:r>
      <w:proofErr w:type="spellEnd"/>
      <w:r w:rsidRPr="00497BD8">
        <w:t xml:space="preserve"> urban </w:t>
      </w:r>
      <w:proofErr w:type="spellStart"/>
      <w:r w:rsidRPr="00497BD8">
        <w:t>strategies</w:t>
      </w:r>
      <w:proofErr w:type="spellEnd"/>
      <w:r w:rsidRPr="00497BD8">
        <w:t xml:space="preserve">: how are ESIF </w:t>
      </w:r>
      <w:proofErr w:type="spellStart"/>
      <w:r w:rsidRPr="00497BD8">
        <w:t>adding</w:t>
      </w:r>
      <w:proofErr w:type="spellEnd"/>
      <w:r w:rsidRPr="00497BD8">
        <w:t xml:space="preserve"> </w:t>
      </w:r>
      <w:proofErr w:type="spellStart"/>
      <w:r w:rsidRPr="00497BD8">
        <w:t>value</w:t>
      </w:r>
      <w:proofErr w:type="spellEnd"/>
      <w:r w:rsidRPr="00497BD8">
        <w:t xml:space="preserve"> </w:t>
      </w:r>
      <w:proofErr w:type="spellStart"/>
      <w:r w:rsidRPr="00497BD8">
        <w:t>in</w:t>
      </w:r>
      <w:proofErr w:type="spellEnd"/>
      <w:r w:rsidRPr="00497BD8">
        <w:t xml:space="preserve"> 2014-2020 (Integrirane teritorijalne i urbane strategije: kako europski strukturni i investicijski fondovi dodaju vrijednost u razdoblju 2014. – 2020., koja je objavljena u prosincu 2017.</w:t>
      </w:r>
      <w:r w:rsidRPr="00497BD8">
        <w:rPr>
          <w:rFonts w:eastAsia="Calibri"/>
          <w:szCs w:val="24"/>
          <w:vertAlign w:val="superscript"/>
          <w:lang w:eastAsia="en-US"/>
        </w:rPr>
        <w:footnoteReference w:id="17"/>
      </w:r>
      <w:r w:rsidRPr="00497BD8">
        <w:t>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</w:t>
      </w:r>
      <w:r w:rsidRPr="00497BD8">
        <w:t xml:space="preserve"> </w:t>
      </w:r>
      <w:r w:rsidRPr="00497BD8">
        <w:rPr>
          <w:snapToGrid w:val="0"/>
        </w:rPr>
        <w:t>STRAT-</w:t>
      </w:r>
      <w:proofErr w:type="spellStart"/>
      <w:r w:rsidRPr="00497BD8">
        <w:rPr>
          <w:snapToGrid w:val="0"/>
        </w:rPr>
        <w:t>Board</w:t>
      </w:r>
      <w:proofErr w:type="spellEnd"/>
      <w:r w:rsidRPr="00497BD8">
        <w:rPr>
          <w:snapToGrid w:val="0"/>
        </w:rPr>
        <w:t>, interaktivni alat koji su razvili Zajednički istraživački centar (JRC) Europske komisije i GU REGIO koji prikazuje kako europski strukturni i investicijski fondovi (ESIF-ovi) podupiru integrirani pristup urbanom i teritorijalnom razvoju</w:t>
      </w:r>
      <w:r w:rsidRPr="00497BD8">
        <w:rPr>
          <w:rStyle w:val="FootnoteReference"/>
          <w:snapToGrid w:val="0"/>
          <w:lang w:eastAsia="en-US"/>
        </w:rPr>
        <w:footnoteReference w:id="18"/>
      </w:r>
      <w:r w:rsidRPr="00497BD8">
        <w:rPr>
          <w:snapToGrid w:val="0"/>
        </w:rPr>
        <w:t>,</w:t>
      </w:r>
    </w:p>
    <w:p w:rsidR="00B0036B" w:rsidRPr="00497BD8" w:rsidRDefault="00B0036B" w:rsidP="00861BE9">
      <w:pPr>
        <w:widowControl/>
        <w:spacing w:after="240"/>
        <w:ind w:left="567" w:hanging="567"/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</w:t>
      </w:r>
      <w:r w:rsidRPr="00497BD8">
        <w:t xml:space="preserve"> </w:t>
      </w:r>
      <w:proofErr w:type="spellStart"/>
      <w:r w:rsidRPr="00497BD8">
        <w:t>Handbook</w:t>
      </w:r>
      <w:proofErr w:type="spellEnd"/>
      <w:r w:rsidRPr="00497BD8">
        <w:t xml:space="preserve"> </w:t>
      </w:r>
      <w:proofErr w:type="spellStart"/>
      <w:r w:rsidRPr="00497BD8">
        <w:t>of</w:t>
      </w:r>
      <w:proofErr w:type="spellEnd"/>
      <w:r w:rsidRPr="00497BD8">
        <w:t xml:space="preserve"> </w:t>
      </w:r>
      <w:proofErr w:type="spellStart"/>
      <w:r w:rsidRPr="00497BD8">
        <w:t>territorial</w:t>
      </w:r>
      <w:proofErr w:type="spellEnd"/>
      <w:r w:rsidRPr="00497BD8">
        <w:t xml:space="preserve"> </w:t>
      </w:r>
      <w:proofErr w:type="spellStart"/>
      <w:r w:rsidRPr="00497BD8">
        <w:t>and</w:t>
      </w:r>
      <w:proofErr w:type="spellEnd"/>
      <w:r w:rsidRPr="00497BD8">
        <w:t xml:space="preserve"> </w:t>
      </w:r>
      <w:proofErr w:type="spellStart"/>
      <w:r w:rsidRPr="00497BD8">
        <w:t>local</w:t>
      </w:r>
      <w:proofErr w:type="spellEnd"/>
      <w:r w:rsidRPr="00497BD8">
        <w:t xml:space="preserve"> development </w:t>
      </w:r>
      <w:proofErr w:type="spellStart"/>
      <w:r w:rsidRPr="00497BD8">
        <w:t>strategies</w:t>
      </w:r>
      <w:proofErr w:type="spellEnd"/>
      <w:r w:rsidRPr="00497BD8">
        <w:t xml:space="preserve"> (Priručnik o strategijama teritorijalnog i lokalnog razvoja)</w:t>
      </w:r>
      <w:r w:rsidRPr="00497BD8">
        <w:rPr>
          <w:vertAlign w:val="superscript"/>
        </w:rPr>
        <w:footnoteReference w:id="19"/>
      </w:r>
      <w:r w:rsidRPr="00497BD8">
        <w:t xml:space="preserve"> i </w:t>
      </w:r>
      <w:proofErr w:type="spellStart"/>
      <w:r w:rsidRPr="00497BD8">
        <w:t>Handbook</w:t>
      </w:r>
      <w:proofErr w:type="spellEnd"/>
      <w:r w:rsidRPr="00497BD8">
        <w:t xml:space="preserve"> </w:t>
      </w:r>
      <w:proofErr w:type="spellStart"/>
      <w:r w:rsidRPr="00497BD8">
        <w:t>of</w:t>
      </w:r>
      <w:proofErr w:type="spellEnd"/>
      <w:r w:rsidRPr="00497BD8">
        <w:t xml:space="preserve"> </w:t>
      </w:r>
      <w:proofErr w:type="spellStart"/>
      <w:r w:rsidRPr="00497BD8">
        <w:t>Sustainable</w:t>
      </w:r>
      <w:proofErr w:type="spellEnd"/>
      <w:r w:rsidRPr="00497BD8">
        <w:t xml:space="preserve"> Urban Development </w:t>
      </w:r>
      <w:proofErr w:type="spellStart"/>
      <w:r w:rsidRPr="00497BD8">
        <w:t>Strategies</w:t>
      </w:r>
      <w:proofErr w:type="spellEnd"/>
      <w:r w:rsidRPr="00497BD8">
        <w:t xml:space="preserve"> (Priručnik o strategijama održivog urbanog razvoja</w:t>
      </w:r>
      <w:r w:rsidR="002F7982">
        <w:rPr>
          <w:rStyle w:val="FootnoteReference"/>
        </w:rPr>
        <w:footnoteReference w:id="20"/>
      </w:r>
      <w:r w:rsidRPr="00497BD8">
        <w:t>), koje je objavio JRC,</w:t>
      </w:r>
    </w:p>
    <w:p w:rsidR="00B0036B" w:rsidRPr="00497BD8" w:rsidRDefault="00B0036B" w:rsidP="00861BE9">
      <w:pPr>
        <w:pStyle w:val="NormalBold"/>
        <w:widowControl/>
        <w:spacing w:after="240"/>
        <w:ind w:left="567" w:hanging="567"/>
      </w:pPr>
      <w:r w:rsidRPr="00497BD8">
        <w:rPr>
          <w:b w:val="0"/>
        </w:rPr>
        <w:lastRenderedPageBreak/>
        <w:t>–</w:t>
      </w:r>
      <w:r w:rsidRPr="00497BD8">
        <w:rPr>
          <w:b w:val="0"/>
        </w:rPr>
        <w:tab/>
        <w:t>uzimajući u obzir radni dokument Glavne uprave REGIO naslovljen „</w:t>
      </w:r>
      <w:proofErr w:type="spellStart"/>
      <w:r w:rsidRPr="00497BD8">
        <w:rPr>
          <w:b w:val="0"/>
        </w:rPr>
        <w:t>The</w:t>
      </w:r>
      <w:proofErr w:type="spellEnd"/>
      <w:r w:rsidRPr="00497BD8">
        <w:rPr>
          <w:b w:val="0"/>
        </w:rPr>
        <w:t xml:space="preserve"> </w:t>
      </w:r>
      <w:proofErr w:type="spellStart"/>
      <w:r w:rsidRPr="00497BD8">
        <w:rPr>
          <w:b w:val="0"/>
        </w:rPr>
        <w:t>geography</w:t>
      </w:r>
      <w:proofErr w:type="spellEnd"/>
      <w:r w:rsidRPr="00497BD8">
        <w:rPr>
          <w:b w:val="0"/>
        </w:rPr>
        <w:t xml:space="preserve"> </w:t>
      </w:r>
      <w:proofErr w:type="spellStart"/>
      <w:r w:rsidRPr="00497BD8">
        <w:rPr>
          <w:b w:val="0"/>
        </w:rPr>
        <w:t>of</w:t>
      </w:r>
      <w:proofErr w:type="spellEnd"/>
      <w:r w:rsidRPr="00497BD8">
        <w:rPr>
          <w:b w:val="0"/>
        </w:rPr>
        <w:t xml:space="preserve"> EU </w:t>
      </w:r>
      <w:proofErr w:type="spellStart"/>
      <w:r w:rsidRPr="00497BD8">
        <w:rPr>
          <w:b w:val="0"/>
        </w:rPr>
        <w:t>discontent</w:t>
      </w:r>
      <w:proofErr w:type="spellEnd"/>
      <w:r w:rsidRPr="00497BD8">
        <w:rPr>
          <w:b w:val="0"/>
        </w:rPr>
        <w:t xml:space="preserve"> </w:t>
      </w:r>
      <w:proofErr w:type="spellStart"/>
      <w:r w:rsidRPr="00497BD8">
        <w:rPr>
          <w:b w:val="0"/>
        </w:rPr>
        <w:t>and</w:t>
      </w:r>
      <w:proofErr w:type="spellEnd"/>
      <w:r w:rsidRPr="00497BD8">
        <w:rPr>
          <w:b w:val="0"/>
        </w:rPr>
        <w:t xml:space="preserve"> </w:t>
      </w:r>
      <w:proofErr w:type="spellStart"/>
      <w:r w:rsidRPr="00497BD8">
        <w:rPr>
          <w:b w:val="0"/>
        </w:rPr>
        <w:t>the</w:t>
      </w:r>
      <w:proofErr w:type="spellEnd"/>
      <w:r w:rsidRPr="00497BD8">
        <w:rPr>
          <w:b w:val="0"/>
        </w:rPr>
        <w:t xml:space="preserve"> </w:t>
      </w:r>
      <w:proofErr w:type="spellStart"/>
      <w:r w:rsidRPr="00497BD8">
        <w:rPr>
          <w:b w:val="0"/>
        </w:rPr>
        <w:t>regional</w:t>
      </w:r>
      <w:proofErr w:type="spellEnd"/>
      <w:r w:rsidRPr="00497BD8">
        <w:rPr>
          <w:b w:val="0"/>
        </w:rPr>
        <w:t xml:space="preserve"> development trap” (Geografija nezadovoljstva u EU-u i zamka nedovoljnog razvoja regija), objavljen u ožujku 2023.,</w:t>
      </w:r>
    </w:p>
    <w:p w:rsidR="00B0036B" w:rsidRPr="00497BD8" w:rsidRDefault="00B0036B" w:rsidP="00861BE9">
      <w:pPr>
        <w:pStyle w:val="NormalBold"/>
        <w:widowControl/>
        <w:spacing w:after="240"/>
        <w:ind w:left="567" w:hanging="567"/>
        <w:rPr>
          <w:b w:val="0"/>
        </w:rPr>
      </w:pPr>
      <w:r w:rsidRPr="00497BD8">
        <w:rPr>
          <w:b w:val="0"/>
        </w:rPr>
        <w:t>–</w:t>
      </w:r>
      <w:r w:rsidRPr="00497BD8">
        <w:rPr>
          <w:b w:val="0"/>
        </w:rPr>
        <w:tab/>
        <w:t>uzimajući u obzir studiju koju je naručilo Vijeće europskih općina i regija naslovljenu „Integrirana teritorijalna ulaganja i lokalni razvoj pod vodstvom zajednice – korištenje integriranih teritorijalnih alata u kohezijskoj politici” objavljenu u prosincu 2022.,</w:t>
      </w:r>
    </w:p>
    <w:p w:rsidR="00B0036B" w:rsidRPr="00497BD8" w:rsidRDefault="00B0036B" w:rsidP="00861BE9">
      <w:pPr>
        <w:pStyle w:val="NormalBold"/>
        <w:widowControl/>
        <w:spacing w:after="240"/>
        <w:ind w:left="567" w:hanging="567"/>
        <w:rPr>
          <w:b w:val="0"/>
        </w:rPr>
      </w:pPr>
      <w:r w:rsidRPr="00497BD8">
        <w:rPr>
          <w:b w:val="0"/>
        </w:rPr>
        <w:t>–</w:t>
      </w:r>
      <w:r w:rsidRPr="00497BD8">
        <w:rPr>
          <w:b w:val="0"/>
        </w:rPr>
        <w:tab/>
        <w:t xml:space="preserve">uzimajući u obzir Povelju iz </w:t>
      </w:r>
      <w:proofErr w:type="spellStart"/>
      <w:r w:rsidRPr="00497BD8">
        <w:rPr>
          <w:b w:val="0"/>
        </w:rPr>
        <w:t>Leipziga</w:t>
      </w:r>
      <w:proofErr w:type="spellEnd"/>
      <w:r w:rsidRPr="00497BD8">
        <w:rPr>
          <w:b w:val="0"/>
        </w:rPr>
        <w:t xml:space="preserve"> o održivim europskim gradovima iz 2007. i Novu Povelju iz </w:t>
      </w:r>
      <w:proofErr w:type="spellStart"/>
      <w:r w:rsidRPr="00497BD8">
        <w:rPr>
          <w:b w:val="0"/>
        </w:rPr>
        <w:t>Leipziga</w:t>
      </w:r>
      <w:proofErr w:type="spellEnd"/>
      <w:r w:rsidRPr="00497BD8">
        <w:rPr>
          <w:b w:val="0"/>
        </w:rPr>
        <w:t xml:space="preserve"> – </w:t>
      </w:r>
      <w:proofErr w:type="spellStart"/>
      <w:r w:rsidRPr="00497BD8">
        <w:rPr>
          <w:b w:val="0"/>
        </w:rPr>
        <w:t>transformativna</w:t>
      </w:r>
      <w:proofErr w:type="spellEnd"/>
      <w:r w:rsidRPr="00497BD8">
        <w:rPr>
          <w:b w:val="0"/>
        </w:rPr>
        <w:t xml:space="preserve"> moć gradova za opće dobro od 30. studenog 2020.,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>uzimajući u obzir članak 54. Poslovnika, članak 1. stavak 1. točku (e) Odluke Konferencije predsjednika od 12. prosinca 2002. o postupku davanja odobrenja za sastavljanje izvješća o vlastitoj inicijativi te Prilog 3. priložen toj odluci,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 xml:space="preserve">uzimajući </w:t>
      </w:r>
      <w:r w:rsidRPr="00497BD8">
        <w:t>u obzir mišljenje Odbora za poljoprivredu i ruralni razvoj,</w:t>
      </w:r>
    </w:p>
    <w:p w:rsidR="00B0036B" w:rsidRPr="00497BD8" w:rsidRDefault="00B0036B" w:rsidP="00861BE9">
      <w:pPr>
        <w:widowControl/>
        <w:spacing w:after="240"/>
        <w:ind w:left="567" w:hanging="567"/>
        <w:rPr>
          <w:snapToGrid w:val="0"/>
        </w:rPr>
      </w:pPr>
      <w:r w:rsidRPr="00497BD8">
        <w:rPr>
          <w:snapToGrid w:val="0"/>
        </w:rPr>
        <w:t>–</w:t>
      </w:r>
      <w:r w:rsidRPr="00497BD8">
        <w:rPr>
          <w:snapToGrid w:val="0"/>
        </w:rPr>
        <w:tab/>
        <w:t xml:space="preserve">uzimajući </w:t>
      </w:r>
      <w:r w:rsidRPr="00497BD8">
        <w:t>u obzir izvješće Odbora za regionalni razvoj (A9</w:t>
      </w:r>
      <w:r w:rsidRPr="00497BD8">
        <w:noBreakHyphen/>
        <w:t>0420/2023),</w:t>
      </w:r>
    </w:p>
    <w:p w:rsidR="00B0036B" w:rsidRPr="00497BD8" w:rsidRDefault="00B0036B" w:rsidP="00861BE9">
      <w:pPr>
        <w:pStyle w:val="NormalHanging12a"/>
        <w:widowControl/>
      </w:pPr>
      <w:r w:rsidRPr="00497BD8">
        <w:t>A.</w:t>
      </w:r>
      <w:r w:rsidRPr="00497BD8">
        <w:tab/>
        <w:t xml:space="preserve">budući da kohezijska politika i dalje ostaje, a i trebala bi ostati, glavna investicijska politika za regije i gradove EU-a te da joj svrha nije dosljedno služiti kao prvi izbor za financijsku pomoć pri suočavanju s nepredviđenim događanjima koja utječu na naše društvo i gospodarstvo; budući da je Teritorijalni program vodeći instrument teritorijalne politike EU-a, kao što se odražava u njegovim nacionalnim programima i projektima, te pruža smjernice za strateško prostorno planiranje i regionalni razvoj, poziva na jačanje teritorijalne dimenzije sektorskih politika na svim razinama upravljanja i nastoji promicati </w:t>
      </w:r>
      <w:proofErr w:type="spellStart"/>
      <w:r w:rsidRPr="00497BD8">
        <w:t>uključivu</w:t>
      </w:r>
      <w:proofErr w:type="spellEnd"/>
      <w:r w:rsidRPr="00497BD8">
        <w:t xml:space="preserve"> i održivu budućnost za sva mjesta i pomoći u postizanju ciljeva održivog razvoja u Europi;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B.</w:t>
      </w:r>
      <w:r w:rsidRPr="00497BD8">
        <w:tab/>
        <w:t>budući da su izazovi s kojima se suočavaju regije EU-a utvrđeni i da se njima upravlja na teritorijalnoj razini;</w:t>
      </w:r>
    </w:p>
    <w:p w:rsidR="00B0036B" w:rsidRPr="00497BD8" w:rsidRDefault="00B0036B" w:rsidP="00861BE9">
      <w:pPr>
        <w:pStyle w:val="NormalHanging12a"/>
        <w:widowControl/>
      </w:pPr>
      <w:r w:rsidRPr="00497BD8">
        <w:t>C.</w:t>
      </w:r>
      <w:r w:rsidRPr="00497BD8">
        <w:tab/>
        <w:t xml:space="preserve">budući da se ni u prethodnoj ni u sadašnjoj Uredbi o zajedničkim odredbama posebno ne upućuje na Teritorijalni program 2020. odnosno 2030.; budući da glava III. poglavlje II. sadašnje Uredbe o zajedničkim odredbama pruža osnovu za povlačenje sredstava kohezijske politike putem strategija teritorijalnog razvoja; budući da se članak 7. Uredbe (EU) </w:t>
      </w:r>
      <w:r w:rsidR="00966426">
        <w:t xml:space="preserve">br. </w:t>
      </w:r>
      <w:bookmarkStart w:id="8" w:name="_GoBack"/>
      <w:bookmarkEnd w:id="8"/>
      <w:r w:rsidRPr="00497BD8">
        <w:t>1301/2013</w:t>
      </w:r>
      <w:r w:rsidRPr="00497BD8">
        <w:rPr>
          <w:rStyle w:val="FootnoteReference"/>
        </w:rPr>
        <w:footnoteReference w:id="21"/>
      </w:r>
      <w:r w:rsidRPr="00497BD8">
        <w:t xml:space="preserve"> odnosi na održivi urbani razvoj temeljen na integriranim održivim urbanim strategijama kao okvir za odabir pojedinačnih operacija;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D</w:t>
      </w:r>
      <w:r w:rsidR="002F7982">
        <w:t>.</w:t>
      </w:r>
      <w:r w:rsidRPr="00497BD8">
        <w:tab/>
        <w:t>budući da se lokaliziranim pristupom donošenju politika koji se temelji na integriranom teritorijalnom razvoju nastoji osloboditi jedinstveni potencijal povezan s teritorijalnim resursima, znanjem i imovinom, istodobno prepoznajući potrebu za prilagođenim rješenjima na različitim vrstama teritorija;</w:t>
      </w:r>
    </w:p>
    <w:p w:rsidR="00B0036B" w:rsidRPr="00497BD8" w:rsidRDefault="00B0036B" w:rsidP="00861BE9">
      <w:pPr>
        <w:pStyle w:val="NormalHanging12a"/>
        <w:widowControl/>
      </w:pPr>
      <w:r w:rsidRPr="00497BD8">
        <w:t>E.</w:t>
      </w:r>
      <w:r w:rsidRPr="00497BD8">
        <w:tab/>
        <w:t xml:space="preserve">budući da se čini da su glavne poteškoće s kojima su se lokalne i regionalne institucije i civilno društvo susreli u razdoblju 2014. – 2020. bile nedovoljna tehnička i </w:t>
      </w:r>
      <w:r w:rsidRPr="00497BD8">
        <w:lastRenderedPageBreak/>
        <w:t xml:space="preserve">administrativna potpora, </w:t>
      </w:r>
      <w:proofErr w:type="spellStart"/>
      <w:r w:rsidRPr="00497BD8">
        <w:t>nesrazmjerne</w:t>
      </w:r>
      <w:proofErr w:type="spellEnd"/>
      <w:r w:rsidRPr="00497BD8">
        <w:t xml:space="preserve"> birokratske prepreke, nedostatak vještina i osposobljavanja, znanja i izgradnje kapaciteta te loša suradnja među različitim razinama upravljanja, uz sporu apsorpciju sredstava; 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F.</w:t>
      </w:r>
      <w:r w:rsidRPr="00497BD8">
        <w:tab/>
        <w:t>budući da se čini da u regijama i upravnim jedinicama u kojima se provodi LEADER, obvezni upravitelj lokalne akcijske skupine doprinosi poboljšanju uspješnosti i iskorištavanju regionalnog financiranja;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G.</w:t>
      </w:r>
      <w:r w:rsidRPr="00497BD8">
        <w:tab/>
        <w:t>budući da se bogatstvo teritorijalne raznolikosti EU-a treba smatrati dinamičnim i složenim sustavom u kojem se svaka regija suočava s razvojnim izazovima u skladu sa svojim posebnostima; budući da su sve veće nejednakosti među mjestima i među ljudima dosegle kritičnu razinu i da je potrebno usklađeno djelovanje na svim geografskim i upravljačkim razinama kako bi se osigurali pozitivni izgledi za budućnost za sve ljude i mjesta diljem EU-a;</w:t>
      </w:r>
    </w:p>
    <w:p w:rsidR="00B0036B" w:rsidRPr="00497BD8" w:rsidRDefault="00B0036B" w:rsidP="00861BE9">
      <w:pPr>
        <w:pStyle w:val="NormalHanging12a"/>
        <w:widowControl/>
      </w:pPr>
      <w:r w:rsidRPr="00497BD8">
        <w:t>H.</w:t>
      </w:r>
      <w:r w:rsidRPr="00497BD8">
        <w:tab/>
        <w:t>budući da Priručnik o strategijama teritorijalnog i lokalnog razvoja nudi metodološku potporu na svim razinama;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I.</w:t>
      </w:r>
      <w:r w:rsidRPr="00497BD8">
        <w:tab/>
        <w:t xml:space="preserve">budući da je </w:t>
      </w:r>
      <w:proofErr w:type="spellStart"/>
      <w:r w:rsidRPr="00497BD8">
        <w:t>mikrokohezija</w:t>
      </w:r>
      <w:proofErr w:type="spellEnd"/>
      <w:r w:rsidRPr="00497BD8">
        <w:t xml:space="preserve"> oblik ravnoteže za nerazvijena područja unutar razvijenijih regija; budući da se Teritorijalnim programom 2030., koji je izričito usmjeren na „mjesta i ljude”, razvija „ideja međuljudske kohezije” uz teritorijalnu koheziju, uzimajući u obzir da se te razlike mogu riješiti samo posvećivanjem veće pozornosti raznolikosti i potencijalu teritorija, kao i osmišljavanjem lokaliziranih politika i strategija u cilju boljeg uključivanja teritorijalne dimenzije u sve fondove EU-a;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J.</w:t>
      </w:r>
      <w:r w:rsidRPr="00497BD8">
        <w:tab/>
        <w:t>budući da se u članku 28. UZO-a integrirana teritorijalna ulaganja i lokalni razvoj pod vodstvom zajednice određuju kao instrumenti za provedbu strategija teritorijalnog razvoja te se poziva na usklađenost i koordinaciju među fondovima kada se nekoliko njih primjenjuje na istu strategiju za regionalni ili lokalni razvoj; budući da su ti instrumenti usmjereni na teritorijalni razvoj odozdo prema gore te se njima jača aktivno sudjelovanje lokalnih dionika;</w:t>
      </w:r>
    </w:p>
    <w:p w:rsidR="00B0036B" w:rsidRPr="00497BD8" w:rsidRDefault="00B0036B" w:rsidP="00861BE9">
      <w:pPr>
        <w:pStyle w:val="NormalHanging12a"/>
        <w:widowControl/>
      </w:pPr>
      <w:r w:rsidRPr="00497BD8">
        <w:t>K.</w:t>
      </w:r>
      <w:r w:rsidRPr="00497BD8">
        <w:tab/>
        <w:t>budući da je u razdoblju 2014. – 2020. programirano 1975 strategija u tadašnjih 28 država članica, za koje su dodijeljena sredstva u iznosu od 19 milijardi EUR iz Europskog fonda za regionalni razvoj (EFRR), od čega je 13,8 milijardi EUR dodijeljeno za integrirana teritorijalna ulaganja u devet država članica;</w:t>
      </w:r>
    </w:p>
    <w:p w:rsidR="00B0036B" w:rsidRPr="00497BD8" w:rsidRDefault="00B0036B" w:rsidP="00861BE9">
      <w:pPr>
        <w:pStyle w:val="NormalHanging12a"/>
        <w:widowControl/>
      </w:pPr>
      <w:r w:rsidRPr="00497BD8">
        <w:t>L.</w:t>
      </w:r>
      <w:r w:rsidRPr="00497BD8">
        <w:tab/>
        <w:t>budući da je lokalni razvoj pod vodstvom zajednice bio drugi najčešće upotrebljavani alat država članica za razvoj teritorijalnih ili lokalnih strategija u razdoblju 2014. – 2020. i da se njime jamči da će lokalne i regionalne vlasti i dionici biti potpuno uključeni u pripremu, provedbu i praćenje sredstava EU-a koja primaju; budući da ne postoji izdvajanje sredstava za korištenje lokalnog razvoja pod vodstvom zajednice u programskom razdoblju od 2021. do 2027. godine;</w:t>
      </w:r>
    </w:p>
    <w:p w:rsidR="00B0036B" w:rsidRPr="00497BD8" w:rsidRDefault="00B0036B" w:rsidP="00861BE9">
      <w:pPr>
        <w:pStyle w:val="NormalHanging12a"/>
        <w:widowControl/>
      </w:pPr>
      <w:r w:rsidRPr="00497BD8">
        <w:t>M.</w:t>
      </w:r>
      <w:r w:rsidRPr="00497BD8">
        <w:tab/>
        <w:t xml:space="preserve">budući da je provedba integriranih teritorijalnih ulaganja i lokalnog razvoja pod vodstvom zajednice i dalje neujednačena diljem EU-a te da nekoliko država članica i upravljačkih tijela pokazuju slabu predanost njihovoj provedbi; budući da se tumačenje i provedba cilja politike br. 5 „Europa bliža građanima” razlikuju među državama članicama, što dovodi do niske razine provedbe integriranih teritorijalnih ulaganja i lokalnog razvoja pod vodstvom zajednice; budući da bi </w:t>
      </w:r>
      <w:proofErr w:type="spellStart"/>
      <w:r w:rsidRPr="00497BD8">
        <w:t>suzakonodavci</w:t>
      </w:r>
      <w:proofErr w:type="spellEnd"/>
      <w:r w:rsidRPr="00497BD8">
        <w:t xml:space="preserve"> u budućnosti trebali razmotriti fleksibilniju provedbu cilja politike br. 5 bez strogih zahtjeva u </w:t>
      </w:r>
      <w:r w:rsidRPr="00497BD8">
        <w:lastRenderedPageBreak/>
        <w:t>pogledu strategija i upravljanja, čime bi se doprinijelo njegovoj otvorenosti za sve vrste inicijativa kojima se doprinosi regionalnom i lokalnom razvoju;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N.</w:t>
      </w:r>
      <w:r w:rsidRPr="00497BD8">
        <w:tab/>
        <w:t>budući da su integrirana teritorijalna ulaganja i lokalni razvoj pod vodstvom zajednice instrumenti koji bi trebali biti usmjereni ne samo na olakšavanje pristupa teritorijalnom razvoju odozdo prema gore uključivanjem lokalnih i regionalnih vlasti od samog početka, već i olakšavanjem dijaloga između različitih dionika i povećanjem suradnje između javnog i privatnog sektora, kao i poticanjem suradnje i prijenosa informacija između svih razina vlasti;</w:t>
      </w:r>
    </w:p>
    <w:p w:rsidR="00B0036B" w:rsidRPr="00497BD8" w:rsidRDefault="00B0036B" w:rsidP="00861BE9">
      <w:pPr>
        <w:pStyle w:val="NormalHanging12a"/>
        <w:widowControl/>
      </w:pPr>
      <w:r w:rsidRPr="00497BD8">
        <w:t>O.</w:t>
      </w:r>
      <w:r w:rsidRPr="00497BD8">
        <w:tab/>
        <w:t>budući da se u Teritorijalnom programu 2030. Parlament i njegov Odbor za regionalni razvoj kao nadležni odbor za gospodarsku, socijalnu i teritorijalnu koheziju pozivaju da uzmu u obzir njegove ciljeve zagovaranjem njegovih prioriteta u zakonodavnim postupcima EU-a;</w:t>
      </w:r>
    </w:p>
    <w:p w:rsidR="00B0036B" w:rsidRPr="00497BD8" w:rsidRDefault="00B0036B" w:rsidP="00861BE9">
      <w:pPr>
        <w:pStyle w:val="NormalHanging12a"/>
        <w:widowControl/>
      </w:pPr>
      <w:r w:rsidRPr="00497BD8">
        <w:t>P.</w:t>
      </w:r>
      <w:r w:rsidRPr="00497BD8">
        <w:tab/>
        <w:t>budući da su integrirana teritorijalna ulaganja i lokalizirane politike nužni uvjeti za postizanje strateških ciljeva EU-a kao što su zelena i digitalna tranzicija; budući da lokalizirane politike mogu pomoći područjima da pobjegnu od dugoročnog gospodarskog pada i „zamke regionalnog razvoja” u kojoj regija ne može zadržati svoju gospodarsku dinamičnost u pogledu prihoda, produktivnosti i zapošljavanja;</w:t>
      </w:r>
    </w:p>
    <w:p w:rsidR="00B0036B" w:rsidRPr="00497BD8" w:rsidRDefault="00B0036B" w:rsidP="00861BE9">
      <w:pPr>
        <w:pStyle w:val="NormalHanging12a"/>
        <w:widowControl/>
      </w:pPr>
      <w:r w:rsidRPr="00497BD8">
        <w:t>Q.</w:t>
      </w:r>
      <w:r w:rsidRPr="00497BD8">
        <w:tab/>
        <w:t xml:space="preserve">budući da se u Teritorijalnom programu 2030. utvrđuju dva sveobuhvatna cilja, „Pravedna Europa” i „Zelena Europa”, koji imaju šest prioriteta (Uravnotežena Europa, Funkcionalne regije, Integracija koja prelazi granice, Zdrav okoliš, Kružno gospodarstvo i Održive veze) za razvoj europskog područja kao cjeline zajedno sa svim njegovim mjestima; budući da se Teritorijalnim programom 2030. ciljevi teritorijalnog razvoja EU-a dodatno usklađuju s UN-ovim Programom održivog razvoja do 2030. i europskim zelenim planom; budući da se planom EU-a za gradove, a na temelju Povelje iz </w:t>
      </w:r>
      <w:proofErr w:type="spellStart"/>
      <w:r w:rsidRPr="00497BD8">
        <w:t>Leipziga</w:t>
      </w:r>
      <w:proofErr w:type="spellEnd"/>
      <w:r w:rsidRPr="00497BD8">
        <w:t>, podupiru ciljevi Teritorijalnog programa 2030.;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R.</w:t>
      </w:r>
      <w:r w:rsidRPr="00497BD8">
        <w:tab/>
        <w:t>budući da snažan zajednički teritorijalni razvoj putem Uredbe o zajedničkim odredbama i provedbe Teritorijalnog programa 2030. može poslužiti kao sredstvo za jačanje solidarnosti i demokratskih procesa te za pravedan i zeleni EU; budući da teritorijalni pristupi donose dodanu vrijednost primjenom strateške, prostorne perspektive koja obuhvaća posebne kombinacije društvenih, institucionalnih, gospodarskih i ekoloških izazova i mogućnosti koji utječu na razvoj svih vrsta teritorija;</w:t>
      </w:r>
    </w:p>
    <w:p w:rsidR="00B0036B" w:rsidRPr="00497BD8" w:rsidRDefault="00B0036B" w:rsidP="00861BE9">
      <w:pPr>
        <w:pStyle w:val="NormalHanging12a"/>
        <w:widowControl/>
      </w:pPr>
      <w:r w:rsidRPr="00497BD8">
        <w:t>S.</w:t>
      </w:r>
      <w:r w:rsidRPr="00497BD8">
        <w:tab/>
        <w:t xml:space="preserve">budući da je provedba prioriteta Teritorijalnog programa 2030. i dalje neujednačena diljem EU-a, posebno uzimajući u obzir prostorne razlike kao što je </w:t>
      </w:r>
      <w:proofErr w:type="spellStart"/>
      <w:r w:rsidRPr="00497BD8">
        <w:t>inzularnost</w:t>
      </w:r>
      <w:proofErr w:type="spellEnd"/>
      <w:r w:rsidRPr="00497BD8">
        <w:t>; budući da zaključci Teritorijalnog programa 2030. pokazuju sve veće nejednakosti unutar EU-a, što naglašava razlike između ljudi i teritorija;</w:t>
      </w:r>
    </w:p>
    <w:p w:rsidR="00B0036B" w:rsidRPr="00497BD8" w:rsidRDefault="00B0036B" w:rsidP="00861BE9">
      <w:pPr>
        <w:pStyle w:val="NormalHanging12a"/>
        <w:widowControl/>
      </w:pPr>
      <w:r w:rsidRPr="00497BD8">
        <w:t>T.</w:t>
      </w:r>
      <w:r w:rsidRPr="00497BD8">
        <w:tab/>
        <w:t>budući da se u Teritorijalnom programu 2030. poziva na jačanje teritorijalne dimenzije sektorskih politika na svim razinama upravljanja; budući da su vodeća načela Teritorijalnog programa 2030. obuhvaćena dvama prioritetima „Ljudi i mjesta se razdvajaju” i „Održivi razvoj i klimatske promjene”;</w:t>
      </w:r>
    </w:p>
    <w:p w:rsidR="00B0036B" w:rsidRPr="00497BD8" w:rsidRDefault="00B0036B" w:rsidP="00861BE9">
      <w:pPr>
        <w:pStyle w:val="NormalHanging12a"/>
        <w:widowControl/>
      </w:pPr>
      <w:r w:rsidRPr="00497BD8">
        <w:t>U.</w:t>
      </w:r>
      <w:r w:rsidRPr="00497BD8">
        <w:tab/>
        <w:t xml:space="preserve">budući da je usvajanjem Teritorijalnog programa 2030. pokrenuto sedam pilot-aktivnosti, koje služe kao primjer primjene njegovih ciljeva na terenu, na lokalnoj i regionalnoj razini, i kojima se nadahnjuju zajednička djelovanja diljem EU-a, a to su: „Budućnost za regije koje zaostaju”, „Razumijevanje načina na koji sektorske politike </w:t>
      </w:r>
      <w:r w:rsidRPr="00497BD8">
        <w:lastRenderedPageBreak/>
        <w:t xml:space="preserve">oblikuju prostorne (ne)ravnoteže”, „Mala mjesta su važna”, „Prekogranično prostorno planiranje”, „Klimatske mjere u alpskim gradovima”, „Prilagodba klimatskim promjenama i otpornost na klimatske promjene putem tranzicije krajolika” te „Smanjenje </w:t>
      </w:r>
      <w:proofErr w:type="spellStart"/>
      <w:r w:rsidRPr="00497BD8">
        <w:t>artificijalizacije</w:t>
      </w:r>
      <w:proofErr w:type="spellEnd"/>
      <w:r w:rsidRPr="00497BD8">
        <w:t xml:space="preserve"> zemljišta, širenje urbanih područja i prekrivanje tla u gradovima različitih veličina i funkcionalnim urbanim područjima”;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V.</w:t>
      </w:r>
      <w:r w:rsidRPr="00497BD8">
        <w:tab/>
        <w:t>budući da je, uzimajući u obzir ograničenu geografsku ravnotežu u razvoju tih pilot-mjera i administrativne poteškoće do kojih je dolazilo kada su se pilot-aktivnosti financirale iz nekoliko programa, potrebno bolje prikupljanje podataka, kao i dosljedna revizija Teritorijalnog programa 2030.;</w:t>
      </w:r>
    </w:p>
    <w:p w:rsidR="00B0036B" w:rsidRPr="00497BD8" w:rsidRDefault="00B0036B" w:rsidP="00861BE9">
      <w:pPr>
        <w:pStyle w:val="NormalHanging12a"/>
        <w:widowControl/>
      </w:pPr>
      <w:r w:rsidRPr="00497BD8">
        <w:t>1.</w:t>
      </w:r>
      <w:r w:rsidRPr="00497BD8">
        <w:tab/>
        <w:t>naglašava da je u razdoblju 2014. – 2020. samo 28 % strategija održivog urbanog razvoja provedeno putem integriranih teritorijalnih ulaganja; poziva Komisiju da poduzme mjere za poticanje upotrebe takvih alata za razvoj Teritorijalnog programa 2030., posebno intenziviranjem komunikacijskih aktivnosti;</w:t>
      </w:r>
    </w:p>
    <w:p w:rsidR="00B0036B" w:rsidRPr="00497BD8" w:rsidRDefault="00B0036B" w:rsidP="00861BE9">
      <w:pPr>
        <w:pStyle w:val="NormalHanging12a"/>
        <w:widowControl/>
      </w:pPr>
      <w:r w:rsidRPr="00497BD8">
        <w:t>2.</w:t>
      </w:r>
      <w:r w:rsidRPr="00497BD8">
        <w:tab/>
        <w:t>naglašava vrijedan doprinos teritorijalnom razvoju koji je rezultat mjera koje se provode u okviru lokalnog razvoja pod vodstvom zajednice, kao što su mjere u okviru programa LEADER; poziva Komisiju i države članice da ojačaju program LEADER povećanjem njegove proračunske omotnice, jamčenjem visoke razine autonomije lokalnih akcijskih skupina u pogledu njihova osnivanja i donošenja odluka te smanjenjem administrativnog opterećenja;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3.</w:t>
      </w:r>
      <w:r w:rsidRPr="00497BD8">
        <w:tab/>
        <w:t>poziva Komisiju da za potporu programima za razdoblje 2021. – 2027. upotrijebi rezultate predstojećeg izvješća o evaluaciji za 2024. za programsko razdoblje 2014. – 2020., kao i rezultate mjera u okviru lokalnog razvoja pod vodstvom zajednice, kao što su rezultati u okviru programa LEADER; primjećuje važnost kvalitativne analize instrumenata teritorijalnog razvoja; u tom pogledu žali zbog zaključka tematskog izvješća Europskog revizorskog suda o LEADER-u i lokalnom razvoju pod vodstvom zajednice po kojem nema dovoljno dokaza koji bi potvrdili njihove koristi;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4.</w:t>
      </w:r>
      <w:r w:rsidRPr="00497BD8">
        <w:tab/>
        <w:t>pozdravlja Priručnik o strategijama teritorijalnog i lokalnog razvoja i Priručnik o strategijama održivog urbanog razvoja kao smjernice za sve administrativne razine za izradu, provedbu i praćenje strategija teritorijalnog i lokalnog razvoja, uključujući urbani razvoj; smatra da treba poticati širenje dobrih primjera iz prakse u području teritorijalnog razvoja kako bi se osigurala učinkovitost i održivost projekata; međutim, žali zbog zakašnjelog objavljivanja tih priručnika i potiče Komisiju da izradi pravodobne smjernice za pojednostavljenje postupka razvoja programa; ističe da je potrebno državama članicama ponuditi više smjernica i veću fleksibilnost u pogledu provedbe cilja politike br. 5 „Europa bliža građanima” i mjera za postizanje tog cilja, uskladiti te mjere s onima iz Teritorijalnog programa 2030. i stvarati poticaje za dodjelu više sredstava za cilj politike br. 5;</w:t>
      </w:r>
    </w:p>
    <w:p w:rsidR="00B0036B" w:rsidRPr="00497BD8" w:rsidRDefault="00B0036B" w:rsidP="00861BE9">
      <w:pPr>
        <w:pStyle w:val="NormalHanging12a"/>
        <w:widowControl/>
      </w:pPr>
      <w:r w:rsidRPr="00497BD8">
        <w:t>5.</w:t>
      </w:r>
      <w:r w:rsidRPr="00497BD8">
        <w:tab/>
        <w:t>poziva države članice da promiču strateško prostorno planiranje u kojem se uzimaju u obzir područja u cjelini izvan gradskih, urbanih i funkcionalnih urbanih područja; nadalje, poziva države članice da ojačaju ruralno-urbane veze kako bi se postigao uravnoteženiji teritorijalni razvoj diljem EU-a te da razmotre prekogranično planiranje i provedbu s pomoću pristupa odozdo prema gore kao što su lokalni razvoj pod vodstvom zajednice i integrirana teritorijalna ulaganja;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lastRenderedPageBreak/>
        <w:t>6.</w:t>
      </w:r>
      <w:r w:rsidRPr="00497BD8">
        <w:tab/>
        <w:t>poziva Komisiju i Vijeće da namijene sredstva za ruralna područja i regije izložene ozbiljnim i trajnim prirodnim ili demografskim poteškoćama na isti način na koji je 8 % sredstava kohezijske politike namijenjeno za razvoj programa u okviru plana za gradove; napominje da bi se ta sredstva trebala pretežito koristiti s pomoću alata za integrirani teritorijalni razvoj;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7.</w:t>
      </w:r>
      <w:r w:rsidRPr="00497BD8">
        <w:tab/>
        <w:t xml:space="preserve">uzima u obzir kapacitete koje su lokalne i regionalne vlasti pokazale u provedbi teritorijalnih alata i upravljanju njima te smatra da je potrebna promjena paradigme u uključivanju lokalnih i regionalnih vlasti u planiranje i provedbu teritorijalnih alata i upravljanje njima; poziva na učinkovitu provedbu načela partnerstva i temeljito savjetovanje s lokalnim i regionalnim vlastima i ostalim dionicima prije definiranja mjera integriranih teritorijalnih ulaganja i lokalnog razvoja pod vodstvom zajednice; ističe važnost pristupa „odozdo prema gore” za teritorijalni razvoj, uz istodobno osnaživanje građana da preuzmu odgovornost za razvoj svojih teritorija; </w:t>
      </w:r>
    </w:p>
    <w:p w:rsidR="00B0036B" w:rsidRPr="00497BD8" w:rsidRDefault="00B0036B" w:rsidP="00861BE9">
      <w:pPr>
        <w:pStyle w:val="NormalHanging12a"/>
        <w:widowControl/>
      </w:pPr>
      <w:r w:rsidRPr="00497BD8">
        <w:t>8.</w:t>
      </w:r>
      <w:r w:rsidRPr="00497BD8">
        <w:tab/>
        <w:t>poziva da se strategije teritorijalnog ili lokalnog razvoja koje se financiraju iz više programa objedine, u skladu s člankom 28. Uredbe o zajedničkim odredbama i uz potporu Komisije, ako je to potrebno, kako bi se spriječila kašnjenja i administrativne prepreke; pozdravlja mogućnost uvedenu u programskom razdoblju 2021. – 2027. da se odredi vodeći fond za strategije koje se financiraju iz više fondova;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9.</w:t>
      </w:r>
      <w:r w:rsidRPr="00497BD8">
        <w:tab/>
        <w:t>napominje da su teritorijalni instrumenti kao što su lokalni razvoj pod vodstvom zajednice i integrirana teritorijalna ulaganja dokazane mjere kojima se EU može približiti građanima; konstatira da podaci interaktivnog alata STRAT-</w:t>
      </w:r>
      <w:proofErr w:type="spellStart"/>
      <w:r w:rsidRPr="00497BD8">
        <w:t>Board</w:t>
      </w:r>
      <w:proofErr w:type="spellEnd"/>
      <w:r w:rsidRPr="00497BD8">
        <w:t xml:space="preserve"> za razdoblje 2014. – 2020. pokazuju da je lokalni razvoj pod vodstvom zajednice imao važnu ulogu u razvoju teritorijalnih strategija, naglašavajući snažan interes na lokalnoj razini za aktivno sudjelovanje u razvoju tih strategija; poziva države članice i Komisiju da pojednostave administrativno upravljanje fondovima, posebno u slučajevima u kojima se lokalni razvoj pod vodstvom zajednice oslanja na više fondova; naglašava da su integrirana teritorijalna ulaganja glavni alat kojim se koriste države članice s većom dodjelom sredstava iz EFRR-a jer mogu brzo apsorbirati iznose te su u mogućnosti pokriti nekoliko glavnih osi prisutnih u jednom ili više programa;</w:t>
      </w:r>
    </w:p>
    <w:p w:rsidR="00B0036B" w:rsidRPr="00497BD8" w:rsidRDefault="00B0036B" w:rsidP="00861BE9">
      <w:pPr>
        <w:pStyle w:val="NormalHanging12a"/>
        <w:widowControl/>
      </w:pPr>
      <w:r w:rsidRPr="00497BD8">
        <w:t>10.</w:t>
      </w:r>
      <w:r w:rsidRPr="00497BD8">
        <w:tab/>
        <w:t>naglašava jasnu razliku između država članica koje su se zauzele za razvoj integriranih teritorijalnih ulaganja ili lokalni razvoj pod vodstvom zajednice i onih koje nisu; poziva Komisiju da pojasni tu razliku kako bi se izbjegle geografske razlike te da osigura prilagođenu tehničku potporu onim državama članicama koje nisu iskoristile te teritorijalne alate; potiče sve države članice da u većoj mjeri iskoriste alate integriranog teritorijalnog razvoja kako je definiran u članku 28. Uredbe (UZO) i osiguraju poštovanje partnerstva kako je definirano u članku 8. Uredbe (UZO); smatra da bi alati za integrirana teritorijalna ulaganja trebali biti obvezni za države članice;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11.</w:t>
      </w:r>
      <w:r w:rsidRPr="00497BD8">
        <w:tab/>
        <w:t xml:space="preserve">pozdravlja tehnička pojednostavnjenja u teritorijalnom razvoju uvedena u programskom razdoblju 2021. – 2027.; međutim, poziva Komisiju i države članice da zadrže potrebne dodatne administrativne propise na najnižoj mogućoj razini i da se još više usredotoče na proporcionalnost jer mali projekti trenutačno imaju razmjerno veće administrativno opterećenje (za korisnike) i administrativne troškove (za programska tijela) od većih projekata; </w:t>
      </w:r>
    </w:p>
    <w:p w:rsidR="00B0036B" w:rsidRPr="00497BD8" w:rsidRDefault="00B0036B" w:rsidP="00861BE9">
      <w:pPr>
        <w:pStyle w:val="NormalHanging12a"/>
        <w:widowControl/>
      </w:pPr>
      <w:r w:rsidRPr="00497BD8">
        <w:t>12.</w:t>
      </w:r>
      <w:r w:rsidRPr="00497BD8">
        <w:tab/>
        <w:t xml:space="preserve">smatra da je Teritorijalni program 2030. stvaran i odgovarajući instrument usmjeren na smanjenje prostorne dimenzije nejednakosti i jamčenje kohezije EU-a putem </w:t>
      </w:r>
      <w:r w:rsidRPr="00497BD8">
        <w:lastRenderedPageBreak/>
        <w:t>upravljanja svakom od njegovih regija s njihovim posebnostima; stoga smatra da bi društva i područja trebali biti više uključeni u priznavanje važnosti tog programa; poziva Komisiju da izmijeni ulogu Teritorijalnog programa 2030. koja bi nadilazila ulogu vodiča za teritorijalno upravljanje;</w:t>
      </w:r>
    </w:p>
    <w:p w:rsidR="00B0036B" w:rsidRPr="00497BD8" w:rsidRDefault="00B0036B" w:rsidP="00861BE9">
      <w:pPr>
        <w:pStyle w:val="NormalHanging12a"/>
        <w:widowControl/>
      </w:pPr>
      <w:r w:rsidRPr="00497BD8">
        <w:t>13.</w:t>
      </w:r>
      <w:r w:rsidRPr="00497BD8">
        <w:tab/>
        <w:t>primjećuje da se Teritorijalnim programom 2030. ne zagovaraju samo odgovori lokalizirane politike na teritorijalne izazove, već se njime pruža i vizija i ambicija za cilj teritorijalne kohezije kroz bolje uključivanje lokalnih i regionalnih vlasti i građana;</w:t>
      </w:r>
    </w:p>
    <w:p w:rsidR="00B0036B" w:rsidRPr="00497BD8" w:rsidRDefault="00B0036B" w:rsidP="00861BE9">
      <w:pPr>
        <w:pStyle w:val="NormalHanging12a"/>
        <w:widowControl/>
      </w:pPr>
      <w:r w:rsidRPr="00497BD8">
        <w:t>14.</w:t>
      </w:r>
      <w:r w:rsidRPr="00497BD8">
        <w:tab/>
        <w:t>ističe da, iako je financiranje iz više fondova jedna od glavnih svrha teritorijalnih integriranih alata, trenutačni nalazi pokazuju da se u nekim zemljama korištenje financiranja iz više fondova i dalje može pokazati teškim, posebno s obzirom na to da u trenutačnom razdoblju EPFRR (ruralni razvoj) više nije uključen u Uredbu o zajedničkim odredbama te bi stoga bile potrebne dodatne i posebne mjere za usklađivanje pravila EPFRR-a i drugih fondova kohezijske politike (tj. upotreba različitih fondova EU-a za integrirane projekte na lokalnoj razini koji se odnose na nekoliko ciljeva politike);</w:t>
      </w:r>
    </w:p>
    <w:p w:rsidR="00B0036B" w:rsidRPr="00497BD8" w:rsidRDefault="00B0036B" w:rsidP="00861BE9">
      <w:pPr>
        <w:pStyle w:val="NormalHanging12a"/>
        <w:widowControl/>
      </w:pPr>
      <w:r w:rsidRPr="00497BD8">
        <w:t>15.</w:t>
      </w:r>
      <w:r w:rsidRPr="00497BD8">
        <w:tab/>
        <w:t>poziva države članice da aktivno promiču uključivanje rodno osviještene politike u pripremu i provedbu pilot-projekata Teritorijalnog programa 2030. na terenu;</w:t>
      </w:r>
    </w:p>
    <w:p w:rsidR="00B0036B" w:rsidRPr="00497BD8" w:rsidRDefault="00B0036B" w:rsidP="00861BE9">
      <w:pPr>
        <w:widowControl/>
        <w:spacing w:after="240"/>
        <w:ind w:left="567" w:hanging="567"/>
      </w:pPr>
      <w:r w:rsidRPr="00497BD8">
        <w:t>16.</w:t>
      </w:r>
      <w:r w:rsidRPr="00497BD8">
        <w:tab/>
        <w:t>naglašava da su pravedni i dostojanstveni prihodi i kvaliteta života građana i njihovih obitelji u ruralnim područjima ključni za osiguravanje društvenog napretka i uspješnog teritorijalnog i lokalnog razvoja; ustraje u potrebi za osiguravanjem pristojnih uvjeta života i rada te socijalne zaštite za sve;</w:t>
      </w:r>
    </w:p>
    <w:p w:rsidR="00B0036B" w:rsidRPr="00497BD8" w:rsidRDefault="00B0036B" w:rsidP="00861BE9">
      <w:pPr>
        <w:widowControl/>
        <w:spacing w:after="240"/>
        <w:ind w:left="567" w:hanging="567"/>
      </w:pPr>
      <w:r w:rsidRPr="00497BD8">
        <w:t>17.</w:t>
      </w:r>
      <w:r w:rsidRPr="00497BD8">
        <w:tab/>
        <w:t>naglašava važnost bolje usklađenosti politika i procjene učinka budućih inicijativa integriranog teritorijalnog razvoja EU-a i drugih važnih inicijativa za ruralna područja kako bi se procijenila usklađenost i komplementarnost politika EU-a i njihov mogući učinak na ruralna područja, čime bi se na učinkovit način spriječilo raseljavanje iz ruralnih područja i olakšala generacijska obnova, pristup osnovnim uslugama i otvaranje radnih mjesta u ruralnim područjima; naglašava važnost mehanizma procjene učinka na ruralna područja, među ostalim i za države članice pri procjeni učinaka predloženog zakonodavstva u ruralnim područjima; naglašava važnost uključivanja lokalnih i regionalnih vlasti u definiranje i provedbu mehanizama procjene učinka na ruralna područja, kao i u upravljanje tim mehanizmima na razini EU-a i nacionalnoj razini, kako bi se suzbilo socijalno isključivanje povezano s prijevozom i poboljšala teritorijalna pristupačnost tih područja i time unaprijedila prekogranična suradnja te suradnja ruralnih i urbanih područja, pristup širokopojasnom internetu i odgovarajućim uslugama, u prvom redu zdravstvenoj skrbi i obrazovanju, kao i diversifikacija ruralnog gospodarstva i revitalizacija ruralnih područja povećanjem njihove atraktivnosti te zajamčila održiva budućnost tih zajednica;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18.</w:t>
      </w:r>
      <w:r w:rsidRPr="00497BD8">
        <w:tab/>
        <w:t>naglašava da bi aktivnosti Teritorijalnog programa 2030. trebale imati središnju ulogu u sporazumima o partnerstvu i programima; naglašava da bi te aktivnosti trebale biti odlučnije u dodjeli sredstava i da je potrebno promicati integraciju Teritorijalnog programa 2030. u politike EU-a, s naglaskom na niže razine upravljanja; smatra da bi u budućem višegodišnjem financijskom okviru za Teritorijalni program 2030. trebalo osigurati odgovarajuća financijska sredstva i metodologiju dodjele sredstava;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lastRenderedPageBreak/>
        <w:t>19.</w:t>
      </w:r>
      <w:r w:rsidRPr="00497BD8">
        <w:tab/>
        <w:t>naglašava da je uključivanje prioriteta i ciljeva Teritorijalnog programa 2030. u zakonodavne instrumente i programe fondova kohezijske politike ključno te bi oni trebali biti prilagođeni svakom području; pozdravlja pilot-aktivnosti koje su razvijene u okviru Teritorijalnog programa 2030. te poziva države članice i Komisiju da nastave ulagati u te aktivnosti, poboljšavajući njihovu geografsku ravnotežu i bolje ih usklađujući s načelima Teritorijalnog programa 2030.;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20.</w:t>
      </w:r>
      <w:r w:rsidRPr="00497BD8">
        <w:tab/>
        <w:t xml:space="preserve">naglašava potrebu za uključivanjem Parlamenta, posebno njegova nadležnog Odbora za regionalni razvoj, u pilot-aktivnosti, kako bi se osiguralo da su u skladu s trenutnim prioritetima EU-a, i promicanjem rezultata pilot-aktivnosti odnosno njihovim objavljivanjem na razini EU-a, uz njihovu integraciju i koordinaciju s inicijativama kao što je kohezijska politika, uključujući posebno EFRR i </w:t>
      </w:r>
      <w:proofErr w:type="spellStart"/>
      <w:r w:rsidRPr="00497BD8">
        <w:t>Interreg</w:t>
      </w:r>
      <w:proofErr w:type="spellEnd"/>
      <w:r w:rsidRPr="00497BD8">
        <w:t>;</w:t>
      </w:r>
    </w:p>
    <w:p w:rsidR="00B0036B" w:rsidRPr="00497BD8" w:rsidRDefault="00B0036B" w:rsidP="00861BE9">
      <w:pPr>
        <w:pStyle w:val="NormalHanging12a"/>
        <w:widowControl/>
      </w:pPr>
      <w:r w:rsidRPr="00497BD8">
        <w:t>21.</w:t>
      </w:r>
      <w:r w:rsidRPr="00497BD8">
        <w:tab/>
        <w:t>poziva na strategiju za olakšavanje sinergija između različitih fondova EU-a za projekte koji se provode s pomoću teritorijalnih alata i administrativno pojednostavnjenje pilot-aktivnosti koje se financiraju iz više fondova kako bi se smanjile administrativne prepreke i olakšale prijave za te projekte;</w:t>
      </w:r>
    </w:p>
    <w:p w:rsidR="00B0036B" w:rsidRPr="00497BD8" w:rsidRDefault="00B0036B" w:rsidP="00861BE9">
      <w:pPr>
        <w:pStyle w:val="NormalHanging12a"/>
        <w:widowControl/>
      </w:pPr>
      <w:r w:rsidRPr="00497BD8">
        <w:t>22.</w:t>
      </w:r>
      <w:r w:rsidRPr="00497BD8">
        <w:tab/>
        <w:t>smatra da bi poduzeća mogla imati ključnu ulogu u strategijama teritorijalnog razvoja; poziva Komisiju da podrži mehanizme suradnje između poduzeća te lokalnih i regionalnih vlasti u cilju izrade projekata teritorijalnog razvoja kojima bi se poticalo otvaranje radnih mjesta i gospodarski rast;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23.</w:t>
      </w:r>
      <w:r w:rsidRPr="00497BD8">
        <w:tab/>
        <w:t>ističe golem potencijal Teritorijalnog programa 2030. i njegovih trenutačnih i budućih pilot-projekata za rješavanje vrlo raznolikih potreba neurbanih područja, uključujući ruralna područja, planinska područja, otoke i obalna područja, udaljena i rijetko naseljena područja te mnoge druge vrste područja u kojima postoji kombinacija urbanih i ruralnih obilježja; posebno ističe činjenicu da se ruralna područja često suočavaju s demografskim izazovima, niskom gustoćom naseljenosti i ograničenim pristupom uslugama od općeg interesa odnosno njihovom lošom kvalitetom, te da nemaju uvijek kapacitete za osmišljavanje i provedbu inovativnih rješenja, pa stoga mogu uvelike profitirati od razmjene najboljih praksi;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24.</w:t>
      </w:r>
      <w:r w:rsidRPr="00497BD8">
        <w:tab/>
        <w:t>naglašava potrebu za boljim širenjem mjera i postignuća pilot-projekata kao primjera provedbe EU-fondova; podržava ideju o dvogodišnjoj konferenciji kako bi se lokalnim i regionalnim vlastima, kao i relevantnim akterima na nacionalnoj razini i razini EU-a, predstavile pilot-aktivnosti koje ih povezuju s drugim događanjima kao što su događanja u okviru pakta za ruralna područja ili Foruma gradova;</w:t>
      </w:r>
    </w:p>
    <w:p w:rsidR="00B0036B" w:rsidRPr="00497BD8" w:rsidRDefault="00B0036B" w:rsidP="00861BE9">
      <w:pPr>
        <w:pStyle w:val="NormalHanging12a"/>
        <w:widowControl/>
      </w:pPr>
      <w:r w:rsidRPr="00497BD8">
        <w:t>25.</w:t>
      </w:r>
      <w:r w:rsidRPr="00497BD8">
        <w:tab/>
        <w:t>poziva države članice da razviju svoje teritorijalne programe u skladu s Teritorijalnim programom 2030. kao osnovom za programiranje svojih teritorijalnih strategija, uzimajući u obzir specifičnosti i vrlo raznolike potrebe svake svoje regije, te služeći kao poticaj, te kako bi potaknule proces donošenja odluka i osmišljavanje teritorijalnih i urbanih politika; nadalje poziva države članice da omoguće različite teritorijalne strategije za sve regije EU-a, uključujući ruralna područja, područja pogođena industrijskom tranzicijom, regije koje su izložene ozbiljnim i trajnim prirodnim ili demografskim poteškoćama kao što su najsjevernije regije i regije s vrlo niskom gustoćom naseljenosti, otoci, prekogranične regije i planinske regije;</w:t>
      </w:r>
    </w:p>
    <w:p w:rsidR="00B0036B" w:rsidRPr="00497BD8" w:rsidRDefault="00B0036B" w:rsidP="00861BE9">
      <w:pPr>
        <w:pStyle w:val="NormalHanging12a"/>
        <w:widowControl/>
      </w:pPr>
      <w:r w:rsidRPr="00497BD8">
        <w:lastRenderedPageBreak/>
        <w:t>26.</w:t>
      </w:r>
      <w:r w:rsidRPr="00497BD8">
        <w:tab/>
        <w:t>ističe da dobri rezultati upravljačkih struktura mogu odrediti optimalnu kombinaciju prioriteta ulaganja kako bi se postigla potrebna vertikalna i horizontalna koordinacija na više razina za osmišljavanje i provedbu integriranih razvojnih strategija;</w:t>
      </w:r>
    </w:p>
    <w:p w:rsidR="00B0036B" w:rsidRPr="00497BD8" w:rsidRDefault="00B0036B" w:rsidP="00861BE9">
      <w:pPr>
        <w:pStyle w:val="NormalHanging12a"/>
        <w:widowControl/>
      </w:pPr>
      <w:r w:rsidRPr="00497BD8">
        <w:t>27.</w:t>
      </w:r>
      <w:r w:rsidRPr="00497BD8">
        <w:tab/>
        <w:t>poziva države članice i Komisiju da promiču provedbu Teritorijalnog programa 2030. izvan okvira pilot-aktivnosti, čineći taj instrument referentnim okvirom za djelovanje koji pruža konkretne i prilagođene smjernice kako bi područja EU-a poboljšala svoju učinkovitost; ističe priliku da se regionalno financiranje uvjetuje postizanjem prioriteta Teritorijalnog programa 2030. te poziva Komisiju da razvije pokazatelje praćenja koji povezuju Teritorijalni program 2030. i upotrebu fondova kohezijske politike, posebno EFRR-a;</w:t>
      </w:r>
    </w:p>
    <w:p w:rsidR="00B0036B" w:rsidRPr="00497BD8" w:rsidRDefault="00B0036B" w:rsidP="00861BE9">
      <w:pPr>
        <w:pStyle w:val="NormalHanging12a"/>
        <w:widowControl/>
      </w:pPr>
      <w:r w:rsidRPr="00497BD8">
        <w:t>28.</w:t>
      </w:r>
      <w:r w:rsidRPr="00497BD8">
        <w:tab/>
        <w:t>ponavlja da je potrebno hitno ojačati politiku EU-a u pogledu ublažavanja klimatskih promjena i prilagodbe tim promjenama, među ostalim u svjetlu sve izraženijih ekstremnih vremenskih uvjeta u EU-u posljednjih godina i mjeseci; stoga poziva javne vlasti da nastave borbu protiv klimatskih promjena; u tom kontekstu ističe da je potrebno povećati ambicije i kvalitetu pilot-projekata u okviru cilja „Zelena Europa” i njegova prvog prioriteta „Zdrav okoliš”; naglašava da je teritorijalni razvoj ključan za izgradnju otpornih regija i osiguravanje održive provedbe financiranja kohezijske politike;</w:t>
      </w:r>
    </w:p>
    <w:p w:rsidR="00B0036B" w:rsidRPr="00497BD8" w:rsidRDefault="00B0036B" w:rsidP="00861BE9">
      <w:pPr>
        <w:pStyle w:val="NormalHanging12a"/>
        <w:widowControl/>
      </w:pPr>
      <w:r w:rsidRPr="00497BD8">
        <w:t>29.</w:t>
      </w:r>
      <w:r w:rsidRPr="00497BD8">
        <w:tab/>
        <w:t>pozdravlja prijedlog Europskog</w:t>
      </w:r>
      <w:r w:rsidR="002F7982">
        <w:t>a</w:t>
      </w:r>
      <w:r w:rsidRPr="00497BD8">
        <w:t xml:space="preserve"> gospodarskog i socijalnog odbora (EGSO) za promicanje europske povelje o ruralnim/urbanim pravima i odgovornostima; osim toga, uvjeren je da je potrebna veća suradnja s urbanim područjima kako bi se osiguralo da nijedno područje ili građanin ne bude zapostavljen u pravednoj tranziciji prema klimatski neutralnoj, održivoj i prosperitetnoj Europskoj uniji, težeći tome da postoji predanost pravednom pristupu u ruralnim i urbanim područjima i prikazujući dodanu vrijednost suradnje ruralnih i urbanih organizacija;</w:t>
      </w:r>
    </w:p>
    <w:p w:rsidR="00B0036B" w:rsidRPr="00497BD8" w:rsidRDefault="00B0036B" w:rsidP="00861BE9">
      <w:pPr>
        <w:pStyle w:val="NormalHanging12a"/>
        <w:widowControl/>
      </w:pPr>
      <w:r w:rsidRPr="00497BD8">
        <w:t>30.</w:t>
      </w:r>
      <w:r w:rsidRPr="00497BD8">
        <w:tab/>
        <w:t>naglašava da je potrebno osigurati uravnoteženiji razvoj regija EU-a osiguravanjem bolje raspodjele sredstava EU-a, uključujući potporu u okviru zajedničke poljoprivredne politike unutar država članica i među njima; naglašava da je nemoguće postići održiv i dugoročan teritorijalni razvoj ako se potpora dodjeljuje različitim regijama na temelju povijesnih podataka;</w:t>
      </w:r>
    </w:p>
    <w:p w:rsidR="00B0036B" w:rsidRPr="00497BD8" w:rsidRDefault="00B0036B" w:rsidP="00861BE9">
      <w:pPr>
        <w:pStyle w:val="NormalHanging12a"/>
        <w:widowControl/>
      </w:pPr>
      <w:r w:rsidRPr="00497BD8">
        <w:t>31.</w:t>
      </w:r>
      <w:r w:rsidRPr="00497BD8">
        <w:tab/>
        <w:t>napominje da sve više ljudi odlučuje živjeti u gradovima i raditi u ruralnim područjima; poziva Komisiju da osmisli programe kojima se uzimaju u obzir sva područja, uključujući velegradska, gradska i funkcionalna područja; potiče Komisiju da program LEADER osmisli na način da ga mogu upotrebljavati i mali gradovi;</w:t>
      </w:r>
    </w:p>
    <w:p w:rsidR="00B0036B" w:rsidRPr="00497BD8" w:rsidRDefault="00B0036B" w:rsidP="00861BE9">
      <w:pPr>
        <w:pStyle w:val="NormalHanging12a"/>
        <w:widowControl/>
      </w:pPr>
      <w:r w:rsidRPr="00497BD8">
        <w:t>32.</w:t>
      </w:r>
      <w:r w:rsidRPr="00497BD8">
        <w:tab/>
        <w:t>poziva Komisiju da poveže iskustvo stečeno u provedbi Teritorijalnog programa 2030. s budućom kohezijskom politikom i preporukama Skupine na visokoj razini za budućnost kohezijske politike kako bi se na učinkovitiji način prevladale teritorijalne neravnoteže i funkcionalne neusklađenosti; ističe priliku koju pruža Teritorijalni program 2030. kao alat za procjenu učinka kohezijske politike s obzirom na cilj teritorijalne kohezije;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33.</w:t>
      </w:r>
      <w:r w:rsidRPr="00497BD8">
        <w:tab/>
        <w:t>poziva Komisiju i države članice da do 2024. provedu usklađenu reviziju Teritorijalnog programa 2030., uključujući temeljitu reviziju njegova sustava upravljanja, napretka ostvarenog u provedbi i relevantnosti njegovih prioriteta, kako je navedeno u Teritorijalnom programu 2030.;</w:t>
      </w:r>
    </w:p>
    <w:p w:rsidR="00B0036B" w:rsidRPr="00497BD8" w:rsidRDefault="00B0036B" w:rsidP="00861BE9">
      <w:pPr>
        <w:pStyle w:val="NormalHanging12a"/>
        <w:widowControl/>
      </w:pPr>
      <w:r w:rsidRPr="00497BD8">
        <w:lastRenderedPageBreak/>
        <w:t>34.</w:t>
      </w:r>
      <w:r w:rsidRPr="00497BD8">
        <w:tab/>
        <w:t>pozdravlja obvezujuću prirodu metodologije opisane u Priručniku o strategijama teritorijalnog i lokalnog razvoja u kojoj se teritorijalnim politikama daje isti značaj kao urbanim politikama;</w:t>
      </w:r>
    </w:p>
    <w:p w:rsidR="00B0036B" w:rsidRPr="00497BD8" w:rsidRDefault="00B0036B" w:rsidP="00861BE9">
      <w:pPr>
        <w:pStyle w:val="NormalHanging12a"/>
        <w:widowControl/>
      </w:pPr>
      <w:r w:rsidRPr="00497BD8">
        <w:t>35.</w:t>
      </w:r>
      <w:r w:rsidRPr="00497BD8">
        <w:tab/>
        <w:t>poziva na jedinstveni okvir za strategije usmjerene na urbani i širi teritorijalni razvoj, uz sagledavanje teritorijalnih zahtjeva u cjelini; naglašava da bi se time mogle znatno smanjiti birokratske prepreke u prikupljanju sredstava;</w:t>
      </w:r>
    </w:p>
    <w:p w:rsidR="00B0036B" w:rsidRPr="00497BD8" w:rsidRDefault="00B0036B" w:rsidP="00861BE9">
      <w:pPr>
        <w:pStyle w:val="NormalHanging12a"/>
        <w:widowControl/>
      </w:pPr>
      <w:r w:rsidRPr="00497BD8">
        <w:t>36.</w:t>
      </w:r>
      <w:r w:rsidRPr="00497BD8">
        <w:tab/>
        <w:t xml:space="preserve">poziva Komisiju da osigura pravilnu provedbu fondova i provedbu teritorijalnih instrumenata i da prednost učinkovitom upravljanju bez </w:t>
      </w:r>
      <w:proofErr w:type="spellStart"/>
      <w:r w:rsidRPr="00497BD8">
        <w:t>nesrazmjerne</w:t>
      </w:r>
      <w:proofErr w:type="spellEnd"/>
      <w:r w:rsidRPr="00497BD8">
        <w:t xml:space="preserve"> birokracije; ističe da je potrebno pojednostavniti pristup sredstvima uspostavom „jedinstvenih kontaktnih točaka” za potencijalne korisnike kohezijskih fondova EU-a i projekata integriranih teritorijalnih ulaganja ili lokalnog razvoja pod vodstvom zajednice, posebno radi pristupa informacijama o vrsti financiranja, administrativnim zahtjevima i prihvatljivosti;</w:t>
      </w:r>
    </w:p>
    <w:p w:rsidR="00B0036B" w:rsidRPr="00497BD8" w:rsidRDefault="00B0036B" w:rsidP="00861BE9">
      <w:pPr>
        <w:pStyle w:val="NormalHanging12a"/>
        <w:widowControl/>
      </w:pPr>
      <w:r w:rsidRPr="00497BD8">
        <w:t>37.</w:t>
      </w:r>
      <w:r w:rsidRPr="00497BD8">
        <w:tab/>
        <w:t>prepoznaje ulogu Europskog vijeća u razvoju teritorijalnih aktivnosti država članica; traži od država članica da predvide dostatne ljudske resurse u upravljačkim tijelima i provedbenim tijelima zaduženima za integrirana teritorijalna ulaganja ili lokalni razvoj pod vodstvom zajednice u cilju osiguravanja tehničke potpore i savjetodavnih usluga, posebno za lokalne akcijske skupine i za partnere integriranih teritorijalnih ulaganja te kako bi se omogućila usklađenost s propisima;</w:t>
      </w:r>
    </w:p>
    <w:p w:rsidR="00B0036B" w:rsidRPr="00497BD8" w:rsidRDefault="00B0036B" w:rsidP="00861BE9">
      <w:pPr>
        <w:pStyle w:val="NormalHanging12a"/>
        <w:widowControl/>
      </w:pPr>
      <w:r w:rsidRPr="00497BD8">
        <w:t>38.</w:t>
      </w:r>
      <w:r w:rsidRPr="00497BD8">
        <w:tab/>
        <w:t xml:space="preserve">poziva Komisiju da poveća svoju uključenost u teritorijalnu politiku putem kohezijske politike te da ojača upravljanje regijama kako bi se promicala kohezija i </w:t>
      </w:r>
      <w:proofErr w:type="spellStart"/>
      <w:r w:rsidRPr="00497BD8">
        <w:t>mikrokohezija</w:t>
      </w:r>
      <w:proofErr w:type="spellEnd"/>
      <w:r w:rsidRPr="00497BD8">
        <w:t xml:space="preserve"> obuhvaćanjem posebnosti svake regije, poboljšanjem donošenja odluka na lokalnoj i regionalnoj razini i primjenom postojećih alata za poboljšanje upravljanja zakonodavnim instrumentima; nadalje, poziva Komisiju i države članice da nastave podupirati fondove kohezijske politike kako bi se povećala otpornost teritorijalnog razvoja, posebno kako bi se ublažili učinci neočekivanih događaja, zaštitile regije od posljedica i poštovalo načelo „</w:t>
      </w:r>
      <w:proofErr w:type="spellStart"/>
      <w:r w:rsidRPr="00497BD8">
        <w:t>nenanošenja</w:t>
      </w:r>
      <w:proofErr w:type="spellEnd"/>
      <w:r w:rsidRPr="00497BD8">
        <w:t xml:space="preserve"> štete koheziji”;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39.</w:t>
      </w:r>
      <w:r w:rsidRPr="00497BD8">
        <w:tab/>
        <w:t xml:space="preserve">svjestan je utjecaja odluka europskog semestra na teritorijalnu koheziju, a time i na razvojni kapacitet teritorijalnih programa; stoga ponovno ističe potrebu za jačanjem teritorijalne dimenzije u europskom semestru i poboljšanjem povezivanja kohezijske politike i europskog gospodarskog upravljanja, uz uključivanje lokalnih i regionalnih vlasti u sve faze postupaka povezanih s europskim semestrom i preporukama za pojedine zemlje; 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40.</w:t>
      </w:r>
      <w:r w:rsidRPr="00497BD8">
        <w:tab/>
        <w:t>poziva Europski odbor regija i Europski gospodarski i socijalni odbor, da preuzmu aktivniju ulogu u praćenju i daljnjem razvoju Teritorijalnog programa 2030.; poziva Komisiju da provede studiju o kapacitetima svake regije za ublažavanje budućih globalnih izazova koji utječu na teritorijalnu koheziju; napominje da bi se time osigurao alat za brzi odgovor kojim bi se omogućila fleksibilnost u dodjeli ili povećanju tih resursa, u skladu sa stanjem u stvarnom vremenu u regijama EU-a;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41.</w:t>
      </w:r>
      <w:r w:rsidRPr="00497BD8">
        <w:tab/>
        <w:t xml:space="preserve">ističe važnost teritorijalnih alata u smislu povećanog i </w:t>
      </w:r>
      <w:proofErr w:type="spellStart"/>
      <w:r w:rsidRPr="00497BD8">
        <w:t>uključivog</w:t>
      </w:r>
      <w:proofErr w:type="spellEnd"/>
      <w:r w:rsidRPr="00497BD8">
        <w:t xml:space="preserve"> sudjelovanja civilnog društva i lokalnih te regionalnih vlasti; poziva Komisiju da istraži nove načine za daljnje podizanje razine osviještenosti o njihovim razlozima postojanja i znatno povećanje upotrebe integriranih teritorijalnih ulaganja i lokalnog razvoja pod vodstvom zajednice, </w:t>
      </w:r>
      <w:r w:rsidRPr="00497BD8">
        <w:lastRenderedPageBreak/>
        <w:t>među ostalim mogućim izdvajanjem postotka koji će se upotrebljavati u okviru kohezijske politike nakon 2027.;</w:t>
      </w:r>
    </w:p>
    <w:p w:rsidR="00B0036B" w:rsidRPr="00497BD8" w:rsidRDefault="00B0036B" w:rsidP="00861BE9">
      <w:pPr>
        <w:pStyle w:val="NormalHanging12a"/>
        <w:widowControl/>
        <w:rPr>
          <w:szCs w:val="24"/>
        </w:rPr>
      </w:pPr>
      <w:r w:rsidRPr="00497BD8">
        <w:t>42.</w:t>
      </w:r>
      <w:r w:rsidRPr="00497BD8">
        <w:tab/>
        <w:t xml:space="preserve">poziva Europsku investicijsku banku da poveća financijska sredstva predviđena za fondove kohezijske politike u cilju očuvanja ravnoteže i pravilnog funkcioniranja naših regija; </w:t>
      </w:r>
    </w:p>
    <w:p w:rsidR="00B0036B" w:rsidRPr="00497BD8" w:rsidRDefault="00B0036B" w:rsidP="00861BE9">
      <w:pPr>
        <w:widowControl/>
        <w:spacing w:after="240"/>
        <w:ind w:left="567" w:hanging="567"/>
      </w:pPr>
      <w:r w:rsidRPr="00497BD8">
        <w:t>43.</w:t>
      </w:r>
      <w:r w:rsidRPr="00497BD8">
        <w:tab/>
        <w:t>nalaže svojoj predsjednici da ovu Rezoluciju proslijedi Vijeću, Komisiji te nacionalnim i regionalnim parlamentima država članica.</w:t>
      </w:r>
    </w:p>
    <w:sectPr w:rsidR="00B0036B" w:rsidRPr="00497BD8" w:rsidSect="00A71B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589" w:rsidRPr="00A71BD6" w:rsidRDefault="009F3589">
      <w:r w:rsidRPr="00A71BD6">
        <w:separator/>
      </w:r>
    </w:p>
  </w:endnote>
  <w:endnote w:type="continuationSeparator" w:id="0">
    <w:p w:rsidR="009F3589" w:rsidRPr="00A71BD6" w:rsidRDefault="009F3589">
      <w:r w:rsidRPr="00A71B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B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B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B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589" w:rsidRPr="00A71BD6" w:rsidRDefault="009F3589">
      <w:r w:rsidRPr="00A71BD6">
        <w:separator/>
      </w:r>
    </w:p>
  </w:footnote>
  <w:footnote w:type="continuationSeparator" w:id="0">
    <w:p w:rsidR="009F3589" w:rsidRPr="00A71BD6" w:rsidRDefault="009F3589">
      <w:r w:rsidRPr="00A71BD6">
        <w:continuationSeparator/>
      </w:r>
    </w:p>
  </w:footnote>
  <w:footnote w:id="1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 L 231, 30.6.2021., str. 159.</w:t>
      </w:r>
    </w:p>
  </w:footnote>
  <w:footnote w:id="2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 L 231, 30.6.2021., str. 60.</w:t>
      </w:r>
    </w:p>
  </w:footnote>
  <w:footnote w:id="3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 L 231, 30.6.2021., str. 94.</w:t>
      </w:r>
    </w:p>
  </w:footnote>
  <w:footnote w:id="4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 L 231, 30.6.2021., str. 1.</w:t>
      </w:r>
    </w:p>
  </w:footnote>
  <w:footnote w:id="5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 L 435, 6.12.2021., str. 1.</w:t>
      </w:r>
    </w:p>
  </w:footnote>
  <w:footnote w:id="6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 L 437, 28.12.2020., str. 1.</w:t>
      </w:r>
    </w:p>
  </w:footnote>
  <w:footnote w:id="7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 L 347, 20.12.2013., str. 320.</w:t>
      </w:r>
    </w:p>
  </w:footnote>
  <w:footnote w:id="8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 C 125, 5.4.2023., str. 56.</w:t>
      </w:r>
    </w:p>
  </w:footnote>
  <w:footnote w:id="9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 C 177, 17.5.2023., str. 35.</w:t>
      </w:r>
    </w:p>
  </w:footnote>
  <w:footnote w:id="10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 C 125, 5.4.2023., str. 100.</w:t>
      </w:r>
    </w:p>
  </w:footnote>
  <w:footnote w:id="11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 C 342, 6.9.2022., str. 2.</w:t>
      </w:r>
    </w:p>
  </w:footnote>
  <w:footnote w:id="12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 C 15, 12.1.2022., str. 125.</w:t>
      </w:r>
    </w:p>
  </w:footnote>
  <w:footnote w:id="13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 C 494, 8.12.2021., str. 26.</w:t>
      </w:r>
    </w:p>
  </w:footnote>
  <w:footnote w:id="14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 C 162, 10.5.2019., str. 31.</w:t>
      </w:r>
    </w:p>
  </w:footnote>
  <w:footnote w:id="15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SL C 429, 11.12.2020., str. 145.</w:t>
      </w:r>
    </w:p>
  </w:footnote>
  <w:footnote w:id="16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 xml:space="preserve">Detaljna analiza – </w:t>
      </w:r>
      <w:proofErr w:type="spellStart"/>
      <w:r w:rsidRPr="00861BE9">
        <w:rPr>
          <w:sz w:val="24"/>
          <w:szCs w:val="24"/>
          <w:lang w:val="hr-HR"/>
        </w:rPr>
        <w:t>Territorial</w:t>
      </w:r>
      <w:proofErr w:type="spellEnd"/>
      <w:r w:rsidRPr="00861BE9">
        <w:rPr>
          <w:sz w:val="24"/>
          <w:szCs w:val="24"/>
          <w:lang w:val="hr-HR"/>
        </w:rPr>
        <w:t xml:space="preserve"> </w:t>
      </w:r>
      <w:proofErr w:type="spellStart"/>
      <w:r w:rsidRPr="00861BE9">
        <w:rPr>
          <w:sz w:val="24"/>
          <w:szCs w:val="24"/>
          <w:lang w:val="hr-HR"/>
        </w:rPr>
        <w:t>Agenda</w:t>
      </w:r>
      <w:proofErr w:type="spellEnd"/>
      <w:r w:rsidRPr="00861BE9">
        <w:rPr>
          <w:sz w:val="24"/>
          <w:szCs w:val="24"/>
          <w:lang w:val="hr-HR"/>
        </w:rPr>
        <w:t xml:space="preserve"> 2030 – </w:t>
      </w:r>
      <w:proofErr w:type="spellStart"/>
      <w:r w:rsidRPr="00861BE9">
        <w:rPr>
          <w:sz w:val="24"/>
          <w:szCs w:val="24"/>
          <w:lang w:val="hr-HR"/>
        </w:rPr>
        <w:t>Implementation</w:t>
      </w:r>
      <w:proofErr w:type="spellEnd"/>
      <w:r w:rsidRPr="00861BE9">
        <w:rPr>
          <w:sz w:val="24"/>
          <w:szCs w:val="24"/>
          <w:lang w:val="hr-HR"/>
        </w:rPr>
        <w:t xml:space="preserve"> </w:t>
      </w:r>
      <w:proofErr w:type="spellStart"/>
      <w:r w:rsidRPr="00861BE9">
        <w:rPr>
          <w:sz w:val="24"/>
          <w:szCs w:val="24"/>
          <w:lang w:val="hr-HR"/>
        </w:rPr>
        <w:t>Review</w:t>
      </w:r>
      <w:proofErr w:type="spellEnd"/>
      <w:r w:rsidRPr="00861BE9">
        <w:rPr>
          <w:sz w:val="24"/>
          <w:szCs w:val="24"/>
          <w:lang w:val="hr-HR"/>
        </w:rPr>
        <w:t xml:space="preserve"> (Teritorijalni program 2030. – Revizija provedbe), Europski parlament, Glavna uprava za unutarnju politiku, Resorni odjel B – Strukturna i kohezijska politika, 7. lipnja 2023.</w:t>
      </w:r>
    </w:p>
  </w:footnote>
  <w:footnote w:id="17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u w:val="single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Europska komisija, „</w:t>
      </w:r>
      <w:hyperlink r:id="rId1" w:history="1">
        <w:r w:rsidRPr="00861BE9">
          <w:rPr>
            <w:rStyle w:val="Hyperlink"/>
            <w:sz w:val="24"/>
            <w:szCs w:val="24"/>
            <w:lang w:val="hr-HR"/>
          </w:rPr>
          <w:t xml:space="preserve">Integrirane teritorijalne i urbane </w:t>
        </w:r>
        <w:proofErr w:type="spellStart"/>
        <w:r w:rsidRPr="00861BE9">
          <w:rPr>
            <w:rStyle w:val="Hyperlink"/>
            <w:sz w:val="24"/>
            <w:szCs w:val="24"/>
            <w:lang w:val="hr-HR"/>
          </w:rPr>
          <w:t>strategije:</w:t>
        </w:r>
      </w:hyperlink>
      <w:hyperlink r:id="rId2" w:history="1">
        <w:r w:rsidRPr="00861BE9">
          <w:rPr>
            <w:rStyle w:val="Hyperlink"/>
            <w:sz w:val="24"/>
            <w:szCs w:val="24"/>
            <w:lang w:val="hr-HR"/>
          </w:rPr>
          <w:t>kako</w:t>
        </w:r>
        <w:proofErr w:type="spellEnd"/>
        <w:r w:rsidRPr="00861BE9">
          <w:rPr>
            <w:rStyle w:val="Hyperlink"/>
            <w:sz w:val="24"/>
            <w:szCs w:val="24"/>
            <w:lang w:val="hr-HR"/>
          </w:rPr>
          <w:t xml:space="preserve"> europski strukturni i investicijski fondovi dodaju vrijednost u razdoblju 2014. – 2020.?</w:t>
        </w:r>
      </w:hyperlink>
      <w:hyperlink r:id="rId3" w:history="1">
        <w:r w:rsidRPr="00861BE9">
          <w:rPr>
            <w:rStyle w:val="Hyperlink"/>
            <w:sz w:val="24"/>
            <w:szCs w:val="24"/>
            <w:lang w:val="hr-HR"/>
          </w:rPr>
          <w:t>– Završno izvješće</w:t>
        </w:r>
      </w:hyperlink>
      <w:r w:rsidRPr="00861BE9">
        <w:rPr>
          <w:sz w:val="24"/>
          <w:szCs w:val="24"/>
          <w:lang w:val="hr-HR"/>
        </w:rPr>
        <w:t>”, prosinac 2017.</w:t>
      </w:r>
      <w:r w:rsidRPr="00861BE9">
        <w:rPr>
          <w:sz w:val="24"/>
          <w:szCs w:val="24"/>
          <w:u w:val="single"/>
          <w:lang w:val="hr-HR"/>
        </w:rPr>
        <w:t xml:space="preserve"> </w:t>
      </w:r>
    </w:p>
  </w:footnote>
  <w:footnote w:id="18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u w:val="single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Europska komisija, „</w:t>
      </w:r>
      <w:hyperlink r:id="rId4" w:history="1">
        <w:r w:rsidRPr="00861BE9">
          <w:rPr>
            <w:rStyle w:val="Hyperlink"/>
            <w:sz w:val="24"/>
            <w:szCs w:val="24"/>
            <w:lang w:val="hr-HR"/>
          </w:rPr>
          <w:t>STRAT-</w:t>
        </w:r>
        <w:proofErr w:type="spellStart"/>
        <w:r w:rsidRPr="00861BE9">
          <w:rPr>
            <w:rStyle w:val="Hyperlink"/>
            <w:sz w:val="24"/>
            <w:szCs w:val="24"/>
            <w:lang w:val="hr-HR"/>
          </w:rPr>
          <w:t>Board</w:t>
        </w:r>
        <w:proofErr w:type="spellEnd"/>
        <w:r w:rsidRPr="00861BE9">
          <w:rPr>
            <w:rStyle w:val="Hyperlink"/>
            <w:sz w:val="24"/>
            <w:szCs w:val="24"/>
            <w:lang w:val="hr-HR"/>
          </w:rPr>
          <w:t>”</w:t>
        </w:r>
      </w:hyperlink>
      <w:r w:rsidRPr="00861BE9">
        <w:rPr>
          <w:rStyle w:val="Hyperlink"/>
          <w:sz w:val="24"/>
          <w:szCs w:val="24"/>
          <w:lang w:val="hr-HR"/>
        </w:rPr>
        <w:t>.</w:t>
      </w:r>
    </w:p>
  </w:footnote>
  <w:footnote w:id="19">
    <w:p w:rsidR="00B0036B" w:rsidRPr="00861BE9" w:rsidRDefault="00B0036B" w:rsidP="00861BE9">
      <w:pPr>
        <w:pStyle w:val="FootnoteText1"/>
        <w:spacing w:line="260" w:lineRule="exact"/>
        <w:ind w:left="567" w:hanging="567"/>
        <w:jc w:val="left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>Europska komisija, „</w:t>
      </w:r>
      <w:hyperlink r:id="rId5" w:anchor="the-chapter" w:history="1">
        <w:r w:rsidRPr="00861BE9">
          <w:rPr>
            <w:rStyle w:val="Hyperlink"/>
            <w:sz w:val="24"/>
            <w:szCs w:val="24"/>
            <w:lang w:val="hr-HR"/>
          </w:rPr>
          <w:t>Priručnik o strategijama teritorijalnog i lokalnog razvoja”</w:t>
        </w:r>
      </w:hyperlink>
      <w:r w:rsidRPr="00861BE9">
        <w:rPr>
          <w:rStyle w:val="Hyperlink"/>
          <w:sz w:val="24"/>
          <w:szCs w:val="24"/>
          <w:lang w:val="hr-HR"/>
        </w:rPr>
        <w:t>.</w:t>
      </w:r>
    </w:p>
  </w:footnote>
  <w:footnote w:id="20">
    <w:p w:rsidR="002F7982" w:rsidRPr="00861BE9" w:rsidRDefault="002F7982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</w:rPr>
        <w:footnoteRef/>
      </w:r>
      <w:r w:rsidRPr="00861BE9">
        <w:rPr>
          <w:sz w:val="24"/>
          <w:szCs w:val="24"/>
          <w:lang w:val="hr-HR"/>
        </w:rPr>
        <w:t xml:space="preserve"> </w:t>
      </w:r>
      <w:r w:rsidRPr="00861BE9">
        <w:rPr>
          <w:sz w:val="24"/>
          <w:szCs w:val="24"/>
          <w:lang w:val="hr-HR"/>
        </w:rPr>
        <w:tab/>
        <w:t>Europska komisija, „</w:t>
      </w:r>
      <w:hyperlink r:id="rId6" w:history="1">
        <w:r w:rsidRPr="00861BE9">
          <w:rPr>
            <w:rStyle w:val="Hyperlink"/>
            <w:sz w:val="24"/>
            <w:szCs w:val="24"/>
            <w:lang w:val="hr-HR"/>
          </w:rPr>
          <w:t>Priručnik o strategijama održivog urbanog razvoja”</w:t>
        </w:r>
      </w:hyperlink>
    </w:p>
  </w:footnote>
  <w:footnote w:id="21">
    <w:p w:rsidR="00B0036B" w:rsidRPr="00861BE9" w:rsidRDefault="00B0036B" w:rsidP="00861BE9">
      <w:pPr>
        <w:pStyle w:val="FootnoteText"/>
        <w:ind w:left="567" w:hanging="567"/>
        <w:rPr>
          <w:sz w:val="24"/>
          <w:szCs w:val="24"/>
          <w:lang w:val="hr-HR"/>
        </w:rPr>
      </w:pPr>
      <w:r w:rsidRPr="00861BE9">
        <w:rPr>
          <w:rStyle w:val="FootnoteReference"/>
          <w:sz w:val="24"/>
          <w:szCs w:val="24"/>
          <w:lang w:val="hr-HR"/>
        </w:rPr>
        <w:footnoteRef/>
      </w:r>
      <w:r w:rsidR="00A71BD6" w:rsidRPr="00861BE9">
        <w:rPr>
          <w:sz w:val="24"/>
          <w:szCs w:val="24"/>
          <w:lang w:val="hr-HR"/>
        </w:rPr>
        <w:t xml:space="preserve"> </w:t>
      </w:r>
      <w:r w:rsidR="00A71BD6" w:rsidRPr="00861BE9">
        <w:rPr>
          <w:sz w:val="24"/>
          <w:szCs w:val="24"/>
          <w:lang w:val="hr-HR"/>
        </w:rPr>
        <w:tab/>
      </w:r>
      <w:r w:rsidRPr="00861BE9">
        <w:rPr>
          <w:sz w:val="24"/>
          <w:szCs w:val="24"/>
          <w:lang w:val="hr-HR"/>
        </w:rPr>
        <w:t xml:space="preserve">Uredba (EU) br. 1301/2013 Europskog parlamenta i Vijeća od 17. prosinca 2013. o Europskom fondu za regionalni razvoj i o posebnim odredbama o cilju „Ulaganje za rast i radna mjesta” te stavljanju izvan snage Uredbe (EZ) br. 1080/2006 </w:t>
      </w:r>
      <w:r w:rsidR="00497BD8" w:rsidRPr="00861BE9">
        <w:rPr>
          <w:sz w:val="24"/>
          <w:szCs w:val="24"/>
          <w:lang w:val="hr-HR"/>
        </w:rPr>
        <w:t>(</w:t>
      </w:r>
      <w:r w:rsidRPr="00861BE9">
        <w:rPr>
          <w:sz w:val="24"/>
          <w:szCs w:val="24"/>
          <w:lang w:val="hr-HR"/>
        </w:rPr>
        <w:t>SL L 347, 20.12.2013., str. 289.</w:t>
      </w:r>
      <w:r w:rsidR="00497BD8" w:rsidRPr="00861BE9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B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B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1B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0/2023"/>
    <w:docVar w:name="dvlangue" w:val="HR"/>
    <w:docVar w:name="dvnumam" w:val="0"/>
    <w:docVar w:name="dvpe" w:val="750.084"/>
    <w:docVar w:name="dvrapporteur" w:val="Izvjestitelj: "/>
    <w:docVar w:name="dvtitre" w:val="Rezolucija Europskog parlamenta od .... 2024. o provedbi teritorijalnog razvoja (Uredba o zajedničkim odredbama, glava III. poglavlje II.) i njegovoj primjeni u Teritorijalnom programu Europske unije 2030.(2023/2048(INI))"/>
  </w:docVars>
  <w:rsids>
    <w:rsidRoot w:val="009F35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73C4"/>
    <w:rsid w:val="001F32AE"/>
    <w:rsid w:val="002767FF"/>
    <w:rsid w:val="002B18FE"/>
    <w:rsid w:val="002B5493"/>
    <w:rsid w:val="002F798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BD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1BE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426"/>
    <w:rsid w:val="00981893"/>
    <w:rsid w:val="009F3589"/>
    <w:rsid w:val="00A1687D"/>
    <w:rsid w:val="00A43E52"/>
    <w:rsid w:val="00A4678D"/>
    <w:rsid w:val="00A71BD6"/>
    <w:rsid w:val="00A778C7"/>
    <w:rsid w:val="00AB441E"/>
    <w:rsid w:val="00AB6293"/>
    <w:rsid w:val="00AE0928"/>
    <w:rsid w:val="00AF3B82"/>
    <w:rsid w:val="00B0036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6CA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AC2667"/>
  <w15:chartTrackingRefBased/>
  <w15:docId w15:val="{B2FE4C5C-6BD9-4BEE-BFD8-11F298A45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0036B"/>
    <w:rPr>
      <w:b/>
    </w:rPr>
  </w:style>
  <w:style w:type="paragraph" w:customStyle="1" w:styleId="NormalHanging12a">
    <w:name w:val="NormalHanging12a"/>
    <w:basedOn w:val="Normal"/>
    <w:link w:val="NormalHanging12aChar"/>
    <w:rsid w:val="00B0036B"/>
    <w:pPr>
      <w:spacing w:after="240"/>
      <w:ind w:left="567" w:hanging="567"/>
    </w:pPr>
  </w:style>
  <w:style w:type="paragraph" w:customStyle="1" w:styleId="EPComma">
    <w:name w:val="EPComma"/>
    <w:basedOn w:val="Normal"/>
    <w:rsid w:val="00B0036B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B0036B"/>
    <w:rPr>
      <w:color w:val="0000FF"/>
      <w:u w:val="single"/>
    </w:rPr>
  </w:style>
  <w:style w:type="paragraph" w:customStyle="1" w:styleId="FootnoteText1">
    <w:name w:val="Footnote Text1"/>
    <w:basedOn w:val="Normal"/>
    <w:next w:val="FootnoteText"/>
    <w:semiHidden/>
    <w:rsid w:val="00B0036B"/>
    <w:pPr>
      <w:widowControl/>
      <w:jc w:val="both"/>
    </w:pPr>
    <w:rPr>
      <w:sz w:val="20"/>
      <w:lang w:val="en-GB"/>
    </w:rPr>
  </w:style>
  <w:style w:type="character" w:customStyle="1" w:styleId="FootnoteTextChar1">
    <w:name w:val="Footnote Text Char1"/>
    <w:basedOn w:val="DefaultParagraphFont"/>
    <w:locked/>
    <w:rsid w:val="00B0036B"/>
    <w:rPr>
      <w:lang w:val="hr-HR"/>
    </w:rPr>
  </w:style>
  <w:style w:type="character" w:customStyle="1" w:styleId="NormalHanging12aChar">
    <w:name w:val="NormalHanging12a Char"/>
    <w:basedOn w:val="DefaultParagraphFont"/>
    <w:link w:val="NormalHanging12a"/>
    <w:rsid w:val="00B0036B"/>
    <w:rPr>
      <w:sz w:val="24"/>
      <w:lang w:val="hr-HR"/>
    </w:rPr>
  </w:style>
  <w:style w:type="character" w:styleId="FollowedHyperlink">
    <w:name w:val="FollowedHyperlink"/>
    <w:basedOn w:val="DefaultParagraphFont"/>
    <w:rsid w:val="002F798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1A73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73C4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regional_policy/sources/studies/integrated_strategies/integrated_strategies_en.pdf" TargetMode="External"/><Relationship Id="rId2" Type="http://schemas.openxmlformats.org/officeDocument/2006/relationships/hyperlink" Target="https://ec.europa.eu/regional_policy/sources/studies/integrated_strategies/integrated_strategies_en.pdf" TargetMode="External"/><Relationship Id="rId1" Type="http://schemas.openxmlformats.org/officeDocument/2006/relationships/hyperlink" Target="https://ec.europa.eu/regional_policy/sources/studies/integrated_strategies/integrated_strategies_en.pdf" TargetMode="External"/><Relationship Id="rId6" Type="http://schemas.openxmlformats.org/officeDocument/2006/relationships/hyperlink" Target="https://urban.jrc.ec.europa.eu/urbanstrategies/" TargetMode="External"/><Relationship Id="rId5" Type="http://schemas.openxmlformats.org/officeDocument/2006/relationships/hyperlink" Target="https://urban.jrc.ec.europa.eu/territorialstrategies/executive-summary" TargetMode="External"/><Relationship Id="rId4" Type="http://schemas.openxmlformats.org/officeDocument/2006/relationships/hyperlink" Target="https://urban.jrc.ec.europa.eu/strat-board/?lng=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EE34A-685E-4DD0-A9EA-3A36F45B5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5293</Words>
  <Characters>33433</Characters>
  <Application>Microsoft Office Word</Application>
  <DocSecurity>0</DocSecurity>
  <Lines>278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BULJAN Jakov</cp:lastModifiedBy>
  <cp:revision>2</cp:revision>
  <cp:lastPrinted>2004-11-19T15:42:00Z</cp:lastPrinted>
  <dcterms:created xsi:type="dcterms:W3CDTF">2024-02-15T07:53:00Z</dcterms:created>
  <dcterms:modified xsi:type="dcterms:W3CDTF">2024-02-15T07:53:00Z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A9-0420/2023</vt:lpwstr>
  </property>
  <property fmtid="{D5CDD505-2E9C-101B-9397-08002B2CF9AE}" pid="4" name="&lt;Type&gt;">
    <vt:lpwstr>RR</vt:lpwstr>
  </property>
</Properties>
</file>